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2010A" w14:textId="4419B391" w:rsidR="007B7EEC" w:rsidRPr="00E711EE" w:rsidRDefault="000C5AF7" w:rsidP="00DE380E">
      <w:pPr>
        <w:pStyle w:val="Contents"/>
      </w:pPr>
      <w:r w:rsidRPr="00E711EE">
        <w:rPr>
          <w:noProof/>
          <w:lang w:eastAsia="en-GB"/>
        </w:rPr>
        <w:drawing>
          <wp:anchor distT="0" distB="0" distL="114300" distR="114300" simplePos="0" relativeHeight="251822080" behindDoc="0" locked="0" layoutInCell="1" allowOverlap="1" wp14:anchorId="7C685404" wp14:editId="290AA5A2">
            <wp:simplePos x="0" y="0"/>
            <wp:positionH relativeFrom="margin">
              <wp:posOffset>4959350</wp:posOffset>
            </wp:positionH>
            <wp:positionV relativeFrom="paragraph">
              <wp:posOffset>392430</wp:posOffset>
            </wp:positionV>
            <wp:extent cx="895985" cy="360680"/>
            <wp:effectExtent l="0" t="0" r="0" b="1270"/>
            <wp:wrapSquare wrapText="bothSides"/>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HS White Letters on Blue.png"/>
                    <pic:cNvPicPr/>
                  </pic:nvPicPr>
                  <pic:blipFill>
                    <a:blip r:embed="rId8">
                      <a:extLst>
                        <a:ext uri="{28A0092B-C50C-407E-A947-70E740481C1C}">
                          <a14:useLocalDpi xmlns:a14="http://schemas.microsoft.com/office/drawing/2010/main" val="0"/>
                        </a:ext>
                      </a:extLst>
                    </a:blip>
                    <a:stretch>
                      <a:fillRect/>
                    </a:stretch>
                  </pic:blipFill>
                  <pic:spPr>
                    <a:xfrm>
                      <a:off x="0" y="0"/>
                      <a:ext cx="895985" cy="360680"/>
                    </a:xfrm>
                    <a:prstGeom prst="rect">
                      <a:avLst/>
                    </a:prstGeom>
                  </pic:spPr>
                </pic:pic>
              </a:graphicData>
            </a:graphic>
          </wp:anchor>
        </w:drawing>
      </w:r>
      <w:r w:rsidR="008D1335" w:rsidRPr="00E711EE">
        <w:t xml:space="preserve"> </w:t>
      </w:r>
    </w:p>
    <w:p w14:paraId="3CF5F95A" w14:textId="0FB594CA" w:rsidR="007B7EEC" w:rsidRPr="00E711EE" w:rsidRDefault="000C5AF7" w:rsidP="007B7EEC">
      <w:pPr>
        <w:pStyle w:val="MEHArial"/>
        <w:jc w:val="center"/>
        <w:rPr>
          <w:rFonts w:asciiTheme="majorHAnsi" w:hAnsiTheme="majorHAnsi" w:cstheme="majorHAnsi"/>
          <w:b/>
          <w:sz w:val="22"/>
          <w:szCs w:val="22"/>
        </w:rPr>
      </w:pPr>
      <w:r w:rsidRPr="00E711EE">
        <w:rPr>
          <w:rFonts w:asciiTheme="majorHAnsi" w:hAnsiTheme="majorHAnsi" w:cstheme="majorHAnsi"/>
          <w:noProof/>
          <w:sz w:val="22"/>
          <w:szCs w:val="22"/>
          <w:lang w:eastAsia="en-GB"/>
        </w:rPr>
        <w:drawing>
          <wp:anchor distT="0" distB="0" distL="114300" distR="114300" simplePos="0" relativeHeight="251820032" behindDoc="0" locked="0" layoutInCell="1" allowOverlap="0" wp14:anchorId="442B7678" wp14:editId="526CBE12">
            <wp:simplePos x="0" y="0"/>
            <wp:positionH relativeFrom="margin">
              <wp:posOffset>-152400</wp:posOffset>
            </wp:positionH>
            <wp:positionV relativeFrom="page">
              <wp:posOffset>916940</wp:posOffset>
            </wp:positionV>
            <wp:extent cx="2559600" cy="684000"/>
            <wp:effectExtent l="0" t="0" r="0" b="1905"/>
            <wp:wrapSquare wrapText="bothSides"/>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oorfields Hospital NHS Foundatiion Trust Logo.png"/>
                    <pic:cNvPicPr/>
                  </pic:nvPicPr>
                  <pic:blipFill>
                    <a:blip r:embed="rId9">
                      <a:extLst>
                        <a:ext uri="{28A0092B-C50C-407E-A947-70E740481C1C}">
                          <a14:useLocalDpi xmlns:a14="http://schemas.microsoft.com/office/drawing/2010/main" val="0"/>
                        </a:ext>
                      </a:extLst>
                    </a:blip>
                    <a:stretch>
                      <a:fillRect/>
                    </a:stretch>
                  </pic:blipFill>
                  <pic:spPr>
                    <a:xfrm>
                      <a:off x="0" y="0"/>
                      <a:ext cx="2559600" cy="684000"/>
                    </a:xfrm>
                    <a:prstGeom prst="rect">
                      <a:avLst/>
                    </a:prstGeom>
                  </pic:spPr>
                </pic:pic>
              </a:graphicData>
            </a:graphic>
            <wp14:sizeRelH relativeFrom="margin">
              <wp14:pctWidth>0</wp14:pctWidth>
            </wp14:sizeRelH>
            <wp14:sizeRelV relativeFrom="margin">
              <wp14:pctHeight>0</wp14:pctHeight>
            </wp14:sizeRelV>
          </wp:anchor>
        </w:drawing>
      </w:r>
    </w:p>
    <w:p w14:paraId="436BB415" w14:textId="77777777" w:rsidR="007B7EEC" w:rsidRPr="00E711EE" w:rsidRDefault="007B7EEC" w:rsidP="007B7EEC">
      <w:pPr>
        <w:pStyle w:val="MEHArial"/>
        <w:jc w:val="center"/>
        <w:rPr>
          <w:rFonts w:asciiTheme="majorHAnsi" w:hAnsiTheme="majorHAnsi" w:cstheme="majorHAnsi"/>
          <w:b/>
          <w:sz w:val="22"/>
          <w:szCs w:val="22"/>
        </w:rPr>
      </w:pPr>
    </w:p>
    <w:p w14:paraId="4BDF979F" w14:textId="77777777" w:rsidR="00822511" w:rsidRPr="00E711EE" w:rsidRDefault="00822511" w:rsidP="00FC52BA">
      <w:pPr>
        <w:pStyle w:val="MEHArial"/>
        <w:rPr>
          <w:rFonts w:asciiTheme="majorHAnsi" w:hAnsiTheme="majorHAnsi" w:cstheme="majorHAnsi"/>
          <w:b/>
          <w:sz w:val="22"/>
          <w:szCs w:val="22"/>
        </w:rPr>
      </w:pPr>
    </w:p>
    <w:p w14:paraId="10B24708" w14:textId="77777777" w:rsidR="00822511" w:rsidRPr="00E711EE" w:rsidRDefault="00822511" w:rsidP="00FC52BA">
      <w:pPr>
        <w:pStyle w:val="MEHArial"/>
        <w:rPr>
          <w:rFonts w:asciiTheme="majorHAnsi" w:hAnsiTheme="majorHAnsi" w:cstheme="majorHAnsi"/>
          <w:b/>
          <w:sz w:val="22"/>
          <w:szCs w:val="22"/>
        </w:rPr>
      </w:pPr>
    </w:p>
    <w:p w14:paraId="1880F72B" w14:textId="77777777" w:rsidR="000C5AF7" w:rsidRPr="00E711EE" w:rsidRDefault="000C5AF7" w:rsidP="00FC52BA">
      <w:pPr>
        <w:pStyle w:val="MEHArial"/>
        <w:rPr>
          <w:rFonts w:asciiTheme="majorHAnsi" w:hAnsiTheme="majorHAnsi" w:cstheme="majorHAnsi"/>
          <w:b/>
          <w:sz w:val="22"/>
          <w:szCs w:val="22"/>
        </w:rPr>
      </w:pPr>
    </w:p>
    <w:p w14:paraId="2696F2C1" w14:textId="77777777" w:rsidR="000C5AF7" w:rsidRPr="00E711EE" w:rsidRDefault="000C5AF7" w:rsidP="00FC52BA">
      <w:pPr>
        <w:pStyle w:val="MEHArial"/>
        <w:rPr>
          <w:rFonts w:asciiTheme="majorHAnsi" w:hAnsiTheme="majorHAnsi" w:cstheme="majorHAnsi"/>
          <w:b/>
          <w:sz w:val="22"/>
          <w:szCs w:val="22"/>
        </w:rPr>
      </w:pPr>
    </w:p>
    <w:p w14:paraId="561D755D" w14:textId="77777777" w:rsidR="00356BA6" w:rsidRPr="00781CFA" w:rsidRDefault="00356BA6" w:rsidP="002F70F1">
      <w:pPr>
        <w:pStyle w:val="MEHArial"/>
        <w:jc w:val="center"/>
        <w:rPr>
          <w:b/>
          <w:sz w:val="44"/>
        </w:rPr>
      </w:pPr>
      <w:r w:rsidRPr="00781CFA">
        <w:rPr>
          <w:b/>
          <w:sz w:val="44"/>
        </w:rPr>
        <w:t>Moorfields Eye Hospital NHS Foundation Trust</w:t>
      </w:r>
    </w:p>
    <w:p w14:paraId="158DE9EC" w14:textId="166BA3B2" w:rsidR="00356BA6" w:rsidRPr="00781CFA" w:rsidRDefault="002F70F1" w:rsidP="002F70F1">
      <w:pPr>
        <w:pStyle w:val="MEHArial"/>
        <w:jc w:val="center"/>
        <w:rPr>
          <w:b/>
          <w:sz w:val="44"/>
        </w:rPr>
      </w:pPr>
      <w:r w:rsidRPr="00781CFA">
        <w:rPr>
          <w:b/>
          <w:sz w:val="44"/>
        </w:rPr>
        <w:t>20</w:t>
      </w:r>
      <w:r w:rsidR="00D23E39" w:rsidRPr="00781CFA">
        <w:rPr>
          <w:b/>
          <w:sz w:val="44"/>
        </w:rPr>
        <w:t>21</w:t>
      </w:r>
      <w:r w:rsidRPr="00781CFA">
        <w:rPr>
          <w:b/>
          <w:sz w:val="44"/>
        </w:rPr>
        <w:t>/2</w:t>
      </w:r>
      <w:r w:rsidR="00D23E39" w:rsidRPr="00781CFA">
        <w:rPr>
          <w:b/>
          <w:sz w:val="44"/>
        </w:rPr>
        <w:t>2</w:t>
      </w:r>
      <w:r w:rsidRPr="00781CFA">
        <w:rPr>
          <w:b/>
          <w:sz w:val="44"/>
        </w:rPr>
        <w:t xml:space="preserve"> </w:t>
      </w:r>
      <w:r w:rsidR="00356BA6" w:rsidRPr="00781CFA">
        <w:rPr>
          <w:b/>
          <w:sz w:val="44"/>
        </w:rPr>
        <w:t>Annual Report and Accounts</w:t>
      </w:r>
    </w:p>
    <w:p w14:paraId="3A7399D4" w14:textId="7FE1311E" w:rsidR="004807DF" w:rsidRPr="00781CFA" w:rsidRDefault="004807DF" w:rsidP="002F70F1">
      <w:pPr>
        <w:pStyle w:val="MEHArial"/>
        <w:jc w:val="center"/>
        <w:rPr>
          <w:b/>
          <w:sz w:val="44"/>
        </w:rPr>
      </w:pPr>
    </w:p>
    <w:p w14:paraId="3638F89C" w14:textId="77777777" w:rsidR="00822511" w:rsidRPr="00781CFA" w:rsidRDefault="00822511" w:rsidP="00FC52BA">
      <w:pPr>
        <w:pStyle w:val="MEHArial"/>
        <w:rPr>
          <w:b/>
          <w:sz w:val="22"/>
        </w:rPr>
      </w:pPr>
    </w:p>
    <w:p w14:paraId="02679560" w14:textId="77777777" w:rsidR="00822511" w:rsidRPr="00781CFA" w:rsidRDefault="00822511" w:rsidP="00FC52BA">
      <w:pPr>
        <w:pStyle w:val="MEHArial"/>
        <w:rPr>
          <w:b/>
          <w:sz w:val="22"/>
        </w:rPr>
      </w:pPr>
    </w:p>
    <w:p w14:paraId="2EE87D32" w14:textId="77BA6689" w:rsidR="00BA149F" w:rsidRPr="00781CFA" w:rsidRDefault="00BA149F">
      <w:pPr>
        <w:rPr>
          <w:rFonts w:ascii="Arial" w:hAnsi="Arial"/>
          <w:spacing w:val="-10"/>
          <w:sz w:val="22"/>
          <w:highlight w:val="yellow"/>
        </w:rPr>
      </w:pPr>
      <w:r w:rsidRPr="00781CFA">
        <w:rPr>
          <w:rFonts w:ascii="Arial" w:hAnsi="Arial"/>
          <w:spacing w:val="-10"/>
          <w:sz w:val="22"/>
          <w:highlight w:val="yellow"/>
        </w:rPr>
        <w:br w:type="page"/>
      </w:r>
    </w:p>
    <w:p w14:paraId="44FC8F3A" w14:textId="77777777" w:rsidR="009C724E" w:rsidRPr="00781CFA" w:rsidRDefault="009C724E">
      <w:pPr>
        <w:rPr>
          <w:rFonts w:ascii="Arial" w:hAnsi="Arial"/>
          <w:spacing w:val="-10"/>
          <w:sz w:val="22"/>
          <w:highlight w:val="yellow"/>
        </w:rPr>
      </w:pPr>
    </w:p>
    <w:p w14:paraId="5555742D" w14:textId="25EC86F8" w:rsidR="009C724E" w:rsidRPr="00781CFA" w:rsidRDefault="009C724E">
      <w:pPr>
        <w:rPr>
          <w:rFonts w:ascii="Arial" w:hAnsi="Arial"/>
          <w:spacing w:val="-10"/>
          <w:sz w:val="22"/>
          <w:highlight w:val="yellow"/>
        </w:rPr>
      </w:pPr>
      <w:r w:rsidRPr="00781CFA">
        <w:rPr>
          <w:rFonts w:ascii="Arial" w:hAnsi="Arial"/>
          <w:spacing w:val="-10"/>
          <w:sz w:val="22"/>
          <w:highlight w:val="yellow"/>
        </w:rPr>
        <w:br w:type="page"/>
      </w:r>
    </w:p>
    <w:p w14:paraId="047BE0AD" w14:textId="77777777" w:rsidR="009C724E" w:rsidRPr="00781CFA" w:rsidRDefault="009C724E">
      <w:pPr>
        <w:rPr>
          <w:rFonts w:ascii="Arial" w:hAnsi="Arial"/>
          <w:spacing w:val="-10"/>
          <w:sz w:val="22"/>
          <w:highlight w:val="yellow"/>
        </w:rPr>
      </w:pPr>
    </w:p>
    <w:p w14:paraId="6D4E972F" w14:textId="77777777" w:rsidR="00BA149F" w:rsidRPr="00781CFA" w:rsidRDefault="00BA149F" w:rsidP="00BA149F">
      <w:pPr>
        <w:pStyle w:val="MEHArial"/>
        <w:rPr>
          <w:b/>
          <w:sz w:val="22"/>
        </w:rPr>
      </w:pPr>
    </w:p>
    <w:p w14:paraId="7B0AC860" w14:textId="77777777" w:rsidR="00BA149F" w:rsidRPr="00781CFA" w:rsidRDefault="00BA149F" w:rsidP="00BA149F">
      <w:pPr>
        <w:pStyle w:val="MEHArial"/>
        <w:rPr>
          <w:b/>
          <w:sz w:val="22"/>
        </w:rPr>
      </w:pPr>
    </w:p>
    <w:p w14:paraId="67B61710" w14:textId="77777777" w:rsidR="00BA149F" w:rsidRPr="00781CFA" w:rsidRDefault="00BA149F" w:rsidP="00BA149F">
      <w:pPr>
        <w:pStyle w:val="MEHArial"/>
        <w:rPr>
          <w:b/>
          <w:sz w:val="22"/>
        </w:rPr>
      </w:pPr>
    </w:p>
    <w:p w14:paraId="4F9FBB52" w14:textId="77777777" w:rsidR="00BA149F" w:rsidRPr="00781CFA" w:rsidRDefault="00BA149F" w:rsidP="00BA149F">
      <w:pPr>
        <w:pStyle w:val="MEHArial"/>
        <w:rPr>
          <w:b/>
          <w:sz w:val="22"/>
        </w:rPr>
      </w:pPr>
    </w:p>
    <w:p w14:paraId="280F8ED8" w14:textId="77777777" w:rsidR="00BA149F" w:rsidRPr="00781CFA" w:rsidRDefault="00BA149F" w:rsidP="00BA149F">
      <w:pPr>
        <w:pStyle w:val="MEHArial"/>
        <w:rPr>
          <w:b/>
          <w:sz w:val="44"/>
        </w:rPr>
      </w:pPr>
      <w:r w:rsidRPr="00781CFA">
        <w:rPr>
          <w:b/>
          <w:sz w:val="44"/>
        </w:rPr>
        <w:t>Moorfields Eye Hospital NHS Foundation Trust</w:t>
      </w:r>
    </w:p>
    <w:p w14:paraId="77E7C816" w14:textId="74CB861A" w:rsidR="00BA149F" w:rsidRPr="00781CFA" w:rsidRDefault="002F70F1" w:rsidP="00BA149F">
      <w:pPr>
        <w:pStyle w:val="MEHArial"/>
        <w:rPr>
          <w:b/>
          <w:sz w:val="44"/>
        </w:rPr>
      </w:pPr>
      <w:r w:rsidRPr="00781CFA">
        <w:rPr>
          <w:b/>
          <w:sz w:val="44"/>
        </w:rPr>
        <w:t>20</w:t>
      </w:r>
      <w:r w:rsidR="00D23E39" w:rsidRPr="00781CFA">
        <w:rPr>
          <w:b/>
          <w:sz w:val="44"/>
        </w:rPr>
        <w:t>21</w:t>
      </w:r>
      <w:r w:rsidRPr="00781CFA">
        <w:rPr>
          <w:b/>
          <w:sz w:val="44"/>
        </w:rPr>
        <w:t>/2</w:t>
      </w:r>
      <w:r w:rsidR="00D23E39" w:rsidRPr="00781CFA">
        <w:rPr>
          <w:b/>
          <w:sz w:val="44"/>
        </w:rPr>
        <w:t>2</w:t>
      </w:r>
      <w:r w:rsidRPr="00781CFA">
        <w:rPr>
          <w:b/>
          <w:sz w:val="44"/>
        </w:rPr>
        <w:t xml:space="preserve"> Annual Report and Accounts</w:t>
      </w:r>
    </w:p>
    <w:p w14:paraId="5542870D" w14:textId="503E3E76" w:rsidR="00BA149F" w:rsidRPr="00781CFA" w:rsidRDefault="00E711EE" w:rsidP="00BA149F">
      <w:pPr>
        <w:pStyle w:val="MEHArial"/>
        <w:rPr>
          <w:b/>
          <w:sz w:val="22"/>
        </w:rPr>
      </w:pPr>
      <w:r w:rsidRPr="00781CFA">
        <w:rPr>
          <w:b/>
          <w:sz w:val="22"/>
        </w:rPr>
        <w:t xml:space="preserve">   </w:t>
      </w:r>
    </w:p>
    <w:p w14:paraId="7443DA2E" w14:textId="77777777" w:rsidR="00BA149F" w:rsidRPr="00781CFA" w:rsidRDefault="00BA149F" w:rsidP="00BA149F">
      <w:pPr>
        <w:pStyle w:val="MEHArial"/>
        <w:rPr>
          <w:b/>
          <w:sz w:val="22"/>
        </w:rPr>
      </w:pPr>
    </w:p>
    <w:p w14:paraId="6A161C75" w14:textId="77777777" w:rsidR="00BA149F" w:rsidRPr="00781CFA" w:rsidRDefault="00BA149F" w:rsidP="00BA149F">
      <w:pPr>
        <w:pStyle w:val="MEHArial"/>
        <w:rPr>
          <w:spacing w:val="-10"/>
        </w:rPr>
      </w:pPr>
      <w:r w:rsidRPr="00781CFA">
        <w:t>Presented to Parliament pursuant to Schedule 7, paragraph 25 (4) (a) of the National Health Service Act 2006</w:t>
      </w:r>
      <w:r w:rsidRPr="00781CFA">
        <w:rPr>
          <w:spacing w:val="-10"/>
        </w:rPr>
        <w:t>.</w:t>
      </w:r>
    </w:p>
    <w:p w14:paraId="6EAD9A73" w14:textId="77777777" w:rsidR="009C724E" w:rsidRPr="00781CFA" w:rsidRDefault="009C724E">
      <w:pPr>
        <w:rPr>
          <w:rFonts w:ascii="Arial" w:hAnsi="Arial"/>
          <w:spacing w:val="-10"/>
          <w:sz w:val="22"/>
          <w:highlight w:val="yellow"/>
        </w:rPr>
      </w:pPr>
    </w:p>
    <w:p w14:paraId="54517AEA" w14:textId="77777777" w:rsidR="000F6E31" w:rsidRPr="00781CFA" w:rsidRDefault="000F6E31">
      <w:pPr>
        <w:rPr>
          <w:rFonts w:ascii="Arial" w:hAnsi="Arial"/>
          <w:spacing w:val="-10"/>
          <w:sz w:val="22"/>
          <w:highlight w:val="yellow"/>
        </w:rPr>
      </w:pPr>
    </w:p>
    <w:p w14:paraId="7A4D97A3" w14:textId="0DBF4712" w:rsidR="000F6E31" w:rsidRPr="00781CFA" w:rsidRDefault="000F6E31">
      <w:pPr>
        <w:rPr>
          <w:rFonts w:ascii="Arial" w:hAnsi="Arial"/>
          <w:spacing w:val="-10"/>
          <w:sz w:val="22"/>
          <w:highlight w:val="yellow"/>
        </w:rPr>
      </w:pPr>
      <w:r w:rsidRPr="00781CFA">
        <w:rPr>
          <w:rFonts w:ascii="Arial" w:hAnsi="Arial"/>
          <w:spacing w:val="-10"/>
          <w:sz w:val="22"/>
          <w:highlight w:val="yellow"/>
        </w:rPr>
        <w:br w:type="page"/>
      </w:r>
    </w:p>
    <w:p w14:paraId="4A489E08" w14:textId="6040BFF7" w:rsidR="000F6E31" w:rsidRPr="00781CFA" w:rsidRDefault="000F6E31">
      <w:pPr>
        <w:rPr>
          <w:rFonts w:ascii="Arial" w:hAnsi="Arial"/>
          <w:spacing w:val="-10"/>
          <w:sz w:val="22"/>
          <w:highlight w:val="yellow"/>
        </w:rPr>
      </w:pPr>
    </w:p>
    <w:p w14:paraId="7E0296CE" w14:textId="3F5D9723" w:rsidR="00BE33CC" w:rsidRPr="00781CFA" w:rsidRDefault="00BE33CC">
      <w:pPr>
        <w:rPr>
          <w:rFonts w:ascii="Arial" w:hAnsi="Arial"/>
          <w:spacing w:val="-10"/>
          <w:sz w:val="22"/>
          <w:highlight w:val="yellow"/>
        </w:rPr>
      </w:pPr>
    </w:p>
    <w:p w14:paraId="2F115480" w14:textId="77777777" w:rsidR="000F6E31" w:rsidRPr="00781CFA" w:rsidRDefault="000F6E31">
      <w:pPr>
        <w:rPr>
          <w:rFonts w:ascii="Arial" w:hAnsi="Arial"/>
          <w:spacing w:val="-10"/>
          <w:sz w:val="22"/>
          <w:highlight w:val="yellow"/>
        </w:rPr>
      </w:pPr>
    </w:p>
    <w:p w14:paraId="46E3904F" w14:textId="77777777" w:rsidR="000F6E31" w:rsidRPr="00781CFA" w:rsidRDefault="000F6E31">
      <w:pPr>
        <w:rPr>
          <w:rFonts w:ascii="Arial" w:hAnsi="Arial"/>
          <w:spacing w:val="-10"/>
          <w:sz w:val="22"/>
          <w:highlight w:val="yellow"/>
        </w:rPr>
      </w:pPr>
    </w:p>
    <w:p w14:paraId="2324106D" w14:textId="77777777" w:rsidR="000F6E31" w:rsidRPr="00781CFA" w:rsidRDefault="000F6E31">
      <w:pPr>
        <w:rPr>
          <w:rFonts w:ascii="Arial" w:hAnsi="Arial"/>
          <w:spacing w:val="-10"/>
          <w:sz w:val="22"/>
          <w:highlight w:val="yellow"/>
        </w:rPr>
      </w:pPr>
    </w:p>
    <w:p w14:paraId="3996E463" w14:textId="77777777" w:rsidR="000F6E31" w:rsidRPr="00781CFA" w:rsidRDefault="000F6E31">
      <w:pPr>
        <w:rPr>
          <w:rFonts w:ascii="Arial" w:hAnsi="Arial"/>
          <w:spacing w:val="-10"/>
          <w:sz w:val="22"/>
          <w:highlight w:val="yellow"/>
        </w:rPr>
      </w:pPr>
    </w:p>
    <w:p w14:paraId="6CC48C0B" w14:textId="77777777" w:rsidR="000F6E31" w:rsidRPr="00781CFA" w:rsidRDefault="000F6E31">
      <w:pPr>
        <w:rPr>
          <w:rFonts w:ascii="Arial" w:hAnsi="Arial"/>
          <w:spacing w:val="-10"/>
          <w:sz w:val="22"/>
          <w:highlight w:val="yellow"/>
        </w:rPr>
      </w:pPr>
    </w:p>
    <w:p w14:paraId="4B3D7948" w14:textId="77777777" w:rsidR="000F6E31" w:rsidRPr="00781CFA" w:rsidRDefault="000F6E31">
      <w:pPr>
        <w:rPr>
          <w:rFonts w:ascii="Arial" w:hAnsi="Arial"/>
          <w:spacing w:val="-10"/>
          <w:sz w:val="22"/>
          <w:highlight w:val="yellow"/>
        </w:rPr>
      </w:pPr>
    </w:p>
    <w:p w14:paraId="10629F98" w14:textId="77777777" w:rsidR="000F6E31" w:rsidRPr="00781CFA" w:rsidRDefault="000F6E31">
      <w:pPr>
        <w:rPr>
          <w:rFonts w:ascii="Arial" w:hAnsi="Arial"/>
          <w:spacing w:val="-10"/>
          <w:sz w:val="22"/>
          <w:highlight w:val="yellow"/>
        </w:rPr>
      </w:pPr>
    </w:p>
    <w:p w14:paraId="329134EE" w14:textId="77777777" w:rsidR="000F6E31" w:rsidRPr="00781CFA" w:rsidRDefault="000F6E31">
      <w:pPr>
        <w:rPr>
          <w:rFonts w:ascii="Arial" w:hAnsi="Arial"/>
          <w:spacing w:val="-10"/>
          <w:sz w:val="22"/>
          <w:highlight w:val="yellow"/>
        </w:rPr>
      </w:pPr>
    </w:p>
    <w:p w14:paraId="07A85679" w14:textId="77777777" w:rsidR="000F6E31" w:rsidRPr="00781CFA" w:rsidRDefault="000F6E31">
      <w:pPr>
        <w:rPr>
          <w:rFonts w:ascii="Arial" w:hAnsi="Arial"/>
          <w:spacing w:val="-10"/>
          <w:sz w:val="22"/>
          <w:highlight w:val="yellow"/>
        </w:rPr>
      </w:pPr>
    </w:p>
    <w:p w14:paraId="600A026C" w14:textId="77777777" w:rsidR="000F6E31" w:rsidRPr="00781CFA" w:rsidRDefault="000F6E31">
      <w:pPr>
        <w:rPr>
          <w:rFonts w:ascii="Arial" w:hAnsi="Arial"/>
          <w:spacing w:val="-10"/>
          <w:sz w:val="22"/>
          <w:highlight w:val="yellow"/>
        </w:rPr>
      </w:pPr>
    </w:p>
    <w:p w14:paraId="7B0BD85A" w14:textId="77777777" w:rsidR="000F6E31" w:rsidRPr="00781CFA" w:rsidRDefault="000F6E31">
      <w:pPr>
        <w:rPr>
          <w:rFonts w:ascii="Arial" w:hAnsi="Arial"/>
          <w:spacing w:val="-10"/>
          <w:sz w:val="22"/>
          <w:highlight w:val="yellow"/>
        </w:rPr>
      </w:pPr>
    </w:p>
    <w:p w14:paraId="1077DCD9" w14:textId="77777777" w:rsidR="000F6E31" w:rsidRPr="00781CFA" w:rsidRDefault="000F6E31">
      <w:pPr>
        <w:rPr>
          <w:rFonts w:ascii="Arial" w:hAnsi="Arial"/>
          <w:spacing w:val="-10"/>
          <w:sz w:val="22"/>
          <w:highlight w:val="yellow"/>
        </w:rPr>
      </w:pPr>
    </w:p>
    <w:p w14:paraId="616036BD" w14:textId="77777777" w:rsidR="000F6E31" w:rsidRPr="00781CFA" w:rsidRDefault="000F6E31">
      <w:pPr>
        <w:rPr>
          <w:rFonts w:ascii="Arial" w:hAnsi="Arial"/>
          <w:spacing w:val="-10"/>
          <w:sz w:val="22"/>
          <w:highlight w:val="yellow"/>
        </w:rPr>
      </w:pPr>
    </w:p>
    <w:p w14:paraId="4320DC8F" w14:textId="77777777" w:rsidR="000F6E31" w:rsidRPr="00781CFA" w:rsidRDefault="000F6E31">
      <w:pPr>
        <w:rPr>
          <w:rFonts w:ascii="Arial" w:hAnsi="Arial"/>
          <w:spacing w:val="-10"/>
          <w:sz w:val="22"/>
          <w:highlight w:val="yellow"/>
        </w:rPr>
      </w:pPr>
    </w:p>
    <w:p w14:paraId="5EBA2301" w14:textId="77777777" w:rsidR="000F6E31" w:rsidRPr="00781CFA" w:rsidRDefault="000F6E31">
      <w:pPr>
        <w:rPr>
          <w:rFonts w:ascii="Arial" w:hAnsi="Arial"/>
          <w:spacing w:val="-10"/>
          <w:sz w:val="22"/>
          <w:highlight w:val="yellow"/>
        </w:rPr>
      </w:pPr>
    </w:p>
    <w:p w14:paraId="25DDBB07" w14:textId="77777777" w:rsidR="000F6E31" w:rsidRPr="00781CFA" w:rsidRDefault="000F6E31">
      <w:pPr>
        <w:rPr>
          <w:rFonts w:ascii="Arial" w:hAnsi="Arial"/>
          <w:spacing w:val="-10"/>
          <w:sz w:val="22"/>
          <w:highlight w:val="yellow"/>
        </w:rPr>
      </w:pPr>
    </w:p>
    <w:p w14:paraId="465CB0F7" w14:textId="77777777" w:rsidR="000F6E31" w:rsidRPr="00781CFA" w:rsidRDefault="000F6E31">
      <w:pPr>
        <w:rPr>
          <w:rFonts w:ascii="Arial" w:hAnsi="Arial"/>
          <w:spacing w:val="-10"/>
          <w:sz w:val="22"/>
          <w:highlight w:val="yellow"/>
        </w:rPr>
      </w:pPr>
    </w:p>
    <w:p w14:paraId="6CFDE120" w14:textId="77777777" w:rsidR="000F6E31" w:rsidRPr="00781CFA" w:rsidRDefault="000F6E31">
      <w:pPr>
        <w:rPr>
          <w:rFonts w:ascii="Arial" w:hAnsi="Arial"/>
          <w:spacing w:val="-10"/>
          <w:sz w:val="22"/>
          <w:highlight w:val="yellow"/>
        </w:rPr>
      </w:pPr>
    </w:p>
    <w:p w14:paraId="62B269F4" w14:textId="77777777" w:rsidR="000F6E31" w:rsidRPr="00781CFA" w:rsidRDefault="000F6E31">
      <w:pPr>
        <w:rPr>
          <w:rFonts w:ascii="Arial" w:hAnsi="Arial"/>
          <w:spacing w:val="-10"/>
          <w:sz w:val="22"/>
          <w:highlight w:val="yellow"/>
        </w:rPr>
      </w:pPr>
    </w:p>
    <w:p w14:paraId="7197B40B" w14:textId="77777777" w:rsidR="000F6E31" w:rsidRPr="00781CFA" w:rsidRDefault="000F6E31">
      <w:pPr>
        <w:rPr>
          <w:rFonts w:ascii="Arial" w:hAnsi="Arial"/>
          <w:spacing w:val="-10"/>
          <w:sz w:val="22"/>
          <w:highlight w:val="yellow"/>
        </w:rPr>
      </w:pPr>
    </w:p>
    <w:p w14:paraId="63E2F43E" w14:textId="77777777" w:rsidR="000F6E31" w:rsidRPr="00781CFA" w:rsidRDefault="000F6E31">
      <w:pPr>
        <w:rPr>
          <w:rFonts w:ascii="Arial" w:hAnsi="Arial"/>
          <w:spacing w:val="-10"/>
          <w:sz w:val="22"/>
          <w:highlight w:val="yellow"/>
        </w:rPr>
      </w:pPr>
    </w:p>
    <w:p w14:paraId="14C0DE18" w14:textId="77777777" w:rsidR="000F6E31" w:rsidRPr="00781CFA" w:rsidRDefault="000F6E31">
      <w:pPr>
        <w:rPr>
          <w:rFonts w:ascii="Arial" w:hAnsi="Arial"/>
          <w:spacing w:val="-10"/>
          <w:sz w:val="22"/>
          <w:highlight w:val="yellow"/>
        </w:rPr>
      </w:pPr>
    </w:p>
    <w:p w14:paraId="461503F4" w14:textId="77777777" w:rsidR="000F6E31" w:rsidRPr="00781CFA" w:rsidRDefault="000F6E31">
      <w:pPr>
        <w:rPr>
          <w:rFonts w:ascii="Arial" w:hAnsi="Arial"/>
          <w:spacing w:val="-10"/>
          <w:sz w:val="22"/>
          <w:highlight w:val="yellow"/>
        </w:rPr>
      </w:pPr>
    </w:p>
    <w:p w14:paraId="2F457B30" w14:textId="77777777" w:rsidR="000F6E31" w:rsidRPr="00781CFA" w:rsidRDefault="000F6E31">
      <w:pPr>
        <w:rPr>
          <w:rFonts w:ascii="Arial" w:hAnsi="Arial"/>
          <w:spacing w:val="-10"/>
          <w:sz w:val="22"/>
          <w:highlight w:val="yellow"/>
        </w:rPr>
      </w:pPr>
    </w:p>
    <w:p w14:paraId="1793A839" w14:textId="77777777" w:rsidR="000F6E31" w:rsidRPr="00781CFA" w:rsidRDefault="000F6E31">
      <w:pPr>
        <w:rPr>
          <w:rFonts w:ascii="Arial" w:hAnsi="Arial"/>
          <w:spacing w:val="-10"/>
          <w:sz w:val="22"/>
          <w:highlight w:val="yellow"/>
        </w:rPr>
      </w:pPr>
    </w:p>
    <w:p w14:paraId="16A946A3" w14:textId="77777777" w:rsidR="000F6E31" w:rsidRPr="00781CFA" w:rsidRDefault="000F6E31">
      <w:pPr>
        <w:rPr>
          <w:rFonts w:ascii="Arial" w:hAnsi="Arial"/>
          <w:spacing w:val="-10"/>
          <w:sz w:val="22"/>
          <w:highlight w:val="yellow"/>
        </w:rPr>
      </w:pPr>
    </w:p>
    <w:p w14:paraId="770789F8" w14:textId="77777777" w:rsidR="000F6E31" w:rsidRPr="00781CFA" w:rsidRDefault="000F6E31">
      <w:pPr>
        <w:rPr>
          <w:rFonts w:ascii="Arial" w:hAnsi="Arial"/>
          <w:spacing w:val="-10"/>
          <w:sz w:val="22"/>
          <w:highlight w:val="yellow"/>
        </w:rPr>
      </w:pPr>
    </w:p>
    <w:p w14:paraId="7744D61E" w14:textId="77777777" w:rsidR="000F6E31" w:rsidRPr="00781CFA" w:rsidRDefault="000F6E31">
      <w:pPr>
        <w:rPr>
          <w:rFonts w:ascii="Arial" w:hAnsi="Arial"/>
          <w:spacing w:val="-10"/>
          <w:sz w:val="22"/>
          <w:highlight w:val="yellow"/>
        </w:rPr>
      </w:pPr>
    </w:p>
    <w:p w14:paraId="26D733D0" w14:textId="77777777" w:rsidR="000F6E31" w:rsidRPr="00781CFA" w:rsidRDefault="000F6E31">
      <w:pPr>
        <w:rPr>
          <w:rFonts w:ascii="Arial" w:hAnsi="Arial"/>
          <w:spacing w:val="-10"/>
          <w:sz w:val="22"/>
          <w:highlight w:val="yellow"/>
        </w:rPr>
      </w:pPr>
    </w:p>
    <w:p w14:paraId="28EB703B" w14:textId="77777777" w:rsidR="000F6E31" w:rsidRPr="00781CFA" w:rsidRDefault="000F6E31">
      <w:pPr>
        <w:rPr>
          <w:rFonts w:ascii="Arial" w:hAnsi="Arial"/>
          <w:spacing w:val="-10"/>
          <w:sz w:val="22"/>
          <w:highlight w:val="yellow"/>
        </w:rPr>
      </w:pPr>
    </w:p>
    <w:p w14:paraId="6B3D4DB7" w14:textId="77777777" w:rsidR="000F6E31" w:rsidRPr="00781CFA" w:rsidRDefault="000F6E31">
      <w:pPr>
        <w:rPr>
          <w:rFonts w:ascii="Arial" w:hAnsi="Arial"/>
          <w:spacing w:val="-10"/>
          <w:sz w:val="22"/>
          <w:highlight w:val="yellow"/>
        </w:rPr>
      </w:pPr>
    </w:p>
    <w:p w14:paraId="29DB4DDB" w14:textId="77777777" w:rsidR="000F6E31" w:rsidRPr="00781CFA" w:rsidRDefault="000F6E31">
      <w:pPr>
        <w:rPr>
          <w:rFonts w:ascii="Arial" w:hAnsi="Arial"/>
          <w:spacing w:val="-10"/>
          <w:sz w:val="22"/>
          <w:highlight w:val="yellow"/>
        </w:rPr>
      </w:pPr>
    </w:p>
    <w:p w14:paraId="5D46A572" w14:textId="77777777" w:rsidR="000F6E31" w:rsidRPr="00781CFA" w:rsidRDefault="000F6E31">
      <w:pPr>
        <w:rPr>
          <w:rFonts w:ascii="Arial" w:hAnsi="Arial"/>
          <w:spacing w:val="-10"/>
          <w:sz w:val="22"/>
          <w:highlight w:val="yellow"/>
        </w:rPr>
      </w:pPr>
    </w:p>
    <w:p w14:paraId="7A45ECEA" w14:textId="77777777" w:rsidR="000F6E31" w:rsidRPr="00781CFA" w:rsidRDefault="000F6E31">
      <w:pPr>
        <w:rPr>
          <w:rFonts w:ascii="Arial" w:hAnsi="Arial"/>
          <w:spacing w:val="-10"/>
          <w:sz w:val="22"/>
          <w:highlight w:val="yellow"/>
        </w:rPr>
      </w:pPr>
    </w:p>
    <w:p w14:paraId="679EB96D" w14:textId="77777777" w:rsidR="000F6E31" w:rsidRPr="00781CFA" w:rsidRDefault="000F6E31">
      <w:pPr>
        <w:rPr>
          <w:rFonts w:ascii="Arial" w:hAnsi="Arial"/>
          <w:spacing w:val="-10"/>
          <w:sz w:val="22"/>
          <w:highlight w:val="yellow"/>
        </w:rPr>
      </w:pPr>
    </w:p>
    <w:p w14:paraId="4F3C8481" w14:textId="77777777" w:rsidR="000F6E31" w:rsidRPr="00781CFA" w:rsidRDefault="000F6E31">
      <w:pPr>
        <w:rPr>
          <w:rFonts w:ascii="Arial" w:hAnsi="Arial"/>
          <w:spacing w:val="-10"/>
          <w:sz w:val="22"/>
          <w:highlight w:val="yellow"/>
        </w:rPr>
      </w:pPr>
    </w:p>
    <w:p w14:paraId="5FB43702" w14:textId="77777777" w:rsidR="000F6E31" w:rsidRPr="00781CFA" w:rsidRDefault="000F6E31">
      <w:pPr>
        <w:rPr>
          <w:rFonts w:ascii="Arial" w:hAnsi="Arial"/>
          <w:spacing w:val="-10"/>
          <w:sz w:val="22"/>
          <w:highlight w:val="yellow"/>
        </w:rPr>
      </w:pPr>
    </w:p>
    <w:p w14:paraId="1FAF2204" w14:textId="77777777" w:rsidR="000F6E31" w:rsidRPr="00781CFA" w:rsidRDefault="000F6E31">
      <w:pPr>
        <w:rPr>
          <w:rFonts w:ascii="Arial" w:hAnsi="Arial"/>
          <w:spacing w:val="-10"/>
          <w:sz w:val="22"/>
          <w:highlight w:val="yellow"/>
        </w:rPr>
      </w:pPr>
    </w:p>
    <w:p w14:paraId="1CB8C893" w14:textId="77777777" w:rsidR="000F6E31" w:rsidRPr="00781CFA" w:rsidRDefault="000F6E31">
      <w:pPr>
        <w:rPr>
          <w:rFonts w:ascii="Arial" w:hAnsi="Arial"/>
          <w:spacing w:val="-10"/>
          <w:sz w:val="22"/>
          <w:highlight w:val="yellow"/>
        </w:rPr>
      </w:pPr>
    </w:p>
    <w:p w14:paraId="77F37010" w14:textId="77777777" w:rsidR="000F6E31" w:rsidRPr="00781CFA" w:rsidRDefault="000F6E31">
      <w:pPr>
        <w:rPr>
          <w:rFonts w:ascii="Arial" w:hAnsi="Arial"/>
          <w:spacing w:val="-10"/>
          <w:sz w:val="22"/>
          <w:highlight w:val="yellow"/>
        </w:rPr>
      </w:pPr>
    </w:p>
    <w:p w14:paraId="511F0CA6" w14:textId="77777777" w:rsidR="000F6E31" w:rsidRPr="00781CFA" w:rsidRDefault="000F6E31">
      <w:pPr>
        <w:rPr>
          <w:rFonts w:ascii="Arial" w:hAnsi="Arial"/>
          <w:spacing w:val="-10"/>
          <w:sz w:val="22"/>
          <w:highlight w:val="yellow"/>
        </w:rPr>
      </w:pPr>
    </w:p>
    <w:p w14:paraId="2F35194B" w14:textId="77777777" w:rsidR="000F6E31" w:rsidRPr="00781CFA" w:rsidRDefault="000F6E31">
      <w:pPr>
        <w:rPr>
          <w:rFonts w:ascii="Arial" w:hAnsi="Arial"/>
          <w:spacing w:val="-10"/>
          <w:sz w:val="22"/>
          <w:highlight w:val="yellow"/>
        </w:rPr>
      </w:pPr>
    </w:p>
    <w:p w14:paraId="231815AF" w14:textId="77777777" w:rsidR="000F6E31" w:rsidRPr="00781CFA" w:rsidRDefault="000F6E31">
      <w:pPr>
        <w:rPr>
          <w:rFonts w:ascii="Arial" w:hAnsi="Arial"/>
          <w:spacing w:val="-10"/>
          <w:sz w:val="22"/>
          <w:highlight w:val="yellow"/>
        </w:rPr>
      </w:pPr>
    </w:p>
    <w:p w14:paraId="6E04A054" w14:textId="77777777" w:rsidR="000F6E31" w:rsidRPr="00781CFA" w:rsidRDefault="000F6E31">
      <w:pPr>
        <w:rPr>
          <w:rFonts w:ascii="Arial" w:hAnsi="Arial"/>
          <w:spacing w:val="-10"/>
          <w:sz w:val="22"/>
          <w:highlight w:val="yellow"/>
        </w:rPr>
      </w:pPr>
    </w:p>
    <w:p w14:paraId="4287BAD7" w14:textId="77777777" w:rsidR="000F6E31" w:rsidRPr="00781CFA" w:rsidRDefault="000F6E31">
      <w:pPr>
        <w:rPr>
          <w:rFonts w:ascii="Arial" w:hAnsi="Arial"/>
          <w:spacing w:val="-10"/>
          <w:sz w:val="22"/>
          <w:highlight w:val="yellow"/>
        </w:rPr>
      </w:pPr>
    </w:p>
    <w:p w14:paraId="6C179B66" w14:textId="77777777" w:rsidR="000F6E31" w:rsidRPr="00781CFA" w:rsidRDefault="000F6E31">
      <w:pPr>
        <w:rPr>
          <w:rFonts w:ascii="Arial" w:hAnsi="Arial"/>
          <w:spacing w:val="-10"/>
          <w:sz w:val="22"/>
          <w:highlight w:val="yellow"/>
        </w:rPr>
      </w:pPr>
    </w:p>
    <w:p w14:paraId="60B19B54" w14:textId="77777777" w:rsidR="000F6E31" w:rsidRPr="00781CFA" w:rsidRDefault="000F6E31">
      <w:pPr>
        <w:rPr>
          <w:rFonts w:ascii="Arial" w:hAnsi="Arial"/>
          <w:spacing w:val="-10"/>
          <w:sz w:val="22"/>
          <w:highlight w:val="yellow"/>
        </w:rPr>
      </w:pPr>
    </w:p>
    <w:p w14:paraId="18A0C859" w14:textId="77777777" w:rsidR="000F6E31" w:rsidRPr="00781CFA" w:rsidRDefault="000F6E31">
      <w:pPr>
        <w:rPr>
          <w:rFonts w:ascii="Arial" w:hAnsi="Arial"/>
          <w:spacing w:val="-10"/>
          <w:sz w:val="22"/>
          <w:highlight w:val="yellow"/>
        </w:rPr>
      </w:pPr>
    </w:p>
    <w:p w14:paraId="33F7F948" w14:textId="77777777" w:rsidR="000F6E31" w:rsidRPr="00781CFA" w:rsidRDefault="000F6E31">
      <w:pPr>
        <w:rPr>
          <w:rFonts w:ascii="Arial" w:hAnsi="Arial"/>
          <w:spacing w:val="-10"/>
          <w:sz w:val="22"/>
          <w:highlight w:val="yellow"/>
        </w:rPr>
      </w:pPr>
    </w:p>
    <w:p w14:paraId="4B230EBB" w14:textId="77777777" w:rsidR="000F6E31" w:rsidRPr="00781CFA" w:rsidRDefault="000F6E31">
      <w:pPr>
        <w:rPr>
          <w:rFonts w:ascii="Arial" w:hAnsi="Arial"/>
          <w:spacing w:val="-10"/>
          <w:sz w:val="22"/>
          <w:highlight w:val="yellow"/>
        </w:rPr>
      </w:pPr>
    </w:p>
    <w:p w14:paraId="1C31A971" w14:textId="248E450B" w:rsidR="000F6E31" w:rsidRPr="00781CFA" w:rsidRDefault="000F6E31">
      <w:pPr>
        <w:rPr>
          <w:rFonts w:ascii="Arial" w:hAnsi="Arial"/>
          <w:spacing w:val="-10"/>
          <w:sz w:val="22"/>
        </w:rPr>
      </w:pPr>
      <w:r w:rsidRPr="00781CFA">
        <w:rPr>
          <w:rFonts w:ascii="Arial" w:hAnsi="Arial"/>
          <w:spacing w:val="-10"/>
          <w:sz w:val="22"/>
        </w:rPr>
        <w:t xml:space="preserve">© </w:t>
      </w:r>
      <w:r w:rsidR="009912DF" w:rsidRPr="00781CFA">
        <w:rPr>
          <w:rFonts w:ascii="Arial" w:hAnsi="Arial"/>
          <w:spacing w:val="-10"/>
          <w:sz w:val="22"/>
        </w:rPr>
        <w:t>20</w:t>
      </w:r>
      <w:r w:rsidR="00B97BE0" w:rsidRPr="00781CFA">
        <w:rPr>
          <w:rFonts w:ascii="Arial" w:hAnsi="Arial"/>
          <w:spacing w:val="-10"/>
          <w:sz w:val="22"/>
        </w:rPr>
        <w:t>2</w:t>
      </w:r>
      <w:r w:rsidR="00D23E39" w:rsidRPr="00781CFA">
        <w:rPr>
          <w:rFonts w:ascii="Arial" w:hAnsi="Arial"/>
          <w:spacing w:val="-10"/>
          <w:sz w:val="22"/>
        </w:rPr>
        <w:t>2</w:t>
      </w:r>
      <w:r w:rsidR="009912DF" w:rsidRPr="00781CFA">
        <w:rPr>
          <w:rFonts w:ascii="Arial" w:hAnsi="Arial"/>
          <w:spacing w:val="-10"/>
          <w:sz w:val="22"/>
        </w:rPr>
        <w:t xml:space="preserve"> </w:t>
      </w:r>
      <w:r w:rsidRPr="00781CFA">
        <w:rPr>
          <w:rFonts w:ascii="Arial" w:hAnsi="Arial"/>
          <w:spacing w:val="-10"/>
          <w:sz w:val="22"/>
        </w:rPr>
        <w:t>Moorfields Eye Hospital NHS Foundation Trust</w:t>
      </w:r>
    </w:p>
    <w:p w14:paraId="555FB772" w14:textId="77777777" w:rsidR="00917E12" w:rsidRPr="00781CFA" w:rsidRDefault="00917E12" w:rsidP="00F00660">
      <w:pPr>
        <w:pStyle w:val="MEHBoldheading1"/>
        <w:rPr>
          <w:sz w:val="22"/>
        </w:rPr>
        <w:sectPr w:rsidR="00917E12" w:rsidRPr="00781CFA" w:rsidSect="006461DB">
          <w:headerReference w:type="default" r:id="rId10"/>
          <w:footerReference w:type="default" r:id="rId11"/>
          <w:pgSz w:w="11906" w:h="16838"/>
          <w:pgMar w:top="851" w:right="1440" w:bottom="993" w:left="1440" w:header="708" w:footer="708" w:gutter="0"/>
          <w:cols w:space="708"/>
          <w:titlePg/>
          <w:docGrid w:linePitch="360"/>
        </w:sectPr>
      </w:pPr>
    </w:p>
    <w:p w14:paraId="54590BED" w14:textId="772B5B6F" w:rsidR="00917E12" w:rsidRPr="00781CFA" w:rsidRDefault="00917E12" w:rsidP="00F00660">
      <w:pPr>
        <w:pStyle w:val="MEHBoldheading1"/>
        <w:rPr>
          <w:sz w:val="22"/>
        </w:rPr>
      </w:pPr>
    </w:p>
    <w:p w14:paraId="5B700AE5" w14:textId="625E8DD2" w:rsidR="00E53087" w:rsidRPr="00781CFA" w:rsidRDefault="000F6E31" w:rsidP="00F00660">
      <w:pPr>
        <w:pStyle w:val="MEHBoldheading1"/>
        <w:rPr>
          <w:sz w:val="22"/>
        </w:rPr>
      </w:pPr>
      <w:r w:rsidRPr="00781CFA">
        <w:rPr>
          <w:sz w:val="22"/>
        </w:rPr>
        <w:t>C</w:t>
      </w:r>
      <w:r w:rsidR="002E1A22" w:rsidRPr="00781CFA">
        <w:rPr>
          <w:sz w:val="22"/>
        </w:rPr>
        <w:t>ontents</w:t>
      </w:r>
    </w:p>
    <w:tbl>
      <w:tblPr>
        <w:tblStyle w:val="TableGrid"/>
        <w:tblW w:w="0" w:type="auto"/>
        <w:tblLook w:val="04A0" w:firstRow="1" w:lastRow="0" w:firstColumn="1" w:lastColumn="0" w:noHBand="0" w:noVBand="1"/>
      </w:tblPr>
      <w:tblGrid>
        <w:gridCol w:w="794"/>
        <w:gridCol w:w="7590"/>
        <w:gridCol w:w="632"/>
      </w:tblGrid>
      <w:tr w:rsidR="00E53087" w:rsidRPr="00E711EE" w14:paraId="754098D9" w14:textId="77777777" w:rsidTr="009E6268">
        <w:tc>
          <w:tcPr>
            <w:tcW w:w="810" w:type="dxa"/>
          </w:tcPr>
          <w:p w14:paraId="64B905D6" w14:textId="4FF75EA0" w:rsidR="00E53087" w:rsidRPr="00781CFA" w:rsidRDefault="00E53087" w:rsidP="00F00660">
            <w:pPr>
              <w:pStyle w:val="MEHBoldheading1"/>
              <w:rPr>
                <w:sz w:val="22"/>
              </w:rPr>
            </w:pPr>
            <w:r w:rsidRPr="00781CFA">
              <w:rPr>
                <w:sz w:val="22"/>
              </w:rPr>
              <w:t>1</w:t>
            </w:r>
          </w:p>
        </w:tc>
        <w:tc>
          <w:tcPr>
            <w:tcW w:w="7794" w:type="dxa"/>
          </w:tcPr>
          <w:p w14:paraId="763A4D66" w14:textId="3C87193C" w:rsidR="00E53087" w:rsidRPr="00781CFA" w:rsidRDefault="00C971CF" w:rsidP="00F00660">
            <w:pPr>
              <w:pStyle w:val="MEHBoldheading1"/>
              <w:rPr>
                <w:sz w:val="22"/>
              </w:rPr>
            </w:pPr>
            <w:r w:rsidRPr="00781CFA">
              <w:rPr>
                <w:sz w:val="22"/>
              </w:rPr>
              <w:t>Welcome from the chair and chief executive</w:t>
            </w:r>
          </w:p>
        </w:tc>
        <w:tc>
          <w:tcPr>
            <w:tcW w:w="638" w:type="dxa"/>
          </w:tcPr>
          <w:p w14:paraId="35B82A6E" w14:textId="77C81568" w:rsidR="00E53087" w:rsidRPr="00781CFA" w:rsidRDefault="001A07DD" w:rsidP="00F00660">
            <w:pPr>
              <w:pStyle w:val="MEHBoldheading1"/>
              <w:rPr>
                <w:sz w:val="22"/>
              </w:rPr>
            </w:pPr>
            <w:r>
              <w:rPr>
                <w:sz w:val="22"/>
              </w:rPr>
              <w:t>7</w:t>
            </w:r>
          </w:p>
        </w:tc>
      </w:tr>
      <w:tr w:rsidR="000C286B" w:rsidRPr="00E711EE" w14:paraId="0F1ECD4D" w14:textId="77777777" w:rsidTr="009E6268">
        <w:tc>
          <w:tcPr>
            <w:tcW w:w="810" w:type="dxa"/>
            <w:vMerge w:val="restart"/>
          </w:tcPr>
          <w:p w14:paraId="5DDD48DA" w14:textId="0B503484" w:rsidR="000C286B" w:rsidRPr="00781CFA" w:rsidRDefault="00C971CF" w:rsidP="00F00660">
            <w:pPr>
              <w:pStyle w:val="MEHBoldheading1"/>
              <w:rPr>
                <w:sz w:val="22"/>
              </w:rPr>
            </w:pPr>
            <w:r w:rsidRPr="00781CFA">
              <w:rPr>
                <w:sz w:val="22"/>
              </w:rPr>
              <w:t>2</w:t>
            </w:r>
          </w:p>
        </w:tc>
        <w:tc>
          <w:tcPr>
            <w:tcW w:w="7794" w:type="dxa"/>
          </w:tcPr>
          <w:p w14:paraId="4C0F7F3A" w14:textId="66277194" w:rsidR="000C286B" w:rsidRPr="00781CFA" w:rsidRDefault="000C286B" w:rsidP="004317CA">
            <w:pPr>
              <w:pStyle w:val="MEHBoldheading1"/>
              <w:rPr>
                <w:sz w:val="22"/>
              </w:rPr>
            </w:pPr>
            <w:r w:rsidRPr="00781CFA">
              <w:rPr>
                <w:sz w:val="22"/>
              </w:rPr>
              <w:t xml:space="preserve">Performance report </w:t>
            </w:r>
          </w:p>
        </w:tc>
        <w:tc>
          <w:tcPr>
            <w:tcW w:w="638" w:type="dxa"/>
          </w:tcPr>
          <w:p w14:paraId="0990B28F" w14:textId="21E1AC92" w:rsidR="000C286B" w:rsidRPr="00781CFA" w:rsidRDefault="001A07DD" w:rsidP="00F00660">
            <w:pPr>
              <w:pStyle w:val="MEHBoldheading1"/>
              <w:rPr>
                <w:sz w:val="22"/>
              </w:rPr>
            </w:pPr>
            <w:r>
              <w:rPr>
                <w:sz w:val="22"/>
              </w:rPr>
              <w:t>8</w:t>
            </w:r>
          </w:p>
        </w:tc>
      </w:tr>
      <w:tr w:rsidR="000C286B" w:rsidRPr="00E711EE" w14:paraId="1D3F85F1" w14:textId="77777777" w:rsidTr="009E6268">
        <w:tc>
          <w:tcPr>
            <w:tcW w:w="810" w:type="dxa"/>
            <w:vMerge/>
          </w:tcPr>
          <w:p w14:paraId="50214CED" w14:textId="295C2F8F" w:rsidR="000C286B" w:rsidRPr="00781CFA" w:rsidRDefault="000C286B" w:rsidP="00587C68">
            <w:pPr>
              <w:pStyle w:val="MEHBoldheading1"/>
              <w:rPr>
                <w:b w:val="0"/>
                <w:sz w:val="22"/>
              </w:rPr>
            </w:pPr>
          </w:p>
        </w:tc>
        <w:tc>
          <w:tcPr>
            <w:tcW w:w="7794" w:type="dxa"/>
          </w:tcPr>
          <w:p w14:paraId="2890FCF0" w14:textId="1F6E2530" w:rsidR="000C286B" w:rsidRPr="00781CFA" w:rsidRDefault="00E45051" w:rsidP="00B97BE0">
            <w:pPr>
              <w:pStyle w:val="MEHBoldheading1"/>
              <w:rPr>
                <w:b w:val="0"/>
                <w:sz w:val="22"/>
              </w:rPr>
            </w:pPr>
            <w:r>
              <w:rPr>
                <w:b w:val="0"/>
                <w:sz w:val="22"/>
              </w:rPr>
              <w:t xml:space="preserve">2.1 </w:t>
            </w:r>
            <w:r w:rsidR="000C286B" w:rsidRPr="00781CFA">
              <w:rPr>
                <w:b w:val="0"/>
                <w:sz w:val="22"/>
              </w:rPr>
              <w:t xml:space="preserve">Performance analysis </w:t>
            </w:r>
          </w:p>
        </w:tc>
        <w:tc>
          <w:tcPr>
            <w:tcW w:w="638" w:type="dxa"/>
          </w:tcPr>
          <w:p w14:paraId="5D4438AF" w14:textId="1622A5D3" w:rsidR="000C286B" w:rsidRPr="00781CFA" w:rsidRDefault="001A07DD" w:rsidP="00F00660">
            <w:pPr>
              <w:pStyle w:val="MEHBoldheading1"/>
              <w:rPr>
                <w:b w:val="0"/>
                <w:sz w:val="22"/>
              </w:rPr>
            </w:pPr>
            <w:r>
              <w:rPr>
                <w:b w:val="0"/>
                <w:sz w:val="22"/>
              </w:rPr>
              <w:t>12</w:t>
            </w:r>
          </w:p>
        </w:tc>
      </w:tr>
      <w:tr w:rsidR="000C286B" w:rsidRPr="00E711EE" w14:paraId="41E0F505" w14:textId="77777777" w:rsidTr="009E6268">
        <w:tc>
          <w:tcPr>
            <w:tcW w:w="810" w:type="dxa"/>
            <w:vMerge/>
          </w:tcPr>
          <w:p w14:paraId="030B606F" w14:textId="222C37DF" w:rsidR="000C286B" w:rsidRPr="00781CFA" w:rsidRDefault="000C286B" w:rsidP="00587C68">
            <w:pPr>
              <w:pStyle w:val="MEHBoldheading1"/>
              <w:rPr>
                <w:b w:val="0"/>
                <w:sz w:val="22"/>
              </w:rPr>
            </w:pPr>
          </w:p>
        </w:tc>
        <w:tc>
          <w:tcPr>
            <w:tcW w:w="7794" w:type="dxa"/>
          </w:tcPr>
          <w:p w14:paraId="667F344D" w14:textId="44C38B25" w:rsidR="000C286B" w:rsidRPr="00781CFA" w:rsidRDefault="00E45051" w:rsidP="00253C6C">
            <w:pPr>
              <w:pStyle w:val="MEHBoldheading1"/>
              <w:rPr>
                <w:b w:val="0"/>
                <w:sz w:val="22"/>
              </w:rPr>
            </w:pPr>
            <w:r>
              <w:rPr>
                <w:b w:val="0"/>
                <w:sz w:val="22"/>
              </w:rPr>
              <w:t xml:space="preserve">2.2 </w:t>
            </w:r>
            <w:r w:rsidR="000C286B" w:rsidRPr="00781CFA">
              <w:rPr>
                <w:b w:val="0"/>
                <w:sz w:val="22"/>
              </w:rPr>
              <w:t xml:space="preserve">Chief executive’s statement on performance </w:t>
            </w:r>
          </w:p>
        </w:tc>
        <w:tc>
          <w:tcPr>
            <w:tcW w:w="638" w:type="dxa"/>
          </w:tcPr>
          <w:p w14:paraId="39064DBC" w14:textId="70465351" w:rsidR="000C286B" w:rsidRPr="00781CFA" w:rsidRDefault="001A07DD" w:rsidP="004E7746">
            <w:pPr>
              <w:pStyle w:val="MEHBoldheading1"/>
              <w:rPr>
                <w:b w:val="0"/>
                <w:sz w:val="22"/>
              </w:rPr>
            </w:pPr>
            <w:r>
              <w:rPr>
                <w:b w:val="0"/>
                <w:sz w:val="22"/>
              </w:rPr>
              <w:t>23</w:t>
            </w:r>
          </w:p>
        </w:tc>
      </w:tr>
      <w:tr w:rsidR="000C286B" w:rsidRPr="00E711EE" w14:paraId="4CF6D1E1" w14:textId="77777777" w:rsidTr="009E6268">
        <w:tc>
          <w:tcPr>
            <w:tcW w:w="810" w:type="dxa"/>
            <w:vMerge w:val="restart"/>
          </w:tcPr>
          <w:p w14:paraId="41FC76DD" w14:textId="2A75088F" w:rsidR="000C286B" w:rsidRPr="00781CFA" w:rsidRDefault="00C971CF" w:rsidP="00F00660">
            <w:pPr>
              <w:pStyle w:val="MEHBoldheading1"/>
              <w:rPr>
                <w:sz w:val="22"/>
              </w:rPr>
            </w:pPr>
            <w:r w:rsidRPr="00781CFA">
              <w:rPr>
                <w:sz w:val="22"/>
              </w:rPr>
              <w:t>3</w:t>
            </w:r>
          </w:p>
        </w:tc>
        <w:tc>
          <w:tcPr>
            <w:tcW w:w="7794" w:type="dxa"/>
          </w:tcPr>
          <w:p w14:paraId="0D68C305" w14:textId="6B5DEF29" w:rsidR="000C286B" w:rsidRPr="00781CFA" w:rsidRDefault="000C286B" w:rsidP="00F00660">
            <w:pPr>
              <w:pStyle w:val="MEHBoldheading1"/>
              <w:rPr>
                <w:sz w:val="22"/>
              </w:rPr>
            </w:pPr>
            <w:r w:rsidRPr="00781CFA">
              <w:rPr>
                <w:sz w:val="22"/>
              </w:rPr>
              <w:t>Accountability report</w:t>
            </w:r>
          </w:p>
        </w:tc>
        <w:tc>
          <w:tcPr>
            <w:tcW w:w="638" w:type="dxa"/>
          </w:tcPr>
          <w:p w14:paraId="070E5C47" w14:textId="2BCEED11" w:rsidR="000C286B" w:rsidRPr="00781CFA" w:rsidRDefault="00E4210E" w:rsidP="00BA149F">
            <w:pPr>
              <w:pStyle w:val="MEHBoldheading1"/>
              <w:rPr>
                <w:sz w:val="22"/>
              </w:rPr>
            </w:pPr>
            <w:r w:rsidRPr="00781CFA">
              <w:rPr>
                <w:sz w:val="22"/>
              </w:rPr>
              <w:t>2</w:t>
            </w:r>
            <w:r w:rsidR="001A07DD">
              <w:rPr>
                <w:sz w:val="22"/>
              </w:rPr>
              <w:t>5</w:t>
            </w:r>
          </w:p>
        </w:tc>
      </w:tr>
      <w:tr w:rsidR="000C286B" w:rsidRPr="00E711EE" w14:paraId="302D8546" w14:textId="77777777" w:rsidTr="009E6268">
        <w:tc>
          <w:tcPr>
            <w:tcW w:w="810" w:type="dxa"/>
            <w:vMerge/>
          </w:tcPr>
          <w:p w14:paraId="4DFE8A0F" w14:textId="5C0B6977" w:rsidR="000C286B" w:rsidRPr="00781CFA" w:rsidRDefault="000C286B" w:rsidP="00F00660">
            <w:pPr>
              <w:pStyle w:val="MEHBoldheading1"/>
              <w:rPr>
                <w:b w:val="0"/>
                <w:sz w:val="22"/>
              </w:rPr>
            </w:pPr>
          </w:p>
        </w:tc>
        <w:tc>
          <w:tcPr>
            <w:tcW w:w="7794" w:type="dxa"/>
          </w:tcPr>
          <w:p w14:paraId="39033E83" w14:textId="668232A5" w:rsidR="000C286B" w:rsidRPr="00781CFA" w:rsidRDefault="00E45051" w:rsidP="00144417">
            <w:pPr>
              <w:pStyle w:val="MEHBoldheading1"/>
              <w:rPr>
                <w:b w:val="0"/>
                <w:sz w:val="22"/>
              </w:rPr>
            </w:pPr>
            <w:r>
              <w:rPr>
                <w:b w:val="0"/>
                <w:sz w:val="22"/>
              </w:rPr>
              <w:t xml:space="preserve">3.1 </w:t>
            </w:r>
            <w:r w:rsidR="000C286B" w:rsidRPr="00781CFA">
              <w:rPr>
                <w:b w:val="0"/>
                <w:sz w:val="22"/>
              </w:rPr>
              <w:t>Director’s report</w:t>
            </w:r>
          </w:p>
        </w:tc>
        <w:tc>
          <w:tcPr>
            <w:tcW w:w="638" w:type="dxa"/>
          </w:tcPr>
          <w:p w14:paraId="4C81F1FE" w14:textId="350CBBB5" w:rsidR="000C286B" w:rsidRPr="00781CFA" w:rsidRDefault="00E4210E" w:rsidP="00BA149F">
            <w:pPr>
              <w:pStyle w:val="MEHBoldheading1"/>
              <w:rPr>
                <w:b w:val="0"/>
                <w:sz w:val="22"/>
              </w:rPr>
            </w:pPr>
            <w:r w:rsidRPr="00781CFA">
              <w:rPr>
                <w:b w:val="0"/>
                <w:sz w:val="22"/>
              </w:rPr>
              <w:t>2</w:t>
            </w:r>
            <w:r w:rsidR="001A07DD">
              <w:rPr>
                <w:b w:val="0"/>
                <w:sz w:val="22"/>
              </w:rPr>
              <w:t>5</w:t>
            </w:r>
          </w:p>
        </w:tc>
      </w:tr>
      <w:tr w:rsidR="000C286B" w:rsidRPr="00E711EE" w14:paraId="15F45AA7" w14:textId="77777777" w:rsidTr="009E6268">
        <w:tc>
          <w:tcPr>
            <w:tcW w:w="810" w:type="dxa"/>
            <w:vMerge/>
          </w:tcPr>
          <w:p w14:paraId="38B2BDE2" w14:textId="77777777" w:rsidR="000C286B" w:rsidRPr="00781CFA" w:rsidRDefault="000C286B" w:rsidP="00F00660">
            <w:pPr>
              <w:pStyle w:val="MEHBoldheading1"/>
              <w:rPr>
                <w:b w:val="0"/>
                <w:sz w:val="22"/>
              </w:rPr>
            </w:pPr>
          </w:p>
        </w:tc>
        <w:tc>
          <w:tcPr>
            <w:tcW w:w="7794" w:type="dxa"/>
          </w:tcPr>
          <w:p w14:paraId="3C2B4E0F" w14:textId="7D49E39E" w:rsidR="000C286B" w:rsidRPr="00781CFA" w:rsidRDefault="00E45051" w:rsidP="00F00660">
            <w:pPr>
              <w:pStyle w:val="MEHBoldheading1"/>
              <w:rPr>
                <w:b w:val="0"/>
                <w:sz w:val="22"/>
              </w:rPr>
            </w:pPr>
            <w:r>
              <w:rPr>
                <w:b w:val="0"/>
                <w:sz w:val="22"/>
              </w:rPr>
              <w:t xml:space="preserve">3.2 </w:t>
            </w:r>
            <w:r w:rsidR="000C286B" w:rsidRPr="00781CFA">
              <w:rPr>
                <w:b w:val="0"/>
                <w:sz w:val="22"/>
              </w:rPr>
              <w:t>Membership report</w:t>
            </w:r>
          </w:p>
        </w:tc>
        <w:tc>
          <w:tcPr>
            <w:tcW w:w="638" w:type="dxa"/>
          </w:tcPr>
          <w:p w14:paraId="645E6FD0" w14:textId="6B140AAE" w:rsidR="000C286B" w:rsidRPr="00781CFA" w:rsidRDefault="001A07DD" w:rsidP="00EB45F3">
            <w:pPr>
              <w:pStyle w:val="MEHBoldheading1"/>
              <w:rPr>
                <w:b w:val="0"/>
                <w:sz w:val="22"/>
              </w:rPr>
            </w:pPr>
            <w:r>
              <w:rPr>
                <w:b w:val="0"/>
                <w:sz w:val="22"/>
              </w:rPr>
              <w:t>31</w:t>
            </w:r>
          </w:p>
        </w:tc>
      </w:tr>
      <w:tr w:rsidR="000C286B" w:rsidRPr="00E711EE" w14:paraId="737F9040" w14:textId="77777777" w:rsidTr="009E6268">
        <w:tc>
          <w:tcPr>
            <w:tcW w:w="810" w:type="dxa"/>
            <w:vMerge/>
          </w:tcPr>
          <w:p w14:paraId="4F3E391D" w14:textId="3CD9D3B2" w:rsidR="000C286B" w:rsidRPr="00781CFA" w:rsidRDefault="000C286B" w:rsidP="00F00660">
            <w:pPr>
              <w:pStyle w:val="MEHBoldheading1"/>
              <w:rPr>
                <w:b w:val="0"/>
                <w:sz w:val="22"/>
              </w:rPr>
            </w:pPr>
          </w:p>
        </w:tc>
        <w:tc>
          <w:tcPr>
            <w:tcW w:w="7794" w:type="dxa"/>
          </w:tcPr>
          <w:p w14:paraId="2121EC2C" w14:textId="321DCF6F" w:rsidR="000C286B" w:rsidRPr="00781CFA" w:rsidRDefault="00E45051" w:rsidP="00F00660">
            <w:pPr>
              <w:pStyle w:val="MEHBoldheading1"/>
              <w:rPr>
                <w:b w:val="0"/>
                <w:sz w:val="22"/>
              </w:rPr>
            </w:pPr>
            <w:r>
              <w:rPr>
                <w:b w:val="0"/>
                <w:sz w:val="22"/>
              </w:rPr>
              <w:t xml:space="preserve">3.3 </w:t>
            </w:r>
            <w:r w:rsidR="000C286B" w:rsidRPr="00781CFA">
              <w:rPr>
                <w:b w:val="0"/>
                <w:sz w:val="22"/>
              </w:rPr>
              <w:t>Remuneration report</w:t>
            </w:r>
          </w:p>
        </w:tc>
        <w:tc>
          <w:tcPr>
            <w:tcW w:w="638" w:type="dxa"/>
          </w:tcPr>
          <w:p w14:paraId="2D6E1745" w14:textId="15EB9B8A" w:rsidR="000C286B" w:rsidRPr="00781CFA" w:rsidRDefault="00E4210E" w:rsidP="00EB45F3">
            <w:pPr>
              <w:pStyle w:val="MEHBoldheading1"/>
              <w:rPr>
                <w:b w:val="0"/>
                <w:sz w:val="22"/>
              </w:rPr>
            </w:pPr>
            <w:r w:rsidRPr="00781CFA">
              <w:rPr>
                <w:b w:val="0"/>
                <w:sz w:val="22"/>
              </w:rPr>
              <w:t>3</w:t>
            </w:r>
            <w:r w:rsidR="001A07DD">
              <w:rPr>
                <w:b w:val="0"/>
                <w:sz w:val="22"/>
              </w:rPr>
              <w:t>7</w:t>
            </w:r>
          </w:p>
        </w:tc>
      </w:tr>
      <w:tr w:rsidR="000C286B" w:rsidRPr="00E711EE" w14:paraId="53C42437" w14:textId="77777777" w:rsidTr="009E6268">
        <w:tc>
          <w:tcPr>
            <w:tcW w:w="810" w:type="dxa"/>
            <w:vMerge/>
          </w:tcPr>
          <w:p w14:paraId="6E338A60" w14:textId="0B9B28DC" w:rsidR="000C286B" w:rsidRPr="00781CFA" w:rsidRDefault="000C286B" w:rsidP="00F00660">
            <w:pPr>
              <w:pStyle w:val="MEHBoldheading1"/>
              <w:rPr>
                <w:b w:val="0"/>
                <w:sz w:val="22"/>
              </w:rPr>
            </w:pPr>
          </w:p>
        </w:tc>
        <w:tc>
          <w:tcPr>
            <w:tcW w:w="7794" w:type="dxa"/>
          </w:tcPr>
          <w:p w14:paraId="4A506D40" w14:textId="71C3DFD7" w:rsidR="000C286B" w:rsidRPr="00781CFA" w:rsidRDefault="00E45051" w:rsidP="00F00660">
            <w:pPr>
              <w:pStyle w:val="MEHBoldheading1"/>
              <w:rPr>
                <w:b w:val="0"/>
                <w:sz w:val="22"/>
              </w:rPr>
            </w:pPr>
            <w:r>
              <w:rPr>
                <w:b w:val="0"/>
                <w:sz w:val="22"/>
              </w:rPr>
              <w:t xml:space="preserve">3.4 </w:t>
            </w:r>
            <w:r w:rsidR="000C286B" w:rsidRPr="00781CFA">
              <w:rPr>
                <w:b w:val="0"/>
                <w:sz w:val="22"/>
              </w:rPr>
              <w:t>Staff report</w:t>
            </w:r>
          </w:p>
        </w:tc>
        <w:tc>
          <w:tcPr>
            <w:tcW w:w="638" w:type="dxa"/>
          </w:tcPr>
          <w:p w14:paraId="0A7C0B24" w14:textId="44855A61" w:rsidR="000C286B" w:rsidRPr="00781CFA" w:rsidRDefault="00E4210E" w:rsidP="00EB45F3">
            <w:pPr>
              <w:pStyle w:val="MEHBoldheading1"/>
              <w:rPr>
                <w:b w:val="0"/>
                <w:sz w:val="22"/>
              </w:rPr>
            </w:pPr>
            <w:r w:rsidRPr="00781CFA">
              <w:rPr>
                <w:b w:val="0"/>
                <w:sz w:val="22"/>
              </w:rPr>
              <w:t>40</w:t>
            </w:r>
          </w:p>
        </w:tc>
      </w:tr>
      <w:tr w:rsidR="000C286B" w:rsidRPr="00E711EE" w14:paraId="7983D180" w14:textId="77777777" w:rsidTr="009E6268">
        <w:tc>
          <w:tcPr>
            <w:tcW w:w="810" w:type="dxa"/>
            <w:vMerge/>
          </w:tcPr>
          <w:p w14:paraId="2A19D3A5" w14:textId="5A7B478D" w:rsidR="000C286B" w:rsidRPr="00781CFA" w:rsidRDefault="000C286B" w:rsidP="005D08B4">
            <w:pPr>
              <w:pStyle w:val="MEHBoldheading1"/>
              <w:rPr>
                <w:b w:val="0"/>
                <w:sz w:val="22"/>
              </w:rPr>
            </w:pPr>
          </w:p>
        </w:tc>
        <w:tc>
          <w:tcPr>
            <w:tcW w:w="7794" w:type="dxa"/>
          </w:tcPr>
          <w:p w14:paraId="3BD92520" w14:textId="7A02FAC5" w:rsidR="000C286B" w:rsidRPr="00781CFA" w:rsidRDefault="00E45051" w:rsidP="00A14D7A">
            <w:pPr>
              <w:pStyle w:val="MEHBoldheading1"/>
              <w:rPr>
                <w:b w:val="0"/>
                <w:sz w:val="22"/>
              </w:rPr>
            </w:pPr>
            <w:r>
              <w:rPr>
                <w:b w:val="0"/>
                <w:sz w:val="22"/>
              </w:rPr>
              <w:t xml:space="preserve">3.5 </w:t>
            </w:r>
            <w:r w:rsidR="000C286B" w:rsidRPr="00781CFA">
              <w:rPr>
                <w:b w:val="0"/>
                <w:sz w:val="22"/>
              </w:rPr>
              <w:t xml:space="preserve">Statement of the chief executive’s responsibilities as the accounting officer </w:t>
            </w:r>
          </w:p>
        </w:tc>
        <w:tc>
          <w:tcPr>
            <w:tcW w:w="638" w:type="dxa"/>
          </w:tcPr>
          <w:p w14:paraId="147221B5" w14:textId="119B8B68" w:rsidR="000C286B" w:rsidRPr="00781CFA" w:rsidRDefault="00E4210E" w:rsidP="00EB45F3">
            <w:pPr>
              <w:pStyle w:val="MEHBoldheading1"/>
              <w:rPr>
                <w:b w:val="0"/>
                <w:sz w:val="22"/>
              </w:rPr>
            </w:pPr>
            <w:r w:rsidRPr="00781CFA">
              <w:rPr>
                <w:b w:val="0"/>
                <w:sz w:val="22"/>
              </w:rPr>
              <w:t>4</w:t>
            </w:r>
            <w:r w:rsidR="001A07DD">
              <w:rPr>
                <w:b w:val="0"/>
                <w:sz w:val="22"/>
              </w:rPr>
              <w:t>6</w:t>
            </w:r>
          </w:p>
        </w:tc>
      </w:tr>
      <w:tr w:rsidR="000C286B" w:rsidRPr="00E711EE" w14:paraId="53F335EB" w14:textId="77777777" w:rsidTr="009E6268">
        <w:tc>
          <w:tcPr>
            <w:tcW w:w="810" w:type="dxa"/>
            <w:vMerge/>
          </w:tcPr>
          <w:p w14:paraId="698DC307" w14:textId="4674DEF0" w:rsidR="000C286B" w:rsidRPr="00781CFA" w:rsidRDefault="000C286B" w:rsidP="005D08B4">
            <w:pPr>
              <w:pStyle w:val="MEHBoldheading1"/>
              <w:rPr>
                <w:b w:val="0"/>
                <w:sz w:val="22"/>
              </w:rPr>
            </w:pPr>
          </w:p>
        </w:tc>
        <w:tc>
          <w:tcPr>
            <w:tcW w:w="7794" w:type="dxa"/>
          </w:tcPr>
          <w:p w14:paraId="7E7FD13C" w14:textId="486EBC7E" w:rsidR="000C286B" w:rsidRPr="00781CFA" w:rsidRDefault="00E45051" w:rsidP="00F00660">
            <w:pPr>
              <w:pStyle w:val="MEHBoldheading1"/>
              <w:rPr>
                <w:b w:val="0"/>
                <w:sz w:val="22"/>
              </w:rPr>
            </w:pPr>
            <w:r>
              <w:rPr>
                <w:b w:val="0"/>
                <w:sz w:val="22"/>
              </w:rPr>
              <w:t xml:space="preserve">3.6 </w:t>
            </w:r>
            <w:r w:rsidR="000C286B" w:rsidRPr="00781CFA">
              <w:rPr>
                <w:b w:val="0"/>
                <w:sz w:val="22"/>
              </w:rPr>
              <w:t>Annual governance statement</w:t>
            </w:r>
          </w:p>
        </w:tc>
        <w:tc>
          <w:tcPr>
            <w:tcW w:w="638" w:type="dxa"/>
          </w:tcPr>
          <w:p w14:paraId="088AE801" w14:textId="36E8246A" w:rsidR="000C286B" w:rsidRPr="00781CFA" w:rsidRDefault="00E4210E" w:rsidP="00EB45F3">
            <w:pPr>
              <w:pStyle w:val="MEHBoldheading1"/>
              <w:rPr>
                <w:b w:val="0"/>
                <w:sz w:val="22"/>
              </w:rPr>
            </w:pPr>
            <w:r w:rsidRPr="00781CFA">
              <w:rPr>
                <w:b w:val="0"/>
                <w:sz w:val="22"/>
              </w:rPr>
              <w:t>4</w:t>
            </w:r>
            <w:r w:rsidR="001A07DD">
              <w:rPr>
                <w:b w:val="0"/>
                <w:sz w:val="22"/>
              </w:rPr>
              <w:t>7</w:t>
            </w:r>
          </w:p>
        </w:tc>
      </w:tr>
      <w:tr w:rsidR="00A14D7A" w:rsidRPr="00E711EE" w14:paraId="15C83B6C" w14:textId="77777777" w:rsidTr="009E6268">
        <w:tc>
          <w:tcPr>
            <w:tcW w:w="810" w:type="dxa"/>
          </w:tcPr>
          <w:p w14:paraId="140CE707" w14:textId="34C8750D" w:rsidR="00A14D7A" w:rsidRPr="00781CFA" w:rsidRDefault="007718E3" w:rsidP="00F00660">
            <w:pPr>
              <w:pStyle w:val="MEHBoldheading1"/>
              <w:rPr>
                <w:sz w:val="22"/>
              </w:rPr>
            </w:pPr>
            <w:r w:rsidRPr="00781CFA">
              <w:rPr>
                <w:sz w:val="22"/>
              </w:rPr>
              <w:t>4</w:t>
            </w:r>
          </w:p>
        </w:tc>
        <w:tc>
          <w:tcPr>
            <w:tcW w:w="7794" w:type="dxa"/>
          </w:tcPr>
          <w:p w14:paraId="4E07C086" w14:textId="0C4EE0FF" w:rsidR="00A14D7A" w:rsidRPr="00781CFA" w:rsidRDefault="00A14D7A" w:rsidP="00F00660">
            <w:pPr>
              <w:pStyle w:val="MEHBoldheading1"/>
              <w:rPr>
                <w:sz w:val="22"/>
              </w:rPr>
            </w:pPr>
            <w:r w:rsidRPr="00781CFA">
              <w:rPr>
                <w:sz w:val="22"/>
              </w:rPr>
              <w:t>Independent auditor’s report</w:t>
            </w:r>
            <w:r w:rsidR="002F70F1" w:rsidRPr="00781CFA">
              <w:rPr>
                <w:sz w:val="22"/>
              </w:rPr>
              <w:t xml:space="preserve"> </w:t>
            </w:r>
          </w:p>
        </w:tc>
        <w:tc>
          <w:tcPr>
            <w:tcW w:w="638" w:type="dxa"/>
          </w:tcPr>
          <w:p w14:paraId="1A71AB60" w14:textId="5B42195E" w:rsidR="00A14D7A" w:rsidRPr="00781CFA" w:rsidRDefault="00A14D7A" w:rsidP="00EB45F3">
            <w:pPr>
              <w:pStyle w:val="MEHBoldheading1"/>
              <w:rPr>
                <w:sz w:val="22"/>
              </w:rPr>
            </w:pPr>
          </w:p>
        </w:tc>
      </w:tr>
      <w:tr w:rsidR="00F44CBA" w:rsidRPr="00E711EE" w14:paraId="4DCC4CAF" w14:textId="77777777" w:rsidTr="009E6268">
        <w:tc>
          <w:tcPr>
            <w:tcW w:w="810" w:type="dxa"/>
          </w:tcPr>
          <w:p w14:paraId="1C213582" w14:textId="5CF9BA33" w:rsidR="00F44CBA" w:rsidRPr="00781CFA" w:rsidRDefault="007718E3" w:rsidP="00F00660">
            <w:pPr>
              <w:pStyle w:val="MEHBoldheading1"/>
              <w:rPr>
                <w:sz w:val="22"/>
              </w:rPr>
            </w:pPr>
            <w:r w:rsidRPr="00781CFA">
              <w:rPr>
                <w:sz w:val="22"/>
              </w:rPr>
              <w:t>5</w:t>
            </w:r>
          </w:p>
        </w:tc>
        <w:tc>
          <w:tcPr>
            <w:tcW w:w="7794" w:type="dxa"/>
          </w:tcPr>
          <w:p w14:paraId="410E88BB" w14:textId="263F4D8F" w:rsidR="00F44CBA" w:rsidRPr="00781CFA" w:rsidRDefault="00D23E39" w:rsidP="003157D2">
            <w:pPr>
              <w:pStyle w:val="MEHBoldheading1"/>
              <w:rPr>
                <w:sz w:val="22"/>
              </w:rPr>
            </w:pPr>
            <w:r w:rsidRPr="00781CFA">
              <w:rPr>
                <w:sz w:val="22"/>
              </w:rPr>
              <w:t>2021/22</w:t>
            </w:r>
            <w:r w:rsidR="002F70F1" w:rsidRPr="00781CFA">
              <w:rPr>
                <w:sz w:val="22"/>
              </w:rPr>
              <w:t xml:space="preserve"> </w:t>
            </w:r>
            <w:r w:rsidR="00F44CBA" w:rsidRPr="00781CFA">
              <w:rPr>
                <w:sz w:val="22"/>
              </w:rPr>
              <w:t xml:space="preserve">Annual Accounts </w:t>
            </w:r>
          </w:p>
        </w:tc>
        <w:tc>
          <w:tcPr>
            <w:tcW w:w="638" w:type="dxa"/>
          </w:tcPr>
          <w:p w14:paraId="65A032DE" w14:textId="129E783C" w:rsidR="00F44CBA" w:rsidRPr="00781CFA" w:rsidRDefault="00F44CBA" w:rsidP="00EB45F3">
            <w:pPr>
              <w:pStyle w:val="MEHBoldheading1"/>
              <w:rPr>
                <w:sz w:val="22"/>
              </w:rPr>
            </w:pPr>
          </w:p>
        </w:tc>
      </w:tr>
    </w:tbl>
    <w:p w14:paraId="783F5B3A" w14:textId="745ED379" w:rsidR="002E1A22" w:rsidRPr="00781CFA" w:rsidRDefault="002E1A22" w:rsidP="00F00660">
      <w:pPr>
        <w:pStyle w:val="MEHBoldheading1"/>
        <w:rPr>
          <w:sz w:val="22"/>
        </w:rPr>
      </w:pPr>
      <w:r w:rsidRPr="00781CFA">
        <w:rPr>
          <w:sz w:val="22"/>
        </w:rPr>
        <w:tab/>
      </w:r>
    </w:p>
    <w:p w14:paraId="1C7B2F90" w14:textId="77777777" w:rsidR="000919A6" w:rsidRPr="00781CFA" w:rsidRDefault="000919A6" w:rsidP="000919A6">
      <w:pPr>
        <w:rPr>
          <w:rFonts w:ascii="Arial" w:hAnsi="Arial"/>
          <w:sz w:val="22"/>
        </w:rPr>
      </w:pPr>
    </w:p>
    <w:p w14:paraId="3CDC7264" w14:textId="77777777" w:rsidR="000919A6" w:rsidRPr="00781CFA" w:rsidRDefault="000919A6" w:rsidP="000919A6">
      <w:pPr>
        <w:rPr>
          <w:rFonts w:ascii="Arial" w:hAnsi="Arial"/>
          <w:sz w:val="22"/>
        </w:rPr>
      </w:pPr>
    </w:p>
    <w:p w14:paraId="701D4050" w14:textId="694F11A7" w:rsidR="0098487B" w:rsidRPr="00781CFA" w:rsidRDefault="0098487B">
      <w:pPr>
        <w:rPr>
          <w:rFonts w:ascii="Arial" w:hAnsi="Arial"/>
          <w:sz w:val="22"/>
        </w:rPr>
      </w:pPr>
    </w:p>
    <w:p w14:paraId="196515C0" w14:textId="77777777" w:rsidR="00917E12" w:rsidRPr="00781CFA" w:rsidRDefault="00917E12">
      <w:pPr>
        <w:rPr>
          <w:rFonts w:ascii="Arial" w:hAnsi="Arial"/>
          <w:sz w:val="22"/>
        </w:rPr>
      </w:pPr>
    </w:p>
    <w:p w14:paraId="560037AC" w14:textId="77777777" w:rsidR="00917E12" w:rsidRPr="00781CFA" w:rsidRDefault="00917E12">
      <w:pPr>
        <w:rPr>
          <w:rFonts w:ascii="Arial" w:hAnsi="Arial"/>
          <w:sz w:val="22"/>
        </w:rPr>
      </w:pPr>
    </w:p>
    <w:p w14:paraId="6164A1EA" w14:textId="77777777" w:rsidR="00917E12" w:rsidRPr="00781CFA" w:rsidRDefault="00917E12">
      <w:pPr>
        <w:rPr>
          <w:rFonts w:ascii="Arial" w:hAnsi="Arial"/>
          <w:sz w:val="22"/>
        </w:rPr>
      </w:pPr>
    </w:p>
    <w:p w14:paraId="6CA48571" w14:textId="77777777" w:rsidR="00917E12" w:rsidRPr="00781CFA" w:rsidRDefault="00917E12">
      <w:pPr>
        <w:rPr>
          <w:rFonts w:ascii="Arial" w:hAnsi="Arial"/>
          <w:sz w:val="22"/>
        </w:rPr>
      </w:pPr>
    </w:p>
    <w:p w14:paraId="7EA02E6B" w14:textId="77777777" w:rsidR="00917E12" w:rsidRPr="00781CFA" w:rsidRDefault="00917E12">
      <w:pPr>
        <w:rPr>
          <w:rFonts w:ascii="Arial" w:hAnsi="Arial"/>
          <w:sz w:val="22"/>
        </w:rPr>
      </w:pPr>
    </w:p>
    <w:p w14:paraId="6221AE23" w14:textId="77777777" w:rsidR="00917E12" w:rsidRPr="00781CFA" w:rsidRDefault="00917E12">
      <w:pPr>
        <w:rPr>
          <w:rFonts w:ascii="Arial" w:hAnsi="Arial"/>
          <w:sz w:val="22"/>
        </w:rPr>
      </w:pPr>
    </w:p>
    <w:p w14:paraId="41226AE1" w14:textId="77777777" w:rsidR="00917E12" w:rsidRPr="00781CFA" w:rsidRDefault="00917E12">
      <w:pPr>
        <w:rPr>
          <w:rFonts w:ascii="Arial" w:hAnsi="Arial"/>
          <w:sz w:val="22"/>
        </w:rPr>
      </w:pPr>
    </w:p>
    <w:p w14:paraId="606AFE5F" w14:textId="77777777" w:rsidR="00917E12" w:rsidRPr="00781CFA" w:rsidRDefault="00917E12">
      <w:pPr>
        <w:rPr>
          <w:rFonts w:ascii="Arial" w:hAnsi="Arial"/>
          <w:sz w:val="22"/>
        </w:rPr>
      </w:pPr>
    </w:p>
    <w:p w14:paraId="03AD6B0A" w14:textId="77777777" w:rsidR="00917E12" w:rsidRPr="00781CFA" w:rsidRDefault="00917E12">
      <w:pPr>
        <w:rPr>
          <w:rFonts w:ascii="Arial" w:hAnsi="Arial"/>
          <w:sz w:val="22"/>
        </w:rPr>
      </w:pPr>
    </w:p>
    <w:p w14:paraId="2EF02105" w14:textId="77777777" w:rsidR="00917E12" w:rsidRPr="00781CFA" w:rsidRDefault="00917E12">
      <w:pPr>
        <w:rPr>
          <w:rFonts w:ascii="Arial" w:hAnsi="Arial"/>
          <w:sz w:val="22"/>
        </w:rPr>
      </w:pPr>
    </w:p>
    <w:p w14:paraId="4D2F941B" w14:textId="77777777" w:rsidR="00917E12" w:rsidRPr="00781CFA" w:rsidRDefault="00917E12">
      <w:pPr>
        <w:rPr>
          <w:rFonts w:ascii="Arial" w:hAnsi="Arial"/>
          <w:sz w:val="22"/>
        </w:rPr>
      </w:pPr>
    </w:p>
    <w:p w14:paraId="3551C11A" w14:textId="77777777" w:rsidR="00917E12" w:rsidRPr="00781CFA" w:rsidRDefault="00917E12">
      <w:pPr>
        <w:rPr>
          <w:rFonts w:ascii="Arial" w:hAnsi="Arial"/>
          <w:sz w:val="22"/>
        </w:rPr>
      </w:pPr>
    </w:p>
    <w:p w14:paraId="1C69CE80" w14:textId="77777777" w:rsidR="00917E12" w:rsidRPr="00781CFA" w:rsidRDefault="00917E12">
      <w:pPr>
        <w:rPr>
          <w:rFonts w:ascii="Arial" w:hAnsi="Arial"/>
          <w:sz w:val="22"/>
        </w:rPr>
      </w:pPr>
    </w:p>
    <w:p w14:paraId="2223C5FD" w14:textId="77777777" w:rsidR="00917E12" w:rsidRPr="00781CFA" w:rsidRDefault="00917E12">
      <w:pPr>
        <w:rPr>
          <w:rFonts w:ascii="Arial" w:hAnsi="Arial"/>
          <w:sz w:val="22"/>
        </w:rPr>
      </w:pPr>
    </w:p>
    <w:p w14:paraId="516F4B4F" w14:textId="77777777" w:rsidR="00917E12" w:rsidRPr="00781CFA" w:rsidRDefault="00917E12">
      <w:pPr>
        <w:rPr>
          <w:rFonts w:ascii="Arial" w:hAnsi="Arial"/>
          <w:sz w:val="22"/>
        </w:rPr>
      </w:pPr>
    </w:p>
    <w:p w14:paraId="35A8EBB8" w14:textId="77777777" w:rsidR="00917E12" w:rsidRPr="00781CFA" w:rsidRDefault="00917E12">
      <w:pPr>
        <w:rPr>
          <w:rFonts w:ascii="Arial" w:hAnsi="Arial"/>
          <w:sz w:val="22"/>
        </w:rPr>
      </w:pPr>
    </w:p>
    <w:p w14:paraId="2C67B967" w14:textId="6368ECEC" w:rsidR="00917E12" w:rsidRPr="00781CFA" w:rsidRDefault="00917E12">
      <w:pPr>
        <w:rPr>
          <w:rFonts w:ascii="Arial" w:hAnsi="Arial"/>
          <w:sz w:val="22"/>
        </w:rPr>
      </w:pPr>
    </w:p>
    <w:p w14:paraId="15D2298E" w14:textId="77777777" w:rsidR="00917E12" w:rsidRPr="00781CFA" w:rsidRDefault="00917E12">
      <w:pPr>
        <w:rPr>
          <w:rFonts w:ascii="Arial" w:hAnsi="Arial"/>
          <w:sz w:val="22"/>
        </w:rPr>
      </w:pPr>
    </w:p>
    <w:p w14:paraId="4C9ED0D7" w14:textId="77777777" w:rsidR="00D66FDE" w:rsidRPr="00781CFA" w:rsidRDefault="00D66FDE" w:rsidP="00D66FDE">
      <w:pPr>
        <w:pStyle w:val="PlainText"/>
        <w:jc w:val="both"/>
        <w:rPr>
          <w:rFonts w:ascii="Arial" w:hAnsi="Arial"/>
          <w:highlight w:val="yellow"/>
        </w:rPr>
      </w:pPr>
    </w:p>
    <w:p w14:paraId="248786D2" w14:textId="77777777" w:rsidR="00C971CF" w:rsidRPr="00781CFA" w:rsidRDefault="00C971CF" w:rsidP="003B108A">
      <w:pPr>
        <w:ind w:left="-426" w:right="-330"/>
        <w:jc w:val="both"/>
        <w:rPr>
          <w:rFonts w:ascii="Arial" w:hAnsi="Arial"/>
          <w:b/>
          <w:sz w:val="22"/>
        </w:rPr>
      </w:pPr>
    </w:p>
    <w:p w14:paraId="0FFBA4D6" w14:textId="77777777" w:rsidR="006A6DDB" w:rsidRPr="00781CFA" w:rsidRDefault="006A6DDB" w:rsidP="003B108A">
      <w:pPr>
        <w:ind w:left="-426" w:right="-330"/>
        <w:jc w:val="both"/>
        <w:rPr>
          <w:rFonts w:ascii="Arial" w:hAnsi="Arial"/>
          <w:b/>
          <w:sz w:val="22"/>
        </w:rPr>
      </w:pPr>
    </w:p>
    <w:p w14:paraId="1E0C6735" w14:textId="01C333FC" w:rsidR="00A23770" w:rsidRDefault="00A23770" w:rsidP="00E45051">
      <w:pPr>
        <w:ind w:right="-330"/>
        <w:jc w:val="both"/>
        <w:rPr>
          <w:rFonts w:ascii="Arial" w:hAnsi="Arial"/>
          <w:b/>
          <w:sz w:val="22"/>
        </w:rPr>
      </w:pPr>
    </w:p>
    <w:p w14:paraId="38ADEE5D" w14:textId="77777777" w:rsidR="00E45051" w:rsidRDefault="00E45051" w:rsidP="00E45051">
      <w:pPr>
        <w:ind w:right="-330"/>
        <w:jc w:val="both"/>
        <w:rPr>
          <w:rFonts w:ascii="Arial" w:hAnsi="Arial" w:cs="Arial"/>
          <w:b/>
          <w:sz w:val="28"/>
          <w:szCs w:val="28"/>
        </w:rPr>
      </w:pPr>
    </w:p>
    <w:p w14:paraId="6433459D" w14:textId="67177C35" w:rsidR="003B108A" w:rsidRPr="0001707D" w:rsidRDefault="0001707D" w:rsidP="0001707D">
      <w:pPr>
        <w:pStyle w:val="ListParagraph"/>
        <w:numPr>
          <w:ilvl w:val="0"/>
          <w:numId w:val="42"/>
        </w:numPr>
        <w:ind w:right="-330"/>
        <w:jc w:val="both"/>
        <w:rPr>
          <w:rFonts w:ascii="Arial" w:hAnsi="Arial"/>
          <w:b/>
          <w:sz w:val="28"/>
        </w:rPr>
      </w:pPr>
      <w:r>
        <w:rPr>
          <w:rFonts w:ascii="Arial" w:hAnsi="Arial"/>
          <w:b/>
          <w:sz w:val="28"/>
        </w:rPr>
        <w:lastRenderedPageBreak/>
        <w:t xml:space="preserve"> </w:t>
      </w:r>
      <w:r w:rsidR="004317CA" w:rsidRPr="0001707D">
        <w:rPr>
          <w:rFonts w:ascii="Arial" w:hAnsi="Arial"/>
          <w:b/>
          <w:sz w:val="28"/>
        </w:rPr>
        <w:t>Welcome from the chair and chief executive</w:t>
      </w:r>
    </w:p>
    <w:p w14:paraId="6E288910" w14:textId="77777777" w:rsidR="003B108A" w:rsidRPr="00781CFA" w:rsidRDefault="003B108A" w:rsidP="003B108A">
      <w:pPr>
        <w:ind w:left="-426" w:right="-330"/>
        <w:jc w:val="both"/>
        <w:rPr>
          <w:rFonts w:ascii="Arial" w:hAnsi="Arial"/>
          <w:b/>
          <w:sz w:val="22"/>
        </w:rPr>
      </w:pPr>
    </w:p>
    <w:p w14:paraId="257E0F38" w14:textId="49DE743E" w:rsidR="009A7F96" w:rsidRPr="00781CFA" w:rsidRDefault="000F0D15" w:rsidP="00FB6278">
      <w:pPr>
        <w:ind w:left="-426" w:right="-330"/>
        <w:jc w:val="both"/>
        <w:rPr>
          <w:rFonts w:ascii="Arial" w:hAnsi="Arial"/>
          <w:sz w:val="22"/>
        </w:rPr>
      </w:pPr>
      <w:r w:rsidRPr="00781CFA">
        <w:rPr>
          <w:rFonts w:ascii="Arial" w:hAnsi="Arial"/>
          <w:sz w:val="22"/>
        </w:rPr>
        <w:t>The Covid</w:t>
      </w:r>
      <w:r w:rsidR="00B760A8">
        <w:rPr>
          <w:rFonts w:ascii="Arial" w:hAnsi="Arial"/>
          <w:sz w:val="22"/>
        </w:rPr>
        <w:t>-19</w:t>
      </w:r>
      <w:r w:rsidRPr="00781CFA">
        <w:rPr>
          <w:rFonts w:ascii="Arial" w:hAnsi="Arial"/>
          <w:sz w:val="22"/>
        </w:rPr>
        <w:t xml:space="preserve"> pandemic continues to have a significant impact </w:t>
      </w:r>
      <w:r w:rsidR="003218C1">
        <w:rPr>
          <w:rFonts w:ascii="Arial" w:hAnsi="Arial"/>
          <w:sz w:val="22"/>
        </w:rPr>
        <w:t>across</w:t>
      </w:r>
      <w:r w:rsidR="003218C1" w:rsidRPr="00781CFA">
        <w:rPr>
          <w:rFonts w:ascii="Arial" w:hAnsi="Arial"/>
          <w:sz w:val="22"/>
        </w:rPr>
        <w:t xml:space="preserve"> </w:t>
      </w:r>
      <w:r w:rsidRPr="00781CFA">
        <w:rPr>
          <w:rFonts w:ascii="Arial" w:hAnsi="Arial"/>
          <w:sz w:val="22"/>
        </w:rPr>
        <w:t>the NHS, and once again we have been deeply impressed with the</w:t>
      </w:r>
      <w:r w:rsidR="009A7F96" w:rsidRPr="00781CFA">
        <w:rPr>
          <w:rFonts w:ascii="Arial" w:hAnsi="Arial"/>
          <w:sz w:val="22"/>
        </w:rPr>
        <w:t xml:space="preserve"> dedication and commitment of our colleagues who are still endeavouring to provide the highest quality eye care despite the ongoing challenges, developing innovative sight-saving treatments and taking further critical steps towards building Oriel, a world-leading eye facility. </w:t>
      </w:r>
    </w:p>
    <w:p w14:paraId="1F1BE71E" w14:textId="561BCF72" w:rsidR="009A7F96" w:rsidRPr="00781CFA" w:rsidRDefault="009A7F96" w:rsidP="00FB6278">
      <w:pPr>
        <w:ind w:right="-330"/>
        <w:jc w:val="both"/>
        <w:rPr>
          <w:rFonts w:ascii="Arial" w:hAnsi="Arial"/>
          <w:sz w:val="22"/>
        </w:rPr>
      </w:pPr>
      <w:r w:rsidRPr="00781CFA">
        <w:rPr>
          <w:rFonts w:ascii="Arial" w:hAnsi="Arial"/>
          <w:sz w:val="22"/>
        </w:rPr>
        <w:t xml:space="preserve"> </w:t>
      </w:r>
    </w:p>
    <w:p w14:paraId="0C7E30C9" w14:textId="676286D8" w:rsidR="009A7F96" w:rsidRPr="00781CFA" w:rsidRDefault="009A7F96" w:rsidP="00FB6278">
      <w:pPr>
        <w:ind w:left="-426" w:right="-330"/>
        <w:jc w:val="both"/>
        <w:rPr>
          <w:rFonts w:ascii="Arial" w:hAnsi="Arial"/>
          <w:color w:val="000000"/>
          <w:sz w:val="22"/>
          <w:shd w:val="clear" w:color="auto" w:fill="FFFFFF"/>
        </w:rPr>
      </w:pPr>
      <w:r w:rsidRPr="00781CFA">
        <w:rPr>
          <w:rFonts w:ascii="Arial" w:hAnsi="Arial"/>
          <w:sz w:val="22"/>
        </w:rPr>
        <w:t xml:space="preserve">Our teams have worked tirelessly towards recovery of services and to reduce the backlog created by the pandemic, as well as seeing new patients, continuing to meet national </w:t>
      </w:r>
      <w:proofErr w:type="gramStart"/>
      <w:r w:rsidRPr="00781CFA">
        <w:rPr>
          <w:rFonts w:ascii="Arial" w:hAnsi="Arial"/>
          <w:sz w:val="22"/>
        </w:rPr>
        <w:t>targets</w:t>
      </w:r>
      <w:proofErr w:type="gramEnd"/>
      <w:r w:rsidRPr="00781CFA">
        <w:rPr>
          <w:rFonts w:ascii="Arial" w:hAnsi="Arial"/>
          <w:sz w:val="22"/>
        </w:rPr>
        <w:t xml:space="preserve"> and </w:t>
      </w:r>
      <w:r w:rsidRPr="00781CFA">
        <w:rPr>
          <w:rFonts w:ascii="Arial" w:hAnsi="Arial"/>
          <w:color w:val="000000"/>
          <w:sz w:val="22"/>
          <w:shd w:val="clear" w:color="auto" w:fill="FFFFFF"/>
        </w:rPr>
        <w:t>maintaining a strong financial position throughout the year, despite cost pressures and our planned investment in services and Oriel.</w:t>
      </w:r>
    </w:p>
    <w:p w14:paraId="60223C0D" w14:textId="77777777" w:rsidR="009A7F96" w:rsidRPr="00781CFA" w:rsidRDefault="009A7F96" w:rsidP="00FB6278">
      <w:pPr>
        <w:ind w:left="-426" w:right="-330"/>
        <w:jc w:val="both"/>
        <w:rPr>
          <w:rFonts w:ascii="Arial" w:hAnsi="Arial"/>
          <w:sz w:val="22"/>
        </w:rPr>
      </w:pPr>
    </w:p>
    <w:p w14:paraId="4EA47A2D" w14:textId="01CE39E2" w:rsidR="008056EA" w:rsidRPr="00781CFA" w:rsidRDefault="009A7F96" w:rsidP="00FB6278">
      <w:pPr>
        <w:ind w:left="-426" w:right="-330"/>
        <w:jc w:val="both"/>
        <w:rPr>
          <w:rFonts w:ascii="Arial" w:hAnsi="Arial"/>
          <w:color w:val="000000"/>
          <w:sz w:val="22"/>
          <w:shd w:val="clear" w:color="auto" w:fill="FFFFFF"/>
        </w:rPr>
      </w:pPr>
      <w:r w:rsidRPr="00781CFA">
        <w:rPr>
          <w:rFonts w:ascii="Arial" w:hAnsi="Arial"/>
          <w:sz w:val="22"/>
        </w:rPr>
        <w:t xml:space="preserve">Oriel, our project to build a new world class facility in partnership with </w:t>
      </w:r>
      <w:r w:rsidR="0090079F" w:rsidRPr="00781CFA">
        <w:rPr>
          <w:rFonts w:ascii="Arial" w:hAnsi="Arial"/>
          <w:sz w:val="22"/>
        </w:rPr>
        <w:t xml:space="preserve">the </w:t>
      </w:r>
      <w:r w:rsidRPr="00781CFA">
        <w:rPr>
          <w:rFonts w:ascii="Arial" w:hAnsi="Arial"/>
          <w:sz w:val="22"/>
        </w:rPr>
        <w:t>UCL Institute of Ophthalmology and Moorfields Eye Charity,</w:t>
      </w:r>
      <w:r w:rsidRPr="00781CFA">
        <w:rPr>
          <w:rFonts w:ascii="Arial" w:hAnsi="Arial"/>
          <w:color w:val="000000"/>
          <w:sz w:val="22"/>
          <w:shd w:val="clear" w:color="auto" w:fill="FFFFFF"/>
        </w:rPr>
        <w:t xml:space="preserve"> moved </w:t>
      </w:r>
      <w:r w:rsidR="0090079F" w:rsidRPr="00781CFA">
        <w:rPr>
          <w:rFonts w:ascii="Arial" w:hAnsi="Arial"/>
          <w:color w:val="000000"/>
          <w:sz w:val="22"/>
          <w:shd w:val="clear" w:color="auto" w:fill="FFFFFF"/>
        </w:rPr>
        <w:t>ahead again</w:t>
      </w:r>
      <w:r w:rsidRPr="00781CFA">
        <w:rPr>
          <w:rFonts w:ascii="Arial" w:hAnsi="Arial"/>
          <w:color w:val="000000"/>
          <w:sz w:val="22"/>
          <w:shd w:val="clear" w:color="auto" w:fill="FFFFFF"/>
        </w:rPr>
        <w:t xml:space="preserve"> during the year</w:t>
      </w:r>
      <w:r w:rsidRPr="00781CFA">
        <w:rPr>
          <w:rFonts w:ascii="Arial" w:hAnsi="Arial"/>
          <w:sz w:val="22"/>
        </w:rPr>
        <w:t xml:space="preserve">. </w:t>
      </w:r>
      <w:r w:rsidR="0001147D">
        <w:rPr>
          <w:rFonts w:ascii="Arial" w:hAnsi="Arial"/>
          <w:sz w:val="22"/>
        </w:rPr>
        <w:t>We plan to</w:t>
      </w:r>
      <w:r w:rsidRPr="00781CFA">
        <w:rPr>
          <w:rFonts w:ascii="Arial" w:hAnsi="Arial"/>
          <w:color w:val="000000"/>
          <w:sz w:val="22"/>
          <w:shd w:val="clear" w:color="auto" w:fill="FFFFFF"/>
        </w:rPr>
        <w:t xml:space="preserve"> design, </w:t>
      </w:r>
      <w:proofErr w:type="gramStart"/>
      <w:r w:rsidRPr="00781CFA">
        <w:rPr>
          <w:rFonts w:ascii="Arial" w:hAnsi="Arial"/>
          <w:color w:val="000000"/>
          <w:sz w:val="22"/>
          <w:shd w:val="clear" w:color="auto" w:fill="FFFFFF"/>
        </w:rPr>
        <w:t>build</w:t>
      </w:r>
      <w:proofErr w:type="gramEnd"/>
      <w:r w:rsidRPr="00781CFA">
        <w:rPr>
          <w:rFonts w:ascii="Arial" w:hAnsi="Arial"/>
          <w:color w:val="000000"/>
          <w:sz w:val="22"/>
          <w:shd w:val="clear" w:color="auto" w:fill="FFFFFF"/>
        </w:rPr>
        <w:t xml:space="preserve"> and operate a new, purpose-built centre of excellence for eye care, research an</w:t>
      </w:r>
      <w:r w:rsidR="00C5751F" w:rsidRPr="00781CFA">
        <w:rPr>
          <w:rFonts w:ascii="Arial" w:hAnsi="Arial"/>
          <w:color w:val="000000"/>
          <w:sz w:val="22"/>
          <w:shd w:val="clear" w:color="auto" w:fill="FFFFFF"/>
        </w:rPr>
        <w:t>d education</w:t>
      </w:r>
      <w:r w:rsidRPr="00781CFA">
        <w:rPr>
          <w:rFonts w:ascii="Arial" w:hAnsi="Arial"/>
          <w:color w:val="000000"/>
          <w:sz w:val="22"/>
          <w:shd w:val="clear" w:color="auto" w:fill="FFFFFF"/>
        </w:rPr>
        <w:t>.</w:t>
      </w:r>
      <w:r w:rsidR="00B67A01" w:rsidRPr="00781CFA">
        <w:rPr>
          <w:rFonts w:ascii="Arial" w:hAnsi="Arial"/>
          <w:color w:val="000000"/>
          <w:sz w:val="22"/>
          <w:shd w:val="clear" w:color="auto" w:fill="FFFFFF"/>
        </w:rPr>
        <w:t xml:space="preserve"> In November 2021 the board approved the decision to </w:t>
      </w:r>
      <w:proofErr w:type="gramStart"/>
      <w:r w:rsidR="00B67A01" w:rsidRPr="00781CFA">
        <w:rPr>
          <w:rFonts w:ascii="Arial" w:hAnsi="Arial"/>
          <w:color w:val="000000"/>
          <w:sz w:val="22"/>
          <w:shd w:val="clear" w:color="auto" w:fill="FFFFFF"/>
        </w:rPr>
        <w:t>enter into</w:t>
      </w:r>
      <w:proofErr w:type="gramEnd"/>
      <w:r w:rsidR="00B67A01" w:rsidRPr="00781CFA">
        <w:rPr>
          <w:rFonts w:ascii="Arial" w:hAnsi="Arial"/>
          <w:color w:val="000000"/>
          <w:sz w:val="22"/>
          <w:shd w:val="clear" w:color="auto" w:fill="FFFFFF"/>
        </w:rPr>
        <w:t xml:space="preserve"> contract negotiations with a preferred bidder for the City Road site,</w:t>
      </w:r>
      <w:r w:rsidR="0090079F" w:rsidRPr="00781CFA">
        <w:rPr>
          <w:rFonts w:ascii="Arial" w:hAnsi="Arial"/>
          <w:color w:val="000000"/>
          <w:sz w:val="22"/>
          <w:shd w:val="clear" w:color="auto" w:fill="FFFFFF"/>
        </w:rPr>
        <w:t xml:space="preserve"> a key milestone in the project. Our governors have been with us every step of the way and </w:t>
      </w:r>
      <w:r w:rsidR="000A37A7" w:rsidRPr="00781CFA">
        <w:rPr>
          <w:rFonts w:ascii="Arial" w:hAnsi="Arial"/>
          <w:color w:val="000000"/>
          <w:sz w:val="22"/>
          <w:shd w:val="clear" w:color="auto" w:fill="FFFFFF"/>
        </w:rPr>
        <w:t>the challenging yet constructive collaboration</w:t>
      </w:r>
      <w:r w:rsidR="0090079F" w:rsidRPr="00781CFA">
        <w:rPr>
          <w:rFonts w:ascii="Arial" w:hAnsi="Arial"/>
          <w:color w:val="000000"/>
          <w:sz w:val="22"/>
          <w:shd w:val="clear" w:color="auto" w:fill="FFFFFF"/>
        </w:rPr>
        <w:t xml:space="preserve"> </w:t>
      </w:r>
      <w:r w:rsidR="000A37A7" w:rsidRPr="00781CFA">
        <w:rPr>
          <w:rFonts w:ascii="Arial" w:hAnsi="Arial"/>
          <w:color w:val="000000"/>
          <w:sz w:val="22"/>
          <w:shd w:val="clear" w:color="auto" w:fill="FFFFFF"/>
        </w:rPr>
        <w:t>between the</w:t>
      </w:r>
      <w:r w:rsidR="0090079F" w:rsidRPr="00781CFA">
        <w:rPr>
          <w:rFonts w:ascii="Arial" w:hAnsi="Arial"/>
          <w:color w:val="000000"/>
          <w:sz w:val="22"/>
          <w:shd w:val="clear" w:color="auto" w:fill="FFFFFF"/>
        </w:rPr>
        <w:t xml:space="preserve"> board and membership council has </w:t>
      </w:r>
      <w:r w:rsidR="000A37A7" w:rsidRPr="00781CFA">
        <w:rPr>
          <w:rFonts w:ascii="Arial" w:hAnsi="Arial"/>
          <w:color w:val="000000"/>
          <w:sz w:val="22"/>
          <w:shd w:val="clear" w:color="auto" w:fill="FFFFFF"/>
        </w:rPr>
        <w:t xml:space="preserve">been a key element in allowing us to </w:t>
      </w:r>
      <w:r w:rsidR="0090079F" w:rsidRPr="00781CFA">
        <w:rPr>
          <w:rFonts w:ascii="Arial" w:hAnsi="Arial"/>
          <w:color w:val="000000"/>
          <w:sz w:val="22"/>
          <w:shd w:val="clear" w:color="auto" w:fill="FFFFFF"/>
        </w:rPr>
        <w:t>make such excellent progress</w:t>
      </w:r>
      <w:r w:rsidR="000A37A7" w:rsidRPr="00781CFA">
        <w:rPr>
          <w:rFonts w:ascii="Arial" w:hAnsi="Arial"/>
          <w:color w:val="000000"/>
          <w:sz w:val="22"/>
          <w:shd w:val="clear" w:color="auto" w:fill="FFFFFF"/>
        </w:rPr>
        <w:t>.</w:t>
      </w:r>
    </w:p>
    <w:p w14:paraId="6A5F4C44" w14:textId="77777777" w:rsidR="008056EA" w:rsidRPr="00781CFA" w:rsidRDefault="008056EA" w:rsidP="00FB6278">
      <w:pPr>
        <w:ind w:left="-426" w:right="-330"/>
        <w:jc w:val="both"/>
        <w:rPr>
          <w:rFonts w:ascii="Arial" w:hAnsi="Arial"/>
          <w:color w:val="000000"/>
          <w:sz w:val="22"/>
          <w:shd w:val="clear" w:color="auto" w:fill="FFFFFF"/>
        </w:rPr>
      </w:pPr>
    </w:p>
    <w:p w14:paraId="0F57FA40" w14:textId="0F4EF5C9" w:rsidR="0090079F" w:rsidRPr="00781CFA" w:rsidRDefault="0090079F" w:rsidP="00FB6278">
      <w:pPr>
        <w:ind w:left="-426" w:right="-330"/>
        <w:jc w:val="both"/>
        <w:rPr>
          <w:rFonts w:ascii="Arial" w:hAnsi="Arial"/>
          <w:color w:val="000000"/>
          <w:sz w:val="22"/>
          <w:shd w:val="clear" w:color="auto" w:fill="FFFFFF"/>
        </w:rPr>
      </w:pPr>
      <w:r w:rsidRPr="00781CFA">
        <w:rPr>
          <w:rFonts w:ascii="Arial" w:hAnsi="Arial"/>
          <w:color w:val="000000"/>
          <w:sz w:val="22"/>
          <w:shd w:val="clear" w:color="auto" w:fill="FFFFFF"/>
        </w:rPr>
        <w:t>We continue to be at the forefront of ground</w:t>
      </w:r>
      <w:r w:rsidR="00BA6134" w:rsidRPr="00781CFA">
        <w:rPr>
          <w:rFonts w:ascii="Arial" w:hAnsi="Arial"/>
          <w:color w:val="000000"/>
          <w:sz w:val="22"/>
          <w:shd w:val="clear" w:color="auto" w:fill="FFFFFF"/>
        </w:rPr>
        <w:t>-</w:t>
      </w:r>
      <w:r w:rsidRPr="00781CFA">
        <w:rPr>
          <w:rFonts w:ascii="Arial" w:hAnsi="Arial"/>
          <w:color w:val="000000"/>
          <w:sz w:val="22"/>
          <w:shd w:val="clear" w:color="auto" w:fill="FFFFFF"/>
        </w:rPr>
        <w:t>breaking research</w:t>
      </w:r>
      <w:r w:rsidR="00BA6134" w:rsidRPr="00781CFA">
        <w:rPr>
          <w:rFonts w:ascii="Arial" w:hAnsi="Arial"/>
          <w:color w:val="000000"/>
          <w:sz w:val="22"/>
          <w:shd w:val="clear" w:color="auto" w:fill="FFFFFF"/>
        </w:rPr>
        <w:t>,</w:t>
      </w:r>
      <w:r w:rsidRPr="00781CFA">
        <w:rPr>
          <w:rFonts w:ascii="Arial" w:hAnsi="Arial"/>
          <w:color w:val="000000"/>
          <w:sz w:val="22"/>
          <w:shd w:val="clear" w:color="auto" w:fill="FFFFFF"/>
        </w:rPr>
        <w:t xml:space="preserve"> with two particularly exciting developments taking place during the year</w:t>
      </w:r>
      <w:r w:rsidR="008056EA" w:rsidRPr="00781CFA">
        <w:rPr>
          <w:rFonts w:ascii="Arial" w:hAnsi="Arial"/>
          <w:color w:val="000000"/>
          <w:sz w:val="22"/>
          <w:shd w:val="clear" w:color="auto" w:fill="FFFFFF"/>
        </w:rPr>
        <w:t xml:space="preserve">. Steve </w:t>
      </w:r>
      <w:proofErr w:type="spellStart"/>
      <w:r w:rsidR="008056EA" w:rsidRPr="00781CFA">
        <w:rPr>
          <w:rFonts w:ascii="Arial" w:hAnsi="Arial"/>
          <w:color w:val="000000"/>
          <w:sz w:val="22"/>
          <w:shd w:val="clear" w:color="auto" w:fill="FFFFFF"/>
        </w:rPr>
        <w:t>Verze</w:t>
      </w:r>
      <w:proofErr w:type="spellEnd"/>
      <w:r w:rsidR="008056EA" w:rsidRPr="00781CFA">
        <w:rPr>
          <w:rFonts w:ascii="Arial" w:hAnsi="Arial"/>
          <w:color w:val="000000"/>
          <w:sz w:val="22"/>
          <w:shd w:val="clear" w:color="auto" w:fill="FFFFFF"/>
        </w:rPr>
        <w:t xml:space="preserve"> was given the world’s first 3D printed prosthetic eye in November. Another </w:t>
      </w:r>
      <w:r w:rsidRPr="00781CFA">
        <w:rPr>
          <w:rFonts w:ascii="Arial" w:hAnsi="Arial"/>
          <w:color w:val="000000"/>
          <w:sz w:val="22"/>
          <w:shd w:val="clear" w:color="auto" w:fill="FFFFFF"/>
        </w:rPr>
        <w:t xml:space="preserve">patient from the trust has been able to detect signals in her blind eye thanks to a revolutionary new implant and is the first UK patient to receive this device </w:t>
      </w:r>
      <w:r w:rsidR="00BA6134" w:rsidRPr="00781CFA">
        <w:rPr>
          <w:rFonts w:ascii="Arial" w:hAnsi="Arial" w:cs="Arial"/>
          <w:color w:val="000000"/>
          <w:sz w:val="22"/>
          <w:szCs w:val="22"/>
          <w:shd w:val="clear" w:color="auto" w:fill="FFFFFF"/>
        </w:rPr>
        <w:t>that</w:t>
      </w:r>
      <w:r w:rsidRPr="00781CFA">
        <w:rPr>
          <w:rFonts w:ascii="Arial" w:hAnsi="Arial"/>
          <w:color w:val="000000"/>
          <w:sz w:val="22"/>
          <w:shd w:val="clear" w:color="auto" w:fill="FFFFFF"/>
        </w:rPr>
        <w:t xml:space="preserve"> offers the hope of partially restored vision for people with </w:t>
      </w:r>
      <w:r w:rsidR="008056EA" w:rsidRPr="00781CFA">
        <w:rPr>
          <w:rFonts w:ascii="Arial" w:hAnsi="Arial"/>
          <w:color w:val="000000"/>
          <w:sz w:val="22"/>
          <w:shd w:val="clear" w:color="auto" w:fill="FFFFFF"/>
        </w:rPr>
        <w:t xml:space="preserve">geographic atrophy (GA), a form of dry age-related macular degeneration. We are </w:t>
      </w:r>
      <w:r w:rsidR="000A37A7" w:rsidRPr="00781CFA">
        <w:rPr>
          <w:rFonts w:ascii="Arial" w:hAnsi="Arial"/>
          <w:color w:val="000000"/>
          <w:sz w:val="22"/>
          <w:shd w:val="clear" w:color="auto" w:fill="FFFFFF"/>
        </w:rPr>
        <w:t>proud</w:t>
      </w:r>
      <w:r w:rsidR="008056EA" w:rsidRPr="00781CFA">
        <w:rPr>
          <w:rFonts w:ascii="Arial" w:hAnsi="Arial"/>
          <w:color w:val="000000"/>
          <w:sz w:val="22"/>
          <w:shd w:val="clear" w:color="auto" w:fill="FFFFFF"/>
        </w:rPr>
        <w:t xml:space="preserve"> that Moorfields </w:t>
      </w:r>
      <w:r w:rsidR="000A37A7" w:rsidRPr="00781CFA">
        <w:rPr>
          <w:rFonts w:ascii="Arial" w:hAnsi="Arial"/>
          <w:color w:val="000000"/>
          <w:sz w:val="22"/>
          <w:shd w:val="clear" w:color="auto" w:fill="FFFFFF"/>
        </w:rPr>
        <w:t>continues to</w:t>
      </w:r>
      <w:r w:rsidR="008056EA" w:rsidRPr="00781CFA">
        <w:rPr>
          <w:rFonts w:ascii="Arial" w:hAnsi="Arial"/>
          <w:color w:val="000000"/>
          <w:sz w:val="22"/>
          <w:shd w:val="clear" w:color="auto" w:fill="FFFFFF"/>
        </w:rPr>
        <w:t xml:space="preserve"> provide these innovations that make such a huge difference for patients and their quality of life. </w:t>
      </w:r>
    </w:p>
    <w:p w14:paraId="12CC57F2" w14:textId="089B02D4" w:rsidR="007260C9" w:rsidRPr="00781CFA" w:rsidRDefault="007260C9" w:rsidP="00FB6278">
      <w:pPr>
        <w:ind w:left="-426" w:right="-330"/>
        <w:jc w:val="both"/>
        <w:rPr>
          <w:rFonts w:ascii="Arial" w:hAnsi="Arial"/>
          <w:color w:val="000000"/>
          <w:sz w:val="22"/>
          <w:shd w:val="clear" w:color="auto" w:fill="FFFFFF"/>
        </w:rPr>
      </w:pPr>
    </w:p>
    <w:p w14:paraId="3DC82408" w14:textId="75D9C673" w:rsidR="007260C9" w:rsidRPr="00781CFA" w:rsidRDefault="007260C9" w:rsidP="00FB6278">
      <w:pPr>
        <w:ind w:left="-426" w:right="-330"/>
        <w:jc w:val="both"/>
        <w:rPr>
          <w:rFonts w:ascii="Arial" w:hAnsi="Arial"/>
          <w:color w:val="000000"/>
          <w:sz w:val="22"/>
          <w:shd w:val="clear" w:color="auto" w:fill="FFFFFF"/>
        </w:rPr>
      </w:pPr>
      <w:r w:rsidRPr="00781CFA">
        <w:rPr>
          <w:rFonts w:ascii="Arial" w:hAnsi="Arial"/>
          <w:color w:val="000000"/>
          <w:sz w:val="22"/>
          <w:shd w:val="clear" w:color="auto" w:fill="FFFFFF"/>
        </w:rPr>
        <w:t xml:space="preserve">This year we opened the new </w:t>
      </w:r>
      <w:r w:rsidR="00BA6134" w:rsidRPr="00781CFA">
        <w:rPr>
          <w:rFonts w:ascii="Arial" w:hAnsi="Arial"/>
          <w:color w:val="000000"/>
          <w:sz w:val="22"/>
          <w:shd w:val="clear" w:color="auto" w:fill="FFFFFF"/>
        </w:rPr>
        <w:t xml:space="preserve">research-focussed </w:t>
      </w:r>
      <w:r w:rsidRPr="00781CFA">
        <w:rPr>
          <w:rFonts w:ascii="Arial" w:hAnsi="Arial"/>
          <w:color w:val="000000"/>
          <w:sz w:val="22"/>
          <w:shd w:val="clear" w:color="auto" w:fill="FFFFFF"/>
        </w:rPr>
        <w:t xml:space="preserve">Brent Cross diagnostic hub, the findings from which should make it easier to deploy hubs in new settings and assist learning in other specialties such as cardiac and cancer. </w:t>
      </w:r>
      <w:r w:rsidRPr="00781CFA">
        <w:rPr>
          <w:rFonts w:ascii="Arial" w:hAnsi="Arial" w:cs="Arial"/>
          <w:color w:val="000000"/>
          <w:sz w:val="22"/>
          <w:szCs w:val="22"/>
          <w:shd w:val="clear" w:color="auto" w:fill="FFFFFF"/>
        </w:rPr>
        <w:t>This has been</w:t>
      </w:r>
      <w:r w:rsidR="00781CFA">
        <w:rPr>
          <w:rFonts w:ascii="Arial" w:hAnsi="Arial" w:cs="Arial"/>
          <w:color w:val="000000"/>
          <w:sz w:val="22"/>
          <w:szCs w:val="22"/>
          <w:shd w:val="clear" w:color="auto" w:fill="FFFFFF"/>
        </w:rPr>
        <w:t xml:space="preserve"> </w:t>
      </w:r>
      <w:r w:rsidR="00BA6134" w:rsidRPr="00781CFA">
        <w:rPr>
          <w:rFonts w:ascii="Arial" w:hAnsi="Arial"/>
          <w:color w:val="000000"/>
          <w:sz w:val="22"/>
          <w:shd w:val="clear" w:color="auto" w:fill="FFFFFF"/>
        </w:rPr>
        <w:t xml:space="preserve">supported </w:t>
      </w:r>
      <w:r w:rsidRPr="00781CFA">
        <w:rPr>
          <w:rFonts w:ascii="Arial" w:hAnsi="Arial"/>
          <w:color w:val="000000"/>
          <w:sz w:val="22"/>
          <w:shd w:val="clear" w:color="auto" w:fill="FFFFFF"/>
        </w:rPr>
        <w:t>by a team of UCL architects and scientists led by Professor Paul Foster as part of a</w:t>
      </w:r>
      <w:r w:rsidR="003218C1">
        <w:rPr>
          <w:rFonts w:ascii="Arial" w:hAnsi="Arial"/>
          <w:color w:val="000000"/>
          <w:sz w:val="22"/>
          <w:shd w:val="clear" w:color="auto" w:fill="FFFFFF"/>
        </w:rPr>
        <w:t xml:space="preserve"> National Institute for Health and Care Research (NIHR) </w:t>
      </w:r>
      <w:r w:rsidRPr="00781CFA">
        <w:rPr>
          <w:rFonts w:ascii="Arial" w:hAnsi="Arial"/>
          <w:color w:val="000000"/>
          <w:sz w:val="22"/>
          <w:shd w:val="clear" w:color="auto" w:fill="FFFFFF"/>
        </w:rPr>
        <w:t xml:space="preserve">supported project and we look forward to seeing the outputs in the coming year. </w:t>
      </w:r>
    </w:p>
    <w:p w14:paraId="4C35295D" w14:textId="4BD0CB1C" w:rsidR="009A7F96" w:rsidRPr="00781CFA" w:rsidRDefault="009A7F96" w:rsidP="00FB6278">
      <w:pPr>
        <w:ind w:left="-426" w:right="-330"/>
        <w:jc w:val="both"/>
        <w:rPr>
          <w:rFonts w:ascii="Arial" w:hAnsi="Arial"/>
          <w:sz w:val="22"/>
        </w:rPr>
      </w:pPr>
    </w:p>
    <w:p w14:paraId="766420D9" w14:textId="3E9F2CAD" w:rsidR="003562D7" w:rsidRPr="00CD4F89" w:rsidRDefault="009A7F96" w:rsidP="00FB6278">
      <w:pPr>
        <w:ind w:left="-426" w:right="-330"/>
        <w:jc w:val="both"/>
        <w:rPr>
          <w:rFonts w:ascii="Arial" w:hAnsi="Arial"/>
          <w:sz w:val="22"/>
        </w:rPr>
      </w:pPr>
      <w:r w:rsidRPr="00781CFA">
        <w:rPr>
          <w:rFonts w:ascii="Arial" w:hAnsi="Arial"/>
          <w:sz w:val="22"/>
        </w:rPr>
        <w:t xml:space="preserve">We continue to demonstrate leadership across the wider NHS system, working with NHS England and </w:t>
      </w:r>
      <w:r w:rsidR="000A37A7" w:rsidRPr="00781CFA">
        <w:rPr>
          <w:rFonts w:ascii="Arial" w:hAnsi="Arial"/>
          <w:sz w:val="22"/>
        </w:rPr>
        <w:t xml:space="preserve">NHS </w:t>
      </w:r>
      <w:r w:rsidRPr="00781CFA">
        <w:rPr>
          <w:rFonts w:ascii="Arial" w:hAnsi="Arial"/>
          <w:sz w:val="22"/>
        </w:rPr>
        <w:t xml:space="preserve">Improvement on new national clinical pathways for eye care and on initiatives such as </w:t>
      </w:r>
      <w:r w:rsidR="003218C1">
        <w:rPr>
          <w:rFonts w:ascii="Arial" w:hAnsi="Arial"/>
          <w:sz w:val="22"/>
        </w:rPr>
        <w:t xml:space="preserve">the National Eye Care Recovery and Transformation Programme (NECRTP), </w:t>
      </w:r>
      <w:r w:rsidR="003562D7" w:rsidRPr="00781CFA">
        <w:rPr>
          <w:rFonts w:ascii="Arial" w:hAnsi="Arial"/>
          <w:sz w:val="22"/>
          <w:shd w:val="clear" w:color="auto" w:fill="FFFFFF"/>
        </w:rPr>
        <w:t>the aim of which is to deliver rapid high impact improvements and support a sustainable future for eye care across England, working with systems to increase productivity and ensure safety by trialling/evaluating new, technologically-enabled ways of working</w:t>
      </w:r>
    </w:p>
    <w:p w14:paraId="2E80BB70" w14:textId="78ACB371" w:rsidR="009A7F96" w:rsidRPr="00781CFA" w:rsidRDefault="009A7F96" w:rsidP="00FB6278">
      <w:pPr>
        <w:ind w:left="-426" w:right="-330"/>
        <w:jc w:val="both"/>
        <w:rPr>
          <w:rFonts w:ascii="Arial" w:hAnsi="Arial"/>
          <w:sz w:val="22"/>
        </w:rPr>
      </w:pPr>
    </w:p>
    <w:p w14:paraId="17CCB001" w14:textId="5D3B6961" w:rsidR="009A7F96" w:rsidRPr="00781CFA" w:rsidRDefault="003218C1" w:rsidP="00FB6278">
      <w:pPr>
        <w:ind w:left="-426" w:right="-330"/>
        <w:jc w:val="both"/>
        <w:rPr>
          <w:rFonts w:ascii="Arial" w:hAnsi="Arial"/>
          <w:color w:val="000000"/>
          <w:sz w:val="22"/>
          <w:shd w:val="clear" w:color="auto" w:fill="FFFFFF"/>
        </w:rPr>
      </w:pPr>
      <w:r>
        <w:rPr>
          <w:rFonts w:ascii="Arial" w:hAnsi="Arial"/>
          <w:color w:val="000000"/>
          <w:sz w:val="22"/>
          <w:shd w:val="clear" w:color="auto" w:fill="FFFFFF"/>
        </w:rPr>
        <w:t xml:space="preserve">Following the departure of David Probert in July 2021, we </w:t>
      </w:r>
      <w:r w:rsidR="005E3F3A" w:rsidRPr="00781CFA">
        <w:rPr>
          <w:rFonts w:ascii="Arial" w:hAnsi="Arial"/>
          <w:color w:val="000000"/>
          <w:sz w:val="22"/>
          <w:shd w:val="clear" w:color="auto" w:fill="FFFFFF"/>
        </w:rPr>
        <w:t xml:space="preserve">were delighted to welcome </w:t>
      </w:r>
      <w:r w:rsidR="00B67A01" w:rsidRPr="00781CFA">
        <w:rPr>
          <w:rFonts w:ascii="Arial" w:hAnsi="Arial"/>
          <w:color w:val="000000"/>
          <w:sz w:val="22"/>
          <w:shd w:val="clear" w:color="auto" w:fill="FFFFFF"/>
        </w:rPr>
        <w:t xml:space="preserve">Dr Martin </w:t>
      </w:r>
      <w:proofErr w:type="spellStart"/>
      <w:r w:rsidR="00B67A01" w:rsidRPr="00781CFA">
        <w:rPr>
          <w:rFonts w:ascii="Arial" w:hAnsi="Arial"/>
          <w:color w:val="000000"/>
          <w:sz w:val="22"/>
          <w:shd w:val="clear" w:color="auto" w:fill="FFFFFF"/>
        </w:rPr>
        <w:t>Kuper</w:t>
      </w:r>
      <w:proofErr w:type="spellEnd"/>
      <w:r w:rsidR="00B67A01" w:rsidRPr="00781CFA">
        <w:rPr>
          <w:rFonts w:ascii="Arial" w:hAnsi="Arial"/>
          <w:color w:val="000000"/>
          <w:sz w:val="22"/>
          <w:shd w:val="clear" w:color="auto" w:fill="FFFFFF"/>
        </w:rPr>
        <w:t xml:space="preserve"> as our new chief executive</w:t>
      </w:r>
      <w:r w:rsidR="005E3F3A" w:rsidRPr="00781CFA">
        <w:rPr>
          <w:rFonts w:ascii="Arial" w:hAnsi="Arial"/>
          <w:color w:val="000000"/>
          <w:sz w:val="22"/>
          <w:shd w:val="clear" w:color="auto" w:fill="FFFFFF"/>
        </w:rPr>
        <w:t xml:space="preserve">. Martin was previously the deputy chief executive for transformation and medical director at London </w:t>
      </w:r>
      <w:proofErr w:type="gramStart"/>
      <w:r w:rsidR="005E3F3A" w:rsidRPr="00781CFA">
        <w:rPr>
          <w:rFonts w:ascii="Arial" w:hAnsi="Arial"/>
          <w:color w:val="000000"/>
          <w:sz w:val="22"/>
          <w:shd w:val="clear" w:color="auto" w:fill="FFFFFF"/>
        </w:rPr>
        <w:t>North West</w:t>
      </w:r>
      <w:proofErr w:type="gramEnd"/>
      <w:r w:rsidR="005E3F3A" w:rsidRPr="00781CFA">
        <w:rPr>
          <w:rFonts w:ascii="Arial" w:hAnsi="Arial"/>
          <w:color w:val="000000"/>
          <w:sz w:val="22"/>
          <w:shd w:val="clear" w:color="auto" w:fill="FFFFFF"/>
        </w:rPr>
        <w:t xml:space="preserve"> </w:t>
      </w:r>
      <w:r w:rsidR="00BA6134" w:rsidRPr="00781CFA">
        <w:rPr>
          <w:rFonts w:ascii="Arial" w:hAnsi="Arial"/>
          <w:color w:val="000000"/>
          <w:sz w:val="22"/>
          <w:shd w:val="clear" w:color="auto" w:fill="FFFFFF"/>
        </w:rPr>
        <w:t xml:space="preserve">University Healthcare </w:t>
      </w:r>
      <w:r w:rsidR="00B54B60" w:rsidRPr="00781CFA">
        <w:rPr>
          <w:rFonts w:ascii="Arial" w:hAnsi="Arial"/>
          <w:color w:val="000000"/>
          <w:sz w:val="22"/>
          <w:shd w:val="clear" w:color="auto" w:fill="FFFFFF"/>
        </w:rPr>
        <w:t xml:space="preserve">NHS Trust </w:t>
      </w:r>
      <w:r w:rsidR="005E3F3A" w:rsidRPr="00781CFA">
        <w:rPr>
          <w:rFonts w:ascii="Arial" w:hAnsi="Arial"/>
          <w:color w:val="000000"/>
          <w:sz w:val="22"/>
          <w:shd w:val="clear" w:color="auto" w:fill="FFFFFF"/>
        </w:rPr>
        <w:t xml:space="preserve">and </w:t>
      </w:r>
      <w:r w:rsidR="000F0D15" w:rsidRPr="00781CFA">
        <w:rPr>
          <w:rFonts w:ascii="Arial" w:hAnsi="Arial"/>
          <w:color w:val="000000"/>
          <w:sz w:val="22"/>
          <w:shd w:val="clear" w:color="auto" w:fill="FFFFFF"/>
        </w:rPr>
        <w:t xml:space="preserve">brings a wealth of </w:t>
      </w:r>
      <w:r w:rsidR="00C5751F" w:rsidRPr="00781CFA">
        <w:rPr>
          <w:rFonts w:ascii="Arial" w:hAnsi="Arial"/>
          <w:color w:val="000000"/>
          <w:sz w:val="22"/>
          <w:shd w:val="clear" w:color="auto" w:fill="FFFFFF"/>
        </w:rPr>
        <w:t>experience</w:t>
      </w:r>
      <w:r>
        <w:rPr>
          <w:rFonts w:ascii="Arial" w:hAnsi="Arial"/>
          <w:color w:val="000000"/>
          <w:sz w:val="22"/>
          <w:shd w:val="clear" w:color="auto" w:fill="FFFFFF"/>
        </w:rPr>
        <w:t>, which will support us in the next stage of our development at Moorfields.</w:t>
      </w:r>
    </w:p>
    <w:p w14:paraId="439C464F" w14:textId="77777777" w:rsidR="009A7F96" w:rsidRPr="00781CFA" w:rsidRDefault="009A7F96" w:rsidP="00FB6278">
      <w:pPr>
        <w:ind w:right="-330"/>
        <w:jc w:val="both"/>
        <w:rPr>
          <w:rFonts w:ascii="Arial" w:hAnsi="Arial"/>
          <w:color w:val="000000"/>
          <w:sz w:val="22"/>
          <w:shd w:val="clear" w:color="auto" w:fill="FFFFFF"/>
        </w:rPr>
      </w:pPr>
    </w:p>
    <w:p w14:paraId="186CE23E" w14:textId="77777777" w:rsidR="00E45051" w:rsidRDefault="00B67A01" w:rsidP="00FB6278">
      <w:pPr>
        <w:ind w:left="-426" w:right="-330"/>
        <w:jc w:val="both"/>
        <w:rPr>
          <w:rFonts w:ascii="Arial" w:hAnsi="Arial"/>
          <w:sz w:val="22"/>
        </w:rPr>
      </w:pPr>
      <w:r w:rsidRPr="00781CFA">
        <w:rPr>
          <w:rFonts w:ascii="Arial" w:hAnsi="Arial"/>
          <w:color w:val="000000"/>
          <w:sz w:val="22"/>
          <w:shd w:val="clear" w:color="auto" w:fill="FFFFFF"/>
        </w:rPr>
        <w:t>We</w:t>
      </w:r>
      <w:r w:rsidR="0001707D">
        <w:rPr>
          <w:rFonts w:ascii="Arial" w:hAnsi="Arial"/>
          <w:color w:val="000000"/>
          <w:sz w:val="22"/>
          <w:shd w:val="clear" w:color="auto" w:fill="FFFFFF"/>
        </w:rPr>
        <w:t xml:space="preserve"> can</w:t>
      </w:r>
      <w:r w:rsidRPr="00781CFA">
        <w:rPr>
          <w:rFonts w:ascii="Arial" w:hAnsi="Arial"/>
          <w:color w:val="000000"/>
          <w:sz w:val="22"/>
          <w:shd w:val="clear" w:color="auto" w:fill="FFFFFF"/>
        </w:rPr>
        <w:t xml:space="preserve"> look </w:t>
      </w:r>
      <w:r w:rsidRPr="0001707D">
        <w:rPr>
          <w:rFonts w:ascii="Arial" w:hAnsi="Arial"/>
          <w:color w:val="000000"/>
          <w:sz w:val="22"/>
          <w:shd w:val="clear" w:color="auto" w:fill="FFFFFF"/>
        </w:rPr>
        <w:t>forward to 202</w:t>
      </w:r>
      <w:r w:rsidR="00781CFA" w:rsidRPr="0001707D">
        <w:rPr>
          <w:rFonts w:ascii="Arial" w:hAnsi="Arial"/>
          <w:color w:val="000000"/>
          <w:sz w:val="22"/>
          <w:shd w:val="clear" w:color="auto" w:fill="FFFFFF"/>
        </w:rPr>
        <w:t>2</w:t>
      </w:r>
      <w:r w:rsidRPr="0001707D">
        <w:rPr>
          <w:rFonts w:ascii="Arial" w:hAnsi="Arial"/>
          <w:color w:val="000000"/>
          <w:sz w:val="22"/>
          <w:shd w:val="clear" w:color="auto" w:fill="FFFFFF"/>
        </w:rPr>
        <w:t>/2</w:t>
      </w:r>
      <w:r w:rsidR="00781CFA" w:rsidRPr="0001707D">
        <w:rPr>
          <w:rFonts w:ascii="Arial" w:hAnsi="Arial"/>
          <w:color w:val="000000"/>
          <w:sz w:val="22"/>
          <w:shd w:val="clear" w:color="auto" w:fill="FFFFFF"/>
        </w:rPr>
        <w:t>3</w:t>
      </w:r>
      <w:r w:rsidR="009A7F96" w:rsidRPr="0001707D">
        <w:rPr>
          <w:rFonts w:ascii="Arial" w:hAnsi="Arial"/>
          <w:color w:val="000000"/>
          <w:sz w:val="22"/>
          <w:shd w:val="clear" w:color="auto" w:fill="FFFFFF"/>
        </w:rPr>
        <w:t xml:space="preserve">, with </w:t>
      </w:r>
      <w:r w:rsidRPr="0001707D">
        <w:rPr>
          <w:rFonts w:ascii="Arial" w:hAnsi="Arial"/>
          <w:color w:val="000000"/>
          <w:sz w:val="22"/>
          <w:shd w:val="clear" w:color="auto" w:fill="FFFFFF"/>
        </w:rPr>
        <w:t xml:space="preserve">the very real possibility of </w:t>
      </w:r>
      <w:proofErr w:type="gramStart"/>
      <w:r w:rsidRPr="0001707D">
        <w:rPr>
          <w:rFonts w:ascii="Arial" w:hAnsi="Arial"/>
          <w:color w:val="000000"/>
          <w:sz w:val="22"/>
          <w:shd w:val="clear" w:color="auto" w:fill="FFFFFF"/>
        </w:rPr>
        <w:t>starting enabling</w:t>
      </w:r>
      <w:proofErr w:type="gramEnd"/>
      <w:r w:rsidRPr="0001707D">
        <w:rPr>
          <w:rFonts w:ascii="Arial" w:hAnsi="Arial"/>
          <w:color w:val="000000"/>
          <w:sz w:val="22"/>
          <w:shd w:val="clear" w:color="auto" w:fill="FFFFFF"/>
        </w:rPr>
        <w:t xml:space="preserve"> works on the Oriel site </w:t>
      </w:r>
      <w:r w:rsidR="0001707D">
        <w:rPr>
          <w:rFonts w:ascii="Arial" w:hAnsi="Arial"/>
          <w:color w:val="000000"/>
          <w:sz w:val="22"/>
          <w:shd w:val="clear" w:color="auto" w:fill="FFFFFF"/>
        </w:rPr>
        <w:t>as we continue to drive forward</w:t>
      </w:r>
      <w:r w:rsidRPr="0001707D">
        <w:rPr>
          <w:rFonts w:ascii="Arial" w:hAnsi="Arial"/>
          <w:sz w:val="22"/>
        </w:rPr>
        <w:t xml:space="preserve"> innovative practice </w:t>
      </w:r>
      <w:r w:rsidR="0001707D">
        <w:rPr>
          <w:rFonts w:ascii="Arial" w:hAnsi="Arial"/>
          <w:sz w:val="22"/>
        </w:rPr>
        <w:t>through our dedicated team of</w:t>
      </w:r>
      <w:r w:rsidRPr="0001707D">
        <w:rPr>
          <w:rFonts w:ascii="Arial" w:hAnsi="Arial"/>
          <w:sz w:val="22"/>
        </w:rPr>
        <w:t xml:space="preserve"> clinicians. </w:t>
      </w:r>
      <w:r w:rsidR="009A7F96" w:rsidRPr="0001707D">
        <w:rPr>
          <w:rFonts w:ascii="Arial" w:hAnsi="Arial"/>
          <w:color w:val="000000"/>
          <w:sz w:val="22"/>
          <w:shd w:val="clear" w:color="auto" w:fill="FFFFFF"/>
        </w:rPr>
        <w:t xml:space="preserve">We are confident that the spirit, </w:t>
      </w:r>
      <w:proofErr w:type="gramStart"/>
      <w:r w:rsidR="009A7F96" w:rsidRPr="0001707D">
        <w:rPr>
          <w:rFonts w:ascii="Arial" w:hAnsi="Arial"/>
          <w:color w:val="000000"/>
          <w:sz w:val="22"/>
          <w:shd w:val="clear" w:color="auto" w:fill="FFFFFF"/>
        </w:rPr>
        <w:t>determination</w:t>
      </w:r>
      <w:proofErr w:type="gramEnd"/>
      <w:r w:rsidR="009A7F96" w:rsidRPr="00781CFA">
        <w:rPr>
          <w:rFonts w:ascii="Arial" w:hAnsi="Arial"/>
          <w:color w:val="000000"/>
          <w:sz w:val="22"/>
          <w:shd w:val="clear" w:color="auto" w:fill="FFFFFF"/>
        </w:rPr>
        <w:t xml:space="preserve"> and ingenuity of our staff, together with their dedication to the best possible care, will guide us </w:t>
      </w:r>
      <w:r w:rsidR="009A7F96" w:rsidRPr="00781CFA">
        <w:rPr>
          <w:rFonts w:ascii="Arial" w:hAnsi="Arial"/>
          <w:sz w:val="22"/>
        </w:rPr>
        <w:t>as we continually challenge ourselves to deliver the best for our patients</w:t>
      </w:r>
      <w:r w:rsidR="00E45051">
        <w:rPr>
          <w:rFonts w:ascii="Arial" w:hAnsi="Arial"/>
          <w:sz w:val="22"/>
        </w:rPr>
        <w:t>.</w:t>
      </w:r>
      <w:r w:rsidR="006230BF" w:rsidRPr="00781CFA">
        <w:rPr>
          <w:rFonts w:ascii="Arial" w:hAnsi="Arial"/>
          <w:sz w:val="22"/>
        </w:rPr>
        <w:t xml:space="preserve">   </w:t>
      </w:r>
    </w:p>
    <w:p w14:paraId="633553C2" w14:textId="77777777" w:rsidR="00E45051" w:rsidRDefault="00E45051" w:rsidP="00FB6278">
      <w:pPr>
        <w:ind w:left="-426" w:right="-330"/>
        <w:jc w:val="both"/>
        <w:rPr>
          <w:rFonts w:ascii="Arial" w:hAnsi="Arial"/>
          <w:sz w:val="22"/>
        </w:rPr>
      </w:pPr>
    </w:p>
    <w:p w14:paraId="6DC1D84F" w14:textId="0FDB2168" w:rsidR="003B108A" w:rsidRPr="00E45051" w:rsidRDefault="006230BF" w:rsidP="00FB6278">
      <w:pPr>
        <w:ind w:left="-426" w:right="-330"/>
        <w:jc w:val="both"/>
        <w:rPr>
          <w:rFonts w:ascii="Arial" w:hAnsi="Arial"/>
          <w:sz w:val="22"/>
        </w:rPr>
      </w:pPr>
      <w:r w:rsidRPr="00781CFA">
        <w:rPr>
          <w:rFonts w:ascii="Arial" w:hAnsi="Arial"/>
          <w:sz w:val="22"/>
        </w:rPr>
        <w:t xml:space="preserve">    </w:t>
      </w:r>
    </w:p>
    <w:p w14:paraId="40943A12" w14:textId="7059CA4D" w:rsidR="003B108A" w:rsidRPr="00781CFA" w:rsidRDefault="003B108A" w:rsidP="00FB6278">
      <w:pPr>
        <w:ind w:left="-426" w:right="-330"/>
        <w:jc w:val="both"/>
        <w:rPr>
          <w:rFonts w:ascii="Arial" w:hAnsi="Arial"/>
          <w:b/>
          <w:color w:val="000000"/>
          <w:sz w:val="22"/>
          <w:shd w:val="clear" w:color="auto" w:fill="FFFFFF"/>
        </w:rPr>
      </w:pPr>
      <w:r w:rsidRPr="00781CFA">
        <w:rPr>
          <w:rFonts w:ascii="Arial" w:hAnsi="Arial"/>
          <w:b/>
          <w:color w:val="000000"/>
          <w:sz w:val="22"/>
          <w:shd w:val="clear" w:color="auto" w:fill="FFFFFF"/>
        </w:rPr>
        <w:t>Tessa Green</w:t>
      </w:r>
      <w:r w:rsidRPr="00781CFA">
        <w:rPr>
          <w:rFonts w:ascii="Arial" w:hAnsi="Arial"/>
          <w:b/>
          <w:color w:val="000000"/>
          <w:sz w:val="22"/>
          <w:shd w:val="clear" w:color="auto" w:fill="FFFFFF"/>
        </w:rPr>
        <w:tab/>
      </w:r>
      <w:r w:rsidRPr="00781CFA">
        <w:rPr>
          <w:rFonts w:ascii="Arial" w:hAnsi="Arial"/>
          <w:b/>
          <w:color w:val="000000"/>
          <w:sz w:val="22"/>
          <w:shd w:val="clear" w:color="auto" w:fill="FFFFFF"/>
        </w:rPr>
        <w:tab/>
      </w:r>
      <w:r w:rsidRPr="00781CFA">
        <w:rPr>
          <w:rFonts w:ascii="Arial" w:hAnsi="Arial"/>
          <w:b/>
          <w:color w:val="000000"/>
          <w:sz w:val="22"/>
          <w:shd w:val="clear" w:color="auto" w:fill="FFFFFF"/>
        </w:rPr>
        <w:tab/>
      </w:r>
      <w:r w:rsidRPr="00781CFA">
        <w:rPr>
          <w:rFonts w:ascii="Arial" w:hAnsi="Arial"/>
          <w:b/>
          <w:color w:val="000000"/>
          <w:sz w:val="22"/>
          <w:shd w:val="clear" w:color="auto" w:fill="FFFFFF"/>
        </w:rPr>
        <w:tab/>
      </w:r>
      <w:r w:rsidR="00A23770">
        <w:rPr>
          <w:rFonts w:ascii="Arial" w:hAnsi="Arial" w:cs="Arial"/>
          <w:b/>
          <w:color w:val="000000"/>
          <w:sz w:val="22"/>
          <w:szCs w:val="22"/>
          <w:shd w:val="clear" w:color="auto" w:fill="FFFFFF"/>
        </w:rPr>
        <w:t xml:space="preserve">Dr </w:t>
      </w:r>
      <w:r w:rsidR="00EB7F2B" w:rsidRPr="00781CFA">
        <w:rPr>
          <w:rFonts w:ascii="Arial" w:hAnsi="Arial"/>
          <w:b/>
          <w:color w:val="000000"/>
          <w:sz w:val="22"/>
          <w:shd w:val="clear" w:color="auto" w:fill="FFFFFF"/>
        </w:rPr>
        <w:t xml:space="preserve">Martin </w:t>
      </w:r>
      <w:proofErr w:type="spellStart"/>
      <w:r w:rsidR="00E45051" w:rsidRPr="00781CFA">
        <w:rPr>
          <w:rFonts w:ascii="Arial" w:hAnsi="Arial"/>
          <w:b/>
          <w:color w:val="000000"/>
          <w:sz w:val="22"/>
          <w:shd w:val="clear" w:color="auto" w:fill="FFFFFF"/>
        </w:rPr>
        <w:t>K</w:t>
      </w:r>
      <w:r w:rsidR="00E45051">
        <w:rPr>
          <w:rFonts w:ascii="Arial" w:hAnsi="Arial"/>
          <w:b/>
          <w:color w:val="000000"/>
          <w:sz w:val="22"/>
          <w:shd w:val="clear" w:color="auto" w:fill="FFFFFF"/>
        </w:rPr>
        <w:t>u</w:t>
      </w:r>
      <w:r w:rsidR="00E45051" w:rsidRPr="00781CFA">
        <w:rPr>
          <w:rFonts w:ascii="Arial" w:hAnsi="Arial"/>
          <w:b/>
          <w:color w:val="000000"/>
          <w:sz w:val="22"/>
          <w:shd w:val="clear" w:color="auto" w:fill="FFFFFF"/>
        </w:rPr>
        <w:t>per</w:t>
      </w:r>
      <w:proofErr w:type="spellEnd"/>
    </w:p>
    <w:p w14:paraId="23CFD8DD" w14:textId="6B25F183" w:rsidR="0024625A" w:rsidRPr="00E45051" w:rsidRDefault="00E711EE" w:rsidP="00FB6278">
      <w:pPr>
        <w:ind w:left="-426" w:right="-330"/>
        <w:jc w:val="both"/>
        <w:rPr>
          <w:rFonts w:ascii="Arial" w:hAnsi="Arial" w:cs="Arial"/>
          <w:b/>
          <w:sz w:val="28"/>
          <w:szCs w:val="28"/>
        </w:rPr>
      </w:pPr>
      <w:r w:rsidRPr="00781CFA">
        <w:rPr>
          <w:rFonts w:ascii="Arial" w:hAnsi="Arial"/>
          <w:color w:val="000000"/>
          <w:sz w:val="22"/>
          <w:shd w:val="clear" w:color="auto" w:fill="FFFFFF"/>
        </w:rPr>
        <w:t>Chairman</w:t>
      </w:r>
      <w:r w:rsidRPr="00781CFA">
        <w:rPr>
          <w:rFonts w:ascii="Arial" w:hAnsi="Arial"/>
          <w:color w:val="000000"/>
          <w:sz w:val="22"/>
          <w:shd w:val="clear" w:color="auto" w:fill="FFFFFF"/>
        </w:rPr>
        <w:tab/>
      </w:r>
      <w:r w:rsidRPr="00781CFA">
        <w:rPr>
          <w:rFonts w:ascii="Arial" w:hAnsi="Arial"/>
          <w:color w:val="000000"/>
          <w:sz w:val="22"/>
          <w:shd w:val="clear" w:color="auto" w:fill="FFFFFF"/>
        </w:rPr>
        <w:tab/>
      </w:r>
      <w:r w:rsidRPr="00781CFA">
        <w:rPr>
          <w:rFonts w:ascii="Arial" w:hAnsi="Arial"/>
          <w:color w:val="000000"/>
          <w:sz w:val="22"/>
          <w:shd w:val="clear" w:color="auto" w:fill="FFFFFF"/>
        </w:rPr>
        <w:tab/>
      </w:r>
      <w:r w:rsidRPr="00781CFA">
        <w:rPr>
          <w:rFonts w:ascii="Arial" w:hAnsi="Arial"/>
          <w:color w:val="000000"/>
          <w:sz w:val="22"/>
          <w:shd w:val="clear" w:color="auto" w:fill="FFFFFF"/>
        </w:rPr>
        <w:tab/>
      </w:r>
      <w:r w:rsidR="00781CFA">
        <w:rPr>
          <w:rFonts w:ascii="Arial" w:hAnsi="Arial"/>
          <w:color w:val="000000"/>
          <w:sz w:val="22"/>
          <w:shd w:val="clear" w:color="auto" w:fill="FFFFFF"/>
        </w:rPr>
        <w:tab/>
      </w:r>
      <w:r w:rsidR="003B108A" w:rsidRPr="00781CFA">
        <w:rPr>
          <w:rFonts w:ascii="Arial" w:hAnsi="Arial"/>
          <w:color w:val="000000"/>
          <w:sz w:val="22"/>
          <w:shd w:val="clear" w:color="auto" w:fill="FFFFFF"/>
        </w:rPr>
        <w:t>Chief executive</w:t>
      </w:r>
    </w:p>
    <w:p w14:paraId="1DF45202" w14:textId="03E934CC" w:rsidR="0077653F" w:rsidRPr="0001707D" w:rsidRDefault="00A063B8" w:rsidP="00FB6278">
      <w:pPr>
        <w:pStyle w:val="ListParagraph"/>
        <w:numPr>
          <w:ilvl w:val="0"/>
          <w:numId w:val="42"/>
        </w:numPr>
        <w:ind w:left="-142" w:right="-330"/>
        <w:jc w:val="both"/>
        <w:rPr>
          <w:rFonts w:ascii="Arial" w:hAnsi="Arial"/>
          <w:color w:val="000000"/>
          <w:sz w:val="22"/>
          <w:shd w:val="clear" w:color="auto" w:fill="FFFFFF"/>
        </w:rPr>
      </w:pPr>
      <w:r w:rsidRPr="0001707D">
        <w:rPr>
          <w:rFonts w:ascii="Arial" w:hAnsi="Arial"/>
          <w:b/>
          <w:sz w:val="28"/>
        </w:rPr>
        <w:lastRenderedPageBreak/>
        <w:t>Performance report</w:t>
      </w:r>
    </w:p>
    <w:p w14:paraId="569AFE7B" w14:textId="6C416D6D" w:rsidR="00643B12" w:rsidRPr="00CD4F89" w:rsidRDefault="00643B12" w:rsidP="00FB6278">
      <w:pPr>
        <w:pStyle w:val="MEHBoldheading1"/>
        <w:ind w:left="-567"/>
        <w:rPr>
          <w:iCs/>
          <w:sz w:val="22"/>
        </w:rPr>
      </w:pPr>
      <w:r w:rsidRPr="00CD4F89">
        <w:rPr>
          <w:iCs/>
          <w:sz w:val="22"/>
        </w:rPr>
        <w:t xml:space="preserve">Who we </w:t>
      </w:r>
      <w:proofErr w:type="gramStart"/>
      <w:r w:rsidRPr="00CD4F89">
        <w:rPr>
          <w:iCs/>
          <w:sz w:val="22"/>
        </w:rPr>
        <w:t>are</w:t>
      </w:r>
      <w:proofErr w:type="gramEnd"/>
    </w:p>
    <w:p w14:paraId="71769FFE" w14:textId="48D81AFE" w:rsidR="00643B12" w:rsidRPr="005B3BCE" w:rsidRDefault="00643B12" w:rsidP="00FB6278">
      <w:pPr>
        <w:ind w:left="-567" w:right="-613"/>
        <w:jc w:val="both"/>
        <w:rPr>
          <w:rFonts w:ascii="Arial" w:hAnsi="Arial"/>
          <w:sz w:val="22"/>
        </w:rPr>
      </w:pPr>
      <w:r w:rsidRPr="005B3BCE">
        <w:rPr>
          <w:rFonts w:ascii="Arial" w:hAnsi="Arial"/>
          <w:sz w:val="22"/>
        </w:rPr>
        <w:t xml:space="preserve">Moorfields Eye Hospital NHS Foundation Trust is the leading provider of eye health services in the UK and a world-class centre of excellence for ophthalmic research and education. </w:t>
      </w:r>
      <w:r w:rsidR="008A5A70" w:rsidRPr="005B3BCE">
        <w:rPr>
          <w:rFonts w:ascii="Arial" w:hAnsi="Arial"/>
          <w:sz w:val="22"/>
        </w:rPr>
        <w:t>Our</w:t>
      </w:r>
      <w:r w:rsidRPr="005B3BCE">
        <w:rPr>
          <w:rFonts w:ascii="Arial" w:hAnsi="Arial"/>
          <w:sz w:val="22"/>
        </w:rPr>
        <w:t xml:space="preserve"> reputation for providing the highest quality of ophthalmic care has developed over 200 years. </w:t>
      </w:r>
      <w:r w:rsidR="008A5A70" w:rsidRPr="005B3BCE">
        <w:rPr>
          <w:rFonts w:ascii="Arial" w:hAnsi="Arial"/>
          <w:sz w:val="22"/>
        </w:rPr>
        <w:t>The trust has</w:t>
      </w:r>
      <w:r w:rsidRPr="005B3BCE">
        <w:rPr>
          <w:rFonts w:ascii="Arial" w:hAnsi="Arial"/>
          <w:sz w:val="22"/>
        </w:rPr>
        <w:t xml:space="preserve"> </w:t>
      </w:r>
      <w:r w:rsidR="00CD6322" w:rsidRPr="005B3BCE">
        <w:rPr>
          <w:rFonts w:ascii="Arial" w:hAnsi="Arial"/>
          <w:sz w:val="22"/>
        </w:rPr>
        <w:t>2,349</w:t>
      </w:r>
      <w:r w:rsidRPr="005B3BCE">
        <w:rPr>
          <w:rFonts w:ascii="Arial" w:hAnsi="Arial"/>
          <w:sz w:val="22"/>
        </w:rPr>
        <w:t xml:space="preserve"> </w:t>
      </w:r>
      <w:r w:rsidR="008D1335" w:rsidRPr="005B3BCE">
        <w:rPr>
          <w:rFonts w:ascii="Arial" w:hAnsi="Arial"/>
          <w:sz w:val="22"/>
        </w:rPr>
        <w:t>(</w:t>
      </w:r>
      <w:r w:rsidR="001F00FA" w:rsidRPr="005B3BCE">
        <w:rPr>
          <w:rFonts w:ascii="Arial" w:hAnsi="Arial"/>
          <w:sz w:val="22"/>
        </w:rPr>
        <w:t>full-time and part-time</w:t>
      </w:r>
      <w:r w:rsidR="008D1335" w:rsidRPr="005B3BCE">
        <w:rPr>
          <w:rFonts w:ascii="Arial" w:hAnsi="Arial"/>
          <w:sz w:val="22"/>
        </w:rPr>
        <w:t>)</w:t>
      </w:r>
      <w:r w:rsidR="001F00FA" w:rsidRPr="005B3BCE">
        <w:rPr>
          <w:rFonts w:ascii="Arial" w:hAnsi="Arial"/>
          <w:sz w:val="22"/>
        </w:rPr>
        <w:t xml:space="preserve"> </w:t>
      </w:r>
      <w:r w:rsidRPr="005B3BCE">
        <w:rPr>
          <w:rFonts w:ascii="Arial" w:hAnsi="Arial"/>
          <w:sz w:val="22"/>
        </w:rPr>
        <w:t xml:space="preserve">staff </w:t>
      </w:r>
      <w:r w:rsidR="008A5A70" w:rsidRPr="005B3BCE">
        <w:rPr>
          <w:rFonts w:ascii="Arial" w:hAnsi="Arial"/>
          <w:sz w:val="22"/>
        </w:rPr>
        <w:t xml:space="preserve">who </w:t>
      </w:r>
      <w:r w:rsidRPr="005B3BCE">
        <w:rPr>
          <w:rFonts w:ascii="Arial" w:hAnsi="Arial"/>
          <w:sz w:val="22"/>
        </w:rPr>
        <w:t>are committed to sustaining and building on our pioneering history, and ensuring we remain at the cutting edge of developments in ophthalmology.</w:t>
      </w:r>
    </w:p>
    <w:p w14:paraId="19DEE53B" w14:textId="77777777" w:rsidR="00643B12" w:rsidRPr="005B3BCE" w:rsidRDefault="00643B12" w:rsidP="00FB6278">
      <w:pPr>
        <w:rPr>
          <w:rFonts w:ascii="Arial" w:hAnsi="Arial"/>
          <w:sz w:val="22"/>
        </w:rPr>
      </w:pPr>
    </w:p>
    <w:p w14:paraId="6EE4D5A5" w14:textId="2E836C6C" w:rsidR="00643B12" w:rsidRPr="005B3BCE" w:rsidRDefault="00F239A2" w:rsidP="00FB6278">
      <w:pPr>
        <w:ind w:left="-567" w:right="-613"/>
        <w:jc w:val="both"/>
        <w:rPr>
          <w:rFonts w:ascii="Arial" w:hAnsi="Arial"/>
          <w:sz w:val="22"/>
        </w:rPr>
      </w:pPr>
      <w:r w:rsidRPr="005B3BCE">
        <w:rPr>
          <w:rFonts w:ascii="Arial" w:hAnsi="Arial"/>
          <w:sz w:val="22"/>
        </w:rPr>
        <w:t>We were one of the first to become a</w:t>
      </w:r>
      <w:r w:rsidR="00B54B60" w:rsidRPr="005B3BCE">
        <w:rPr>
          <w:rFonts w:ascii="Arial" w:hAnsi="Arial"/>
          <w:sz w:val="22"/>
        </w:rPr>
        <w:t>n NHS</w:t>
      </w:r>
      <w:r w:rsidRPr="005B3BCE">
        <w:rPr>
          <w:rFonts w:ascii="Arial" w:hAnsi="Arial"/>
          <w:sz w:val="22"/>
        </w:rPr>
        <w:t xml:space="preserve"> </w:t>
      </w:r>
      <w:r w:rsidR="00B53CA9" w:rsidRPr="005B3BCE">
        <w:rPr>
          <w:rFonts w:ascii="Arial" w:hAnsi="Arial"/>
          <w:sz w:val="22"/>
        </w:rPr>
        <w:t>f</w:t>
      </w:r>
      <w:r w:rsidRPr="005B3BCE">
        <w:rPr>
          <w:rFonts w:ascii="Arial" w:hAnsi="Arial"/>
          <w:sz w:val="22"/>
        </w:rPr>
        <w:t xml:space="preserve">oundation </w:t>
      </w:r>
      <w:r w:rsidR="00B53CA9" w:rsidRPr="005B3BCE">
        <w:rPr>
          <w:rFonts w:ascii="Arial" w:hAnsi="Arial"/>
          <w:sz w:val="22"/>
        </w:rPr>
        <w:t>t</w:t>
      </w:r>
      <w:r w:rsidRPr="005B3BCE">
        <w:rPr>
          <w:rFonts w:ascii="Arial" w:hAnsi="Arial"/>
          <w:sz w:val="22"/>
        </w:rPr>
        <w:t xml:space="preserve">rust in 2004 and </w:t>
      </w:r>
      <w:r w:rsidR="00764AC6" w:rsidRPr="005B3BCE">
        <w:rPr>
          <w:rFonts w:ascii="Arial" w:hAnsi="Arial"/>
          <w:sz w:val="22"/>
        </w:rPr>
        <w:t>are</w:t>
      </w:r>
      <w:r w:rsidR="00643B12" w:rsidRPr="005B3BCE">
        <w:rPr>
          <w:rFonts w:ascii="Arial" w:hAnsi="Arial"/>
          <w:sz w:val="22"/>
        </w:rPr>
        <w:t xml:space="preserve"> a f</w:t>
      </w:r>
      <w:r w:rsidR="001F00FA" w:rsidRPr="005B3BCE">
        <w:rPr>
          <w:rFonts w:ascii="Arial" w:hAnsi="Arial"/>
          <w:sz w:val="22"/>
        </w:rPr>
        <w:t xml:space="preserve">ounder member of UCL Partners, </w:t>
      </w:r>
      <w:r w:rsidR="00643B12" w:rsidRPr="005B3BCE">
        <w:rPr>
          <w:rFonts w:ascii="Arial" w:hAnsi="Arial"/>
          <w:sz w:val="22"/>
        </w:rPr>
        <w:t>one of the UK’s first acad</w:t>
      </w:r>
      <w:r w:rsidR="008D1335" w:rsidRPr="005B3BCE">
        <w:rPr>
          <w:rFonts w:ascii="Arial" w:hAnsi="Arial"/>
          <w:sz w:val="22"/>
        </w:rPr>
        <w:t>emic health science centres. Moorfields is</w:t>
      </w:r>
      <w:r w:rsidR="006945F1" w:rsidRPr="005B3BCE">
        <w:rPr>
          <w:rFonts w:ascii="Arial" w:hAnsi="Arial"/>
          <w:sz w:val="22"/>
        </w:rPr>
        <w:t xml:space="preserve"> </w:t>
      </w:r>
      <w:r w:rsidR="00643B12" w:rsidRPr="005B3BCE">
        <w:rPr>
          <w:rFonts w:ascii="Arial" w:hAnsi="Arial"/>
          <w:sz w:val="22"/>
        </w:rPr>
        <w:t>one of only 20 sites nationally that has National Institute of Health Research (NIHR) Biomedical Research Centre (BRC) status, provid</w:t>
      </w:r>
      <w:r w:rsidR="008D1335" w:rsidRPr="005B3BCE">
        <w:rPr>
          <w:rFonts w:ascii="Arial" w:hAnsi="Arial"/>
          <w:sz w:val="22"/>
        </w:rPr>
        <w:t>ing</w:t>
      </w:r>
      <w:r w:rsidR="00643B12" w:rsidRPr="005B3BCE">
        <w:rPr>
          <w:rFonts w:ascii="Arial" w:hAnsi="Arial"/>
          <w:sz w:val="22"/>
        </w:rPr>
        <w:t xml:space="preserve"> us with the infrastructure to support major innovative research initiatives and enabl</w:t>
      </w:r>
      <w:r w:rsidR="008D1335" w:rsidRPr="005B3BCE">
        <w:rPr>
          <w:rFonts w:ascii="Arial" w:hAnsi="Arial"/>
          <w:sz w:val="22"/>
        </w:rPr>
        <w:t>ing</w:t>
      </w:r>
      <w:r w:rsidR="00643B12" w:rsidRPr="005B3BCE">
        <w:rPr>
          <w:rFonts w:ascii="Arial" w:hAnsi="Arial"/>
          <w:sz w:val="22"/>
        </w:rPr>
        <w:t xml:space="preserve"> us to fast-track projects to benefit patients more quickly. </w:t>
      </w:r>
    </w:p>
    <w:p w14:paraId="170CBC97" w14:textId="77777777" w:rsidR="00643B12" w:rsidRPr="005B3BCE" w:rsidRDefault="00643B12" w:rsidP="00FB6278">
      <w:pPr>
        <w:jc w:val="both"/>
        <w:rPr>
          <w:rFonts w:ascii="Arial" w:hAnsi="Arial"/>
          <w:sz w:val="22"/>
        </w:rPr>
      </w:pPr>
    </w:p>
    <w:p w14:paraId="16CCB001" w14:textId="7B83971C" w:rsidR="000C286B" w:rsidRPr="005B3BCE" w:rsidRDefault="00643B12" w:rsidP="00FB6278">
      <w:pPr>
        <w:ind w:left="-567" w:right="-613"/>
        <w:jc w:val="both"/>
        <w:rPr>
          <w:rFonts w:ascii="Arial" w:hAnsi="Arial"/>
          <w:sz w:val="22"/>
        </w:rPr>
      </w:pPr>
      <w:r w:rsidRPr="005B3BCE">
        <w:rPr>
          <w:rFonts w:ascii="Arial" w:hAnsi="Arial"/>
          <w:sz w:val="22"/>
        </w:rPr>
        <w:t xml:space="preserve">We have a network of NHS sites in London and the </w:t>
      </w:r>
      <w:proofErr w:type="gramStart"/>
      <w:r w:rsidRPr="005B3BCE">
        <w:rPr>
          <w:rFonts w:ascii="Arial" w:hAnsi="Arial"/>
          <w:sz w:val="22"/>
        </w:rPr>
        <w:t>south east</w:t>
      </w:r>
      <w:proofErr w:type="gramEnd"/>
      <w:r w:rsidRPr="005B3BCE">
        <w:rPr>
          <w:rFonts w:ascii="Arial" w:hAnsi="Arial"/>
          <w:sz w:val="22"/>
        </w:rPr>
        <w:t xml:space="preserve"> of England, and provide private services both in England and internationally. We are registered without conditions and with an overall rating of ‘Good’ with the Care Quality Commission (CQC)</w:t>
      </w:r>
      <w:r w:rsidR="007B6685" w:rsidRPr="005B3BCE">
        <w:rPr>
          <w:rFonts w:ascii="Arial" w:hAnsi="Arial"/>
          <w:sz w:val="22"/>
        </w:rPr>
        <w:t xml:space="preserve"> from our last inspection in 2018</w:t>
      </w:r>
      <w:r w:rsidR="006945F1" w:rsidRPr="005B3BCE">
        <w:rPr>
          <w:rFonts w:ascii="Arial" w:hAnsi="Arial"/>
          <w:sz w:val="22"/>
        </w:rPr>
        <w:t>.</w:t>
      </w:r>
      <w:bookmarkStart w:id="0" w:name="_Toc483473451"/>
    </w:p>
    <w:p w14:paraId="2C8BA514" w14:textId="77777777" w:rsidR="000C286B" w:rsidRPr="005B3BCE" w:rsidRDefault="000C286B" w:rsidP="00FB6278">
      <w:pPr>
        <w:ind w:left="-567" w:right="-613"/>
        <w:jc w:val="both"/>
        <w:rPr>
          <w:rFonts w:ascii="Arial" w:hAnsi="Arial"/>
          <w:sz w:val="22"/>
          <w:highlight w:val="yellow"/>
        </w:rPr>
      </w:pPr>
    </w:p>
    <w:p w14:paraId="04CF659B" w14:textId="4588CF75" w:rsidR="00250136" w:rsidRPr="00213C08" w:rsidRDefault="00643B12" w:rsidP="00FB6278">
      <w:pPr>
        <w:ind w:left="-567" w:right="-613"/>
        <w:jc w:val="both"/>
        <w:rPr>
          <w:rFonts w:ascii="Arial" w:hAnsi="Arial"/>
          <w:b/>
          <w:iCs/>
          <w:sz w:val="22"/>
        </w:rPr>
      </w:pPr>
      <w:r w:rsidRPr="00CD4F89">
        <w:rPr>
          <w:rFonts w:ascii="Arial" w:hAnsi="Arial"/>
          <w:b/>
          <w:iCs/>
          <w:sz w:val="22"/>
        </w:rPr>
        <w:t>What we do</w:t>
      </w:r>
      <w:bookmarkEnd w:id="0"/>
    </w:p>
    <w:p w14:paraId="2233AEE9" w14:textId="05E09624" w:rsidR="001D4F09" w:rsidRPr="005B3BCE" w:rsidRDefault="00643B12" w:rsidP="00FB6278">
      <w:pPr>
        <w:pStyle w:val="MEHBoldheading1"/>
        <w:ind w:left="-567" w:right="-613"/>
        <w:jc w:val="both"/>
        <w:rPr>
          <w:b w:val="0"/>
          <w:sz w:val="22"/>
        </w:rPr>
      </w:pPr>
      <w:r w:rsidRPr="005B3BCE">
        <w:rPr>
          <w:b w:val="0"/>
          <w:sz w:val="22"/>
        </w:rPr>
        <w:t xml:space="preserve">We provide a wide range of </w:t>
      </w:r>
      <w:r w:rsidR="00DF7749" w:rsidRPr="005B3BCE">
        <w:rPr>
          <w:b w:val="0"/>
          <w:sz w:val="22"/>
        </w:rPr>
        <w:t xml:space="preserve">ophthalmic </w:t>
      </w:r>
      <w:r w:rsidRPr="005B3BCE">
        <w:rPr>
          <w:b w:val="0"/>
          <w:sz w:val="22"/>
        </w:rPr>
        <w:t xml:space="preserve">services, caring for patients with routine </w:t>
      </w:r>
      <w:r w:rsidR="00E504FB" w:rsidRPr="005B3BCE">
        <w:rPr>
          <w:rFonts w:cs="Arial"/>
          <w:b w:val="0"/>
          <w:sz w:val="22"/>
          <w:szCs w:val="22"/>
        </w:rPr>
        <w:t>eye conditions</w:t>
      </w:r>
      <w:r w:rsidRPr="005B3BCE">
        <w:rPr>
          <w:rFonts w:cs="Arial"/>
          <w:b w:val="0"/>
          <w:sz w:val="22"/>
          <w:szCs w:val="22"/>
        </w:rPr>
        <w:t xml:space="preserve"> </w:t>
      </w:r>
      <w:r w:rsidRPr="005B3BCE">
        <w:rPr>
          <w:b w:val="0"/>
          <w:sz w:val="22"/>
        </w:rPr>
        <w:t>as well as those with rare and complex conditions. We serve the NHS and private sectors in the UK and deliver care through our international services.  In partnership with the UCL Institute of Ophthalmology</w:t>
      </w:r>
      <w:r w:rsidR="006945F1" w:rsidRPr="005B3BCE">
        <w:rPr>
          <w:b w:val="0"/>
          <w:sz w:val="22"/>
        </w:rPr>
        <w:t xml:space="preserve"> and other strategic partners</w:t>
      </w:r>
      <w:r w:rsidRPr="005B3BCE">
        <w:rPr>
          <w:b w:val="0"/>
          <w:sz w:val="22"/>
        </w:rPr>
        <w:t>, we conduct world-leading research</w:t>
      </w:r>
      <w:r w:rsidR="006945F1" w:rsidRPr="005B3BCE">
        <w:rPr>
          <w:b w:val="0"/>
          <w:sz w:val="22"/>
        </w:rPr>
        <w:t xml:space="preserve"> and play a leading role in the training and education of eye care clinicians</w:t>
      </w:r>
      <w:r w:rsidRPr="005B3BCE">
        <w:rPr>
          <w:b w:val="0"/>
          <w:sz w:val="22"/>
        </w:rPr>
        <w:t xml:space="preserve">. </w:t>
      </w:r>
    </w:p>
    <w:p w14:paraId="4C8B5CCA" w14:textId="6CCDC976" w:rsidR="00B42676" w:rsidRPr="005B3BCE" w:rsidRDefault="009C05F0" w:rsidP="00FB6278">
      <w:pPr>
        <w:ind w:left="-567" w:right="-613"/>
        <w:jc w:val="both"/>
        <w:rPr>
          <w:rFonts w:ascii="Arial" w:hAnsi="Arial"/>
          <w:sz w:val="22"/>
        </w:rPr>
      </w:pPr>
      <w:r w:rsidRPr="005B3BCE">
        <w:rPr>
          <w:rFonts w:ascii="Arial" w:hAnsi="Arial"/>
          <w:sz w:val="22"/>
        </w:rPr>
        <w:t xml:space="preserve">We have a unique patient case </w:t>
      </w:r>
      <w:r w:rsidR="00643B12" w:rsidRPr="005B3BCE">
        <w:rPr>
          <w:rFonts w:ascii="Arial" w:hAnsi="Arial"/>
          <w:sz w:val="22"/>
        </w:rPr>
        <w:t xml:space="preserve">mix and </w:t>
      </w:r>
      <w:r w:rsidR="008D1335" w:rsidRPr="005B3BCE">
        <w:rPr>
          <w:rFonts w:ascii="Arial" w:hAnsi="Arial"/>
          <w:sz w:val="22"/>
        </w:rPr>
        <w:t>more detail on our services</w:t>
      </w:r>
      <w:r w:rsidR="002D3AD6" w:rsidRPr="005B3BCE">
        <w:rPr>
          <w:rFonts w:ascii="Arial" w:hAnsi="Arial"/>
          <w:sz w:val="22"/>
        </w:rPr>
        <w:t xml:space="preserve"> can be found at </w:t>
      </w:r>
      <w:hyperlink r:id="rId12" w:history="1">
        <w:r w:rsidR="002D3AD6" w:rsidRPr="005B3BCE">
          <w:rPr>
            <w:rStyle w:val="Hyperlink"/>
            <w:rFonts w:ascii="Arial" w:hAnsi="Arial"/>
            <w:sz w:val="22"/>
          </w:rPr>
          <w:t>https://www.moorfields.nhs.uk/listing/services</w:t>
        </w:r>
      </w:hyperlink>
    </w:p>
    <w:p w14:paraId="42DC4287" w14:textId="20725697" w:rsidR="00CC2C77" w:rsidRPr="00CD4F89" w:rsidRDefault="001D4F09" w:rsidP="00FB6278">
      <w:pPr>
        <w:pStyle w:val="MEHBoldheading1"/>
        <w:ind w:left="-567"/>
        <w:rPr>
          <w:iCs/>
          <w:sz w:val="22"/>
        </w:rPr>
      </w:pPr>
      <w:r w:rsidRPr="00CD4F89">
        <w:rPr>
          <w:iCs/>
          <w:sz w:val="22"/>
        </w:rPr>
        <w:t>How we are structured</w:t>
      </w:r>
    </w:p>
    <w:p w14:paraId="7D3E74F2" w14:textId="275112F1" w:rsidR="00CC2C77" w:rsidRPr="005B3BCE" w:rsidRDefault="00CC2C77" w:rsidP="00FB6278">
      <w:pPr>
        <w:pStyle w:val="MEHBoldheading1"/>
        <w:ind w:left="-567" w:right="-613"/>
        <w:jc w:val="both"/>
        <w:rPr>
          <w:b w:val="0"/>
          <w:sz w:val="22"/>
        </w:rPr>
      </w:pPr>
      <w:r w:rsidRPr="005B3BCE">
        <w:rPr>
          <w:sz w:val="22"/>
        </w:rPr>
        <w:t>Moorfields North</w:t>
      </w:r>
      <w:r w:rsidRPr="005B3BCE">
        <w:rPr>
          <w:b w:val="0"/>
          <w:sz w:val="22"/>
        </w:rPr>
        <w:t> runs a number of network and partnership units across the division (</w:t>
      </w:r>
      <w:proofErr w:type="gramStart"/>
      <w:r w:rsidR="0025677D" w:rsidRPr="005B3BCE">
        <w:rPr>
          <w:rFonts w:cs="Arial"/>
          <w:b w:val="0"/>
          <w:sz w:val="22"/>
          <w:szCs w:val="22"/>
        </w:rPr>
        <w:t>n</w:t>
      </w:r>
      <w:r w:rsidRPr="005B3BCE">
        <w:rPr>
          <w:rFonts w:cs="Arial"/>
          <w:b w:val="0"/>
          <w:sz w:val="22"/>
          <w:szCs w:val="22"/>
        </w:rPr>
        <w:t>orth</w:t>
      </w:r>
      <w:r w:rsidR="00FA37D4" w:rsidRPr="005B3BCE">
        <w:rPr>
          <w:rFonts w:cs="Arial"/>
          <w:b w:val="0"/>
          <w:sz w:val="22"/>
          <w:szCs w:val="22"/>
        </w:rPr>
        <w:t xml:space="preserve"> </w:t>
      </w:r>
      <w:r w:rsidR="0025677D" w:rsidRPr="005B3BCE">
        <w:rPr>
          <w:rFonts w:cs="Arial"/>
          <w:b w:val="0"/>
          <w:sz w:val="22"/>
          <w:szCs w:val="22"/>
        </w:rPr>
        <w:t>e</w:t>
      </w:r>
      <w:r w:rsidRPr="005B3BCE">
        <w:rPr>
          <w:rFonts w:cs="Arial"/>
          <w:b w:val="0"/>
          <w:sz w:val="22"/>
          <w:szCs w:val="22"/>
        </w:rPr>
        <w:t>ast</w:t>
      </w:r>
      <w:proofErr w:type="gramEnd"/>
      <w:r w:rsidRPr="005B3BCE">
        <w:rPr>
          <w:rFonts w:cs="Arial"/>
          <w:b w:val="0"/>
          <w:sz w:val="22"/>
          <w:szCs w:val="22"/>
        </w:rPr>
        <w:t xml:space="preserve">, </w:t>
      </w:r>
      <w:r w:rsidR="0025677D" w:rsidRPr="005B3BCE">
        <w:rPr>
          <w:rFonts w:cs="Arial"/>
          <w:b w:val="0"/>
          <w:sz w:val="22"/>
          <w:szCs w:val="22"/>
        </w:rPr>
        <w:t>n</w:t>
      </w:r>
      <w:r w:rsidRPr="005B3BCE">
        <w:rPr>
          <w:rFonts w:cs="Arial"/>
          <w:b w:val="0"/>
          <w:sz w:val="22"/>
          <w:szCs w:val="22"/>
        </w:rPr>
        <w:t xml:space="preserve">orth </w:t>
      </w:r>
      <w:r w:rsidR="0025677D" w:rsidRPr="005B3BCE">
        <w:rPr>
          <w:rFonts w:cs="Arial"/>
          <w:b w:val="0"/>
          <w:sz w:val="22"/>
          <w:szCs w:val="22"/>
        </w:rPr>
        <w:t>w</w:t>
      </w:r>
      <w:r w:rsidRPr="005B3BCE">
        <w:rPr>
          <w:rFonts w:cs="Arial"/>
          <w:b w:val="0"/>
          <w:sz w:val="22"/>
          <w:szCs w:val="22"/>
        </w:rPr>
        <w:t>est</w:t>
      </w:r>
      <w:r w:rsidR="005B3BCE">
        <w:rPr>
          <w:rFonts w:cs="Arial"/>
          <w:b w:val="0"/>
          <w:sz w:val="22"/>
          <w:szCs w:val="22"/>
        </w:rPr>
        <w:t xml:space="preserve"> </w:t>
      </w:r>
      <w:r w:rsidRPr="005B3BCE">
        <w:rPr>
          <w:b w:val="0"/>
          <w:sz w:val="22"/>
        </w:rPr>
        <w:t>and Bedford).</w:t>
      </w:r>
      <w:r w:rsidR="00FA37D4" w:rsidRPr="005B3BCE">
        <w:rPr>
          <w:b w:val="0"/>
          <w:sz w:val="22"/>
        </w:rPr>
        <w:t xml:space="preserve"> </w:t>
      </w:r>
      <w:r w:rsidRPr="005B3BCE">
        <w:rPr>
          <w:b w:val="0"/>
          <w:sz w:val="22"/>
        </w:rPr>
        <w:t xml:space="preserve">We provide </w:t>
      </w:r>
      <w:proofErr w:type="gramStart"/>
      <w:r w:rsidRPr="005B3BCE">
        <w:rPr>
          <w:b w:val="0"/>
          <w:sz w:val="22"/>
        </w:rPr>
        <w:t>a number of</w:t>
      </w:r>
      <w:proofErr w:type="gramEnd"/>
      <w:r w:rsidRPr="005B3BCE">
        <w:rPr>
          <w:b w:val="0"/>
          <w:sz w:val="22"/>
        </w:rPr>
        <w:t xml:space="preserve"> services in East London, including a local outpatient and surgical centre at St Ann’s Hospital in Tottenham and community clinics at Barking Community Hospital, Mile End and the Sir Ludwig Guttmann Health and Wellbeing Centre in Stratford, as well as our partnership based at the Homerton Hospital in Hackney. </w:t>
      </w:r>
    </w:p>
    <w:p w14:paraId="606A5678" w14:textId="0E88DF33" w:rsidR="00CC2C77" w:rsidRPr="000A6436" w:rsidRDefault="0024625A" w:rsidP="00FB6278">
      <w:pPr>
        <w:pStyle w:val="MEHBoldheading1"/>
        <w:ind w:left="-567" w:right="-613"/>
        <w:jc w:val="both"/>
        <w:rPr>
          <w:b w:val="0"/>
          <w:sz w:val="22"/>
        </w:rPr>
      </w:pPr>
      <w:r>
        <w:rPr>
          <w:b w:val="0"/>
          <w:sz w:val="22"/>
        </w:rPr>
        <w:t>We</w:t>
      </w:r>
      <w:r w:rsidRPr="005B3BCE">
        <w:rPr>
          <w:b w:val="0"/>
          <w:sz w:val="22"/>
        </w:rPr>
        <w:t xml:space="preserve"> </w:t>
      </w:r>
      <w:r w:rsidR="00CC2C77" w:rsidRPr="005B3BCE">
        <w:rPr>
          <w:b w:val="0"/>
          <w:sz w:val="22"/>
        </w:rPr>
        <w:t xml:space="preserve">provide a wide range of services in </w:t>
      </w:r>
      <w:proofErr w:type="gramStart"/>
      <w:r w:rsidR="0025677D" w:rsidRPr="005B3BCE">
        <w:rPr>
          <w:rFonts w:cs="Arial"/>
          <w:b w:val="0"/>
          <w:bCs/>
          <w:sz w:val="22"/>
          <w:szCs w:val="22"/>
        </w:rPr>
        <w:t>n</w:t>
      </w:r>
      <w:r w:rsidR="00CC2C77" w:rsidRPr="005B3BCE">
        <w:rPr>
          <w:rFonts w:cs="Arial"/>
          <w:b w:val="0"/>
          <w:bCs/>
          <w:sz w:val="22"/>
          <w:szCs w:val="22"/>
        </w:rPr>
        <w:t xml:space="preserve">orth </w:t>
      </w:r>
      <w:r w:rsidR="0025677D" w:rsidRPr="005B3BCE">
        <w:rPr>
          <w:rFonts w:cs="Arial"/>
          <w:b w:val="0"/>
          <w:bCs/>
          <w:sz w:val="22"/>
          <w:szCs w:val="22"/>
        </w:rPr>
        <w:t>w</w:t>
      </w:r>
      <w:r w:rsidR="00CC2C77" w:rsidRPr="005B3BCE">
        <w:rPr>
          <w:rFonts w:cs="Arial"/>
          <w:b w:val="0"/>
          <w:bCs/>
          <w:sz w:val="22"/>
          <w:szCs w:val="22"/>
        </w:rPr>
        <w:t>est</w:t>
      </w:r>
      <w:proofErr w:type="gramEnd"/>
      <w:r w:rsidR="00CC2C77" w:rsidRPr="005B3BCE">
        <w:rPr>
          <w:b w:val="0"/>
          <w:sz w:val="22"/>
        </w:rPr>
        <w:t xml:space="preserve"> London from two main sites, Northwick Park and Ealing. We provide comprehensive outpatient and surgical care in following sub specialities: adnexal, cataract, corneal, general ophthalmology, glaucoma, medical retina, paediatrics, </w:t>
      </w:r>
      <w:proofErr w:type="gramStart"/>
      <w:r w:rsidR="00CC2C77" w:rsidRPr="005B3BCE">
        <w:rPr>
          <w:b w:val="0"/>
          <w:sz w:val="22"/>
        </w:rPr>
        <w:t>uveitis</w:t>
      </w:r>
      <w:proofErr w:type="gramEnd"/>
      <w:r w:rsidR="0025677D" w:rsidRPr="005B3BCE">
        <w:rPr>
          <w:b w:val="0"/>
          <w:sz w:val="22"/>
        </w:rPr>
        <w:t xml:space="preserve"> and</w:t>
      </w:r>
      <w:r w:rsidR="00CC2C77" w:rsidRPr="005B3BCE">
        <w:rPr>
          <w:b w:val="0"/>
          <w:sz w:val="22"/>
        </w:rPr>
        <w:t xml:space="preserve"> strabismus. We also provide services at our local outpatient and surgical centre at Potters Bar. We have two local </w:t>
      </w:r>
      <w:proofErr w:type="gramStart"/>
      <w:r w:rsidR="00CC2C77" w:rsidRPr="005B3BCE">
        <w:rPr>
          <w:b w:val="0"/>
          <w:sz w:val="22"/>
        </w:rPr>
        <w:t>partnerships</w:t>
      </w:r>
      <w:r w:rsidR="0025677D" w:rsidRPr="005B3BCE">
        <w:rPr>
          <w:rFonts w:cs="Arial"/>
          <w:b w:val="0"/>
          <w:bCs/>
          <w:sz w:val="22"/>
          <w:szCs w:val="22"/>
        </w:rPr>
        <w:t>,</w:t>
      </w:r>
      <w:r w:rsidR="0025677D">
        <w:rPr>
          <w:rFonts w:asciiTheme="majorHAnsi" w:hAnsiTheme="majorHAnsi" w:cstheme="majorHAnsi"/>
          <w:b w:val="0"/>
          <w:bCs/>
          <w:sz w:val="22"/>
          <w:szCs w:val="22"/>
        </w:rPr>
        <w:t>,</w:t>
      </w:r>
      <w:proofErr w:type="gramEnd"/>
      <w:r w:rsidR="00CC2C77" w:rsidRPr="005B3BCE">
        <w:rPr>
          <w:b w:val="0"/>
          <w:sz w:val="22"/>
        </w:rPr>
        <w:t xml:space="preserve"> one in Watford and one in Wealdstone, Harrow. We run a district hub from Bedford </w:t>
      </w:r>
      <w:r w:rsidR="00CC2C77" w:rsidRPr="000A6436">
        <w:rPr>
          <w:b w:val="0"/>
          <w:sz w:val="22"/>
        </w:rPr>
        <w:t>Hospital and this service is also responsible for activity in our community clinic at Bedford Enhanced Services Centre.</w:t>
      </w:r>
    </w:p>
    <w:p w14:paraId="25A6BDCE" w14:textId="038336F4" w:rsidR="0025677D" w:rsidRPr="000A6436" w:rsidRDefault="00505F2B" w:rsidP="00FB6278">
      <w:pPr>
        <w:pStyle w:val="MEHBoldheading1"/>
        <w:ind w:left="-567" w:right="-613"/>
        <w:jc w:val="both"/>
        <w:rPr>
          <w:b w:val="0"/>
          <w:sz w:val="22"/>
        </w:rPr>
      </w:pPr>
      <w:r>
        <w:rPr>
          <w:b w:val="0"/>
          <w:sz w:val="22"/>
        </w:rPr>
        <w:t xml:space="preserve">Moorfields has led the way with the development of digital asynchronous diagnostic pathways for safe, efficient monitoring of long-term chronic ophthalmology conditions. </w:t>
      </w:r>
      <w:r w:rsidR="0025677D" w:rsidRPr="000A6436">
        <w:rPr>
          <w:b w:val="0"/>
          <w:sz w:val="22"/>
        </w:rPr>
        <w:t xml:space="preserve">We run standalone diagnostic hubs in Brent Cross shopping centre and </w:t>
      </w:r>
      <w:r w:rsidR="000A6436" w:rsidRPr="000A6436">
        <w:rPr>
          <w:b w:val="0"/>
          <w:sz w:val="22"/>
        </w:rPr>
        <w:t xml:space="preserve">in </w:t>
      </w:r>
      <w:r w:rsidR="0025677D" w:rsidRPr="000A6436">
        <w:rPr>
          <w:b w:val="0"/>
          <w:sz w:val="22"/>
        </w:rPr>
        <w:t>Hoxton</w:t>
      </w:r>
    </w:p>
    <w:p w14:paraId="2F6D2CA6" w14:textId="71488C36" w:rsidR="00D74B21" w:rsidRPr="005B3BCE" w:rsidRDefault="00CC2C77" w:rsidP="00FB6278">
      <w:pPr>
        <w:ind w:left="-567" w:right="-613"/>
        <w:jc w:val="both"/>
        <w:rPr>
          <w:rFonts w:ascii="Arial" w:hAnsi="Arial"/>
          <w:sz w:val="22"/>
        </w:rPr>
      </w:pPr>
      <w:r w:rsidRPr="000A6436">
        <w:rPr>
          <w:rFonts w:ascii="Arial" w:hAnsi="Arial"/>
          <w:b/>
          <w:sz w:val="22"/>
        </w:rPr>
        <w:t>Moorfields South</w:t>
      </w:r>
      <w:r w:rsidRPr="000A6436">
        <w:rPr>
          <w:rFonts w:ascii="Arial" w:hAnsi="Arial"/>
          <w:sz w:val="22"/>
        </w:rPr>
        <w:t xml:space="preserve"> division provides half the ophthalmic care in the </w:t>
      </w:r>
      <w:proofErr w:type="gramStart"/>
      <w:r w:rsidRPr="000A6436">
        <w:rPr>
          <w:rFonts w:ascii="Arial" w:hAnsi="Arial"/>
          <w:sz w:val="22"/>
        </w:rPr>
        <w:t>South West</w:t>
      </w:r>
      <w:proofErr w:type="gramEnd"/>
      <w:r w:rsidRPr="000A6436">
        <w:rPr>
          <w:rFonts w:ascii="Arial" w:hAnsi="Arial"/>
          <w:sz w:val="22"/>
        </w:rPr>
        <w:t xml:space="preserve"> London I</w:t>
      </w:r>
      <w:r w:rsidR="000A6436" w:rsidRPr="000A6436">
        <w:rPr>
          <w:rFonts w:ascii="Arial" w:hAnsi="Arial"/>
          <w:sz w:val="22"/>
        </w:rPr>
        <w:t xml:space="preserve">ntegrated </w:t>
      </w:r>
      <w:r w:rsidRPr="000A6436">
        <w:rPr>
          <w:rFonts w:ascii="Arial" w:hAnsi="Arial"/>
          <w:sz w:val="22"/>
        </w:rPr>
        <w:t>C</w:t>
      </w:r>
      <w:r w:rsidR="000A6436" w:rsidRPr="000A6436">
        <w:rPr>
          <w:rFonts w:ascii="Arial" w:hAnsi="Arial"/>
          <w:sz w:val="22"/>
        </w:rPr>
        <w:t xml:space="preserve">are </w:t>
      </w:r>
      <w:r w:rsidRPr="000A6436">
        <w:rPr>
          <w:rFonts w:ascii="Arial" w:hAnsi="Arial"/>
          <w:sz w:val="22"/>
        </w:rPr>
        <w:t>S</w:t>
      </w:r>
      <w:r w:rsidR="000A6436" w:rsidRPr="000A6436">
        <w:rPr>
          <w:rFonts w:ascii="Arial" w:hAnsi="Arial"/>
          <w:sz w:val="22"/>
        </w:rPr>
        <w:t>ystem</w:t>
      </w:r>
      <w:r w:rsidRPr="000A6436">
        <w:rPr>
          <w:rFonts w:ascii="Arial" w:hAnsi="Arial"/>
          <w:sz w:val="22"/>
        </w:rPr>
        <w:t xml:space="preserve"> where we run a district hub from St George’s Hospital in Tooting and a hub at Croydon</w:t>
      </w:r>
      <w:r w:rsidRPr="005B3BCE">
        <w:rPr>
          <w:rFonts w:ascii="Arial" w:hAnsi="Arial"/>
          <w:sz w:val="22"/>
        </w:rPr>
        <w:t xml:space="preserve"> University Hospital. The St George's hub has responsibility for the management of four other locations in </w:t>
      </w:r>
      <w:proofErr w:type="gramStart"/>
      <w:r w:rsidR="002E2092" w:rsidRPr="005B3BCE">
        <w:rPr>
          <w:rFonts w:ascii="Arial" w:hAnsi="Arial" w:cs="Arial"/>
          <w:sz w:val="22"/>
          <w:szCs w:val="22"/>
        </w:rPr>
        <w:t>s</w:t>
      </w:r>
      <w:r w:rsidRPr="005B3BCE">
        <w:rPr>
          <w:rFonts w:ascii="Arial" w:hAnsi="Arial" w:cs="Arial"/>
          <w:sz w:val="22"/>
          <w:szCs w:val="22"/>
        </w:rPr>
        <w:t xml:space="preserve">outh </w:t>
      </w:r>
      <w:r w:rsidR="002E2092" w:rsidRPr="005B3BCE">
        <w:rPr>
          <w:rFonts w:ascii="Arial" w:hAnsi="Arial" w:cs="Arial"/>
          <w:sz w:val="22"/>
          <w:szCs w:val="22"/>
        </w:rPr>
        <w:t>w</w:t>
      </w:r>
      <w:r w:rsidRPr="005B3BCE">
        <w:rPr>
          <w:rFonts w:ascii="Arial" w:hAnsi="Arial" w:cs="Arial"/>
          <w:sz w:val="22"/>
          <w:szCs w:val="22"/>
        </w:rPr>
        <w:t>est</w:t>
      </w:r>
      <w:proofErr w:type="gramEnd"/>
      <w:r w:rsidRPr="005B3BCE">
        <w:rPr>
          <w:rFonts w:ascii="Arial" w:hAnsi="Arial"/>
          <w:sz w:val="22"/>
        </w:rPr>
        <w:t xml:space="preserve"> London</w:t>
      </w:r>
      <w:r w:rsidR="002E2092" w:rsidRPr="005B3BCE">
        <w:rPr>
          <w:rFonts w:ascii="Arial" w:hAnsi="Arial"/>
          <w:sz w:val="22"/>
        </w:rPr>
        <w:t>,</w:t>
      </w:r>
      <w:r w:rsidRPr="005B3BCE">
        <w:rPr>
          <w:rFonts w:ascii="Arial" w:hAnsi="Arial"/>
          <w:sz w:val="22"/>
        </w:rPr>
        <w:t xml:space="preserve"> including our surgical centre at Queen Mary’s Hospital, Roehampton and our diagnostic hub at Nelson Health Centre in Merton. The Croydon central site has additional responsibility for the busy diagnostic hub at Purley War Memorial Hospital.</w:t>
      </w:r>
    </w:p>
    <w:p w14:paraId="0146832F" w14:textId="77777777" w:rsidR="00CC2C77" w:rsidRPr="005B3BCE" w:rsidRDefault="00CC2C77" w:rsidP="00FB6278">
      <w:pPr>
        <w:ind w:left="-567" w:right="-613"/>
        <w:jc w:val="both"/>
        <w:rPr>
          <w:rFonts w:ascii="Arial" w:hAnsi="Arial"/>
          <w:sz w:val="22"/>
          <w:highlight w:val="yellow"/>
        </w:rPr>
      </w:pPr>
    </w:p>
    <w:p w14:paraId="7C20C61E" w14:textId="76601B7F" w:rsidR="00567DAF" w:rsidRDefault="00CC2C77" w:rsidP="00FB6278">
      <w:pPr>
        <w:ind w:left="-567" w:right="-613"/>
        <w:jc w:val="both"/>
        <w:rPr>
          <w:rFonts w:ascii="Arial" w:hAnsi="Arial"/>
          <w:sz w:val="22"/>
        </w:rPr>
      </w:pPr>
      <w:r w:rsidRPr="005B3BCE">
        <w:rPr>
          <w:rFonts w:ascii="Arial" w:hAnsi="Arial"/>
          <w:b/>
          <w:sz w:val="22"/>
        </w:rPr>
        <w:t xml:space="preserve">Moorfields City Road </w:t>
      </w:r>
      <w:r w:rsidRPr="005B3BCE">
        <w:rPr>
          <w:rFonts w:ascii="Arial" w:hAnsi="Arial"/>
          <w:sz w:val="22"/>
        </w:rPr>
        <w:t xml:space="preserve">is managed as a unified division and comprises outpatient services from all sub-specialities (including many referrals from highly specialised services), clinical support services, A&amp;E, a dedicated paediatric </w:t>
      </w:r>
      <w:proofErr w:type="gramStart"/>
      <w:r w:rsidRPr="005B3BCE">
        <w:rPr>
          <w:rFonts w:ascii="Arial" w:hAnsi="Arial"/>
          <w:sz w:val="22"/>
        </w:rPr>
        <w:t>centre</w:t>
      </w:r>
      <w:proofErr w:type="gramEnd"/>
      <w:r w:rsidRPr="005B3BCE">
        <w:rPr>
          <w:rFonts w:ascii="Arial" w:hAnsi="Arial"/>
          <w:sz w:val="22"/>
        </w:rPr>
        <w:t xml:space="preserve"> and comprehensive surgical facilities. Other specialty services at City Road </w:t>
      </w:r>
      <w:r w:rsidRPr="005B3BCE">
        <w:rPr>
          <w:rFonts w:ascii="Arial" w:hAnsi="Arial"/>
          <w:sz w:val="22"/>
        </w:rPr>
        <w:lastRenderedPageBreak/>
        <w:t xml:space="preserve">include adnexal, cataract, corneal, general ophthalmology, glaucoma, ocular oncology, medical retina, uveitis, strabismus, </w:t>
      </w:r>
      <w:proofErr w:type="spellStart"/>
      <w:r w:rsidRPr="005B3BCE">
        <w:rPr>
          <w:rFonts w:ascii="Arial" w:hAnsi="Arial"/>
          <w:sz w:val="22"/>
        </w:rPr>
        <w:t>vitreo</w:t>
      </w:r>
      <w:proofErr w:type="spellEnd"/>
      <w:r w:rsidRPr="005B3BCE">
        <w:rPr>
          <w:rFonts w:ascii="Arial" w:hAnsi="Arial"/>
          <w:sz w:val="22"/>
        </w:rPr>
        <w:t>-retinal, neuro and genetics. The division is also responsible for our joint working arrangements with Barts Health, Guy’s and St Thomas’ hospitals, and Great Ormond Street Hospital for Children.</w:t>
      </w:r>
    </w:p>
    <w:p w14:paraId="600BD889" w14:textId="77777777" w:rsidR="00BB04A6" w:rsidRPr="005B3BCE" w:rsidRDefault="00BB04A6" w:rsidP="00FB6278">
      <w:pPr>
        <w:ind w:left="-567" w:right="-613"/>
        <w:jc w:val="both"/>
        <w:rPr>
          <w:rFonts w:ascii="Arial" w:hAnsi="Arial"/>
          <w:sz w:val="22"/>
        </w:rPr>
      </w:pPr>
    </w:p>
    <w:p w14:paraId="293EB530" w14:textId="0A207507" w:rsidR="002C246B" w:rsidRPr="0044335A" w:rsidRDefault="00D74B21" w:rsidP="00FB6278">
      <w:pPr>
        <w:ind w:left="-567" w:right="-613"/>
        <w:jc w:val="both"/>
        <w:rPr>
          <w:rFonts w:ascii="Arial" w:hAnsi="Arial"/>
          <w:sz w:val="22"/>
        </w:rPr>
      </w:pPr>
      <w:r w:rsidRPr="005B3BCE">
        <w:rPr>
          <w:rFonts w:ascii="Arial" w:hAnsi="Arial"/>
          <w:sz w:val="22"/>
        </w:rPr>
        <w:t xml:space="preserve">Each division is supported by a range of corporate services covering quality and safety, human resources, governance, strategy and business development and finance. Our </w:t>
      </w:r>
      <w:r w:rsidR="002E2092" w:rsidRPr="005B3BCE">
        <w:rPr>
          <w:rFonts w:ascii="Arial" w:hAnsi="Arial" w:cs="Arial"/>
          <w:sz w:val="22"/>
          <w:szCs w:val="22"/>
        </w:rPr>
        <w:t>a</w:t>
      </w:r>
      <w:r w:rsidRPr="005B3BCE">
        <w:rPr>
          <w:rFonts w:ascii="Arial" w:hAnsi="Arial" w:cs="Arial"/>
          <w:sz w:val="22"/>
          <w:szCs w:val="22"/>
        </w:rPr>
        <w:t>ccess</w:t>
      </w:r>
      <w:r w:rsidRPr="0044335A">
        <w:rPr>
          <w:rFonts w:ascii="Arial" w:hAnsi="Arial"/>
          <w:sz w:val="22"/>
        </w:rPr>
        <w:t xml:space="preserve"> directorate is responsible for business continuity and emergency preparedness for the </w:t>
      </w:r>
      <w:r w:rsidR="002E2092" w:rsidRPr="0044335A">
        <w:rPr>
          <w:rFonts w:ascii="Arial" w:hAnsi="Arial" w:cs="Arial"/>
          <w:sz w:val="22"/>
          <w:szCs w:val="22"/>
        </w:rPr>
        <w:t>t</w:t>
      </w:r>
      <w:r w:rsidRPr="0044335A">
        <w:rPr>
          <w:rFonts w:ascii="Arial" w:hAnsi="Arial" w:cs="Arial"/>
          <w:sz w:val="22"/>
          <w:szCs w:val="22"/>
        </w:rPr>
        <w:t>rus</w:t>
      </w:r>
      <w:r w:rsidR="002E2092" w:rsidRPr="00B86204">
        <w:rPr>
          <w:rFonts w:ascii="Arial" w:hAnsi="Arial" w:cs="Arial"/>
          <w:sz w:val="22"/>
          <w:szCs w:val="22"/>
        </w:rPr>
        <w:t>t</w:t>
      </w:r>
      <w:r w:rsidRPr="0044335A">
        <w:rPr>
          <w:rFonts w:ascii="Arial" w:hAnsi="Arial"/>
          <w:sz w:val="22"/>
        </w:rPr>
        <w:t xml:space="preserve"> </w:t>
      </w:r>
      <w:proofErr w:type="gramStart"/>
      <w:r w:rsidRPr="0044335A">
        <w:rPr>
          <w:rFonts w:ascii="Arial" w:hAnsi="Arial"/>
          <w:sz w:val="22"/>
        </w:rPr>
        <w:t>and also</w:t>
      </w:r>
      <w:proofErr w:type="gramEnd"/>
      <w:r w:rsidRPr="0044335A">
        <w:rPr>
          <w:rFonts w:ascii="Arial" w:hAnsi="Arial"/>
          <w:sz w:val="22"/>
        </w:rPr>
        <w:t xml:space="preserve"> includes the </w:t>
      </w:r>
      <w:r w:rsidR="002E2092" w:rsidRPr="0044335A">
        <w:rPr>
          <w:rFonts w:ascii="Arial" w:hAnsi="Arial" w:cs="Arial"/>
          <w:sz w:val="22"/>
          <w:szCs w:val="22"/>
        </w:rPr>
        <w:t>t</w:t>
      </w:r>
      <w:r w:rsidRPr="0044335A">
        <w:rPr>
          <w:rFonts w:ascii="Arial" w:hAnsi="Arial" w:cs="Arial"/>
          <w:sz w:val="22"/>
          <w:szCs w:val="22"/>
        </w:rPr>
        <w:t>rust’s</w:t>
      </w:r>
      <w:r w:rsidRPr="0044335A">
        <w:rPr>
          <w:rFonts w:ascii="Arial" w:hAnsi="Arial"/>
          <w:sz w:val="22"/>
        </w:rPr>
        <w:t xml:space="preserve"> </w:t>
      </w:r>
      <w:r w:rsidR="00B53CA9" w:rsidRPr="0044335A">
        <w:rPr>
          <w:rFonts w:ascii="Arial" w:hAnsi="Arial"/>
          <w:sz w:val="22"/>
        </w:rPr>
        <w:t>o</w:t>
      </w:r>
      <w:r w:rsidRPr="0044335A">
        <w:rPr>
          <w:rFonts w:ascii="Arial" w:hAnsi="Arial"/>
          <w:sz w:val="22"/>
        </w:rPr>
        <w:t>utpatient booking centre, health records department, medical secretaries, referral to treatment (RTT) team and d</w:t>
      </w:r>
      <w:r w:rsidR="00C070AE" w:rsidRPr="0044335A">
        <w:rPr>
          <w:rFonts w:ascii="Arial" w:hAnsi="Arial"/>
          <w:sz w:val="22"/>
        </w:rPr>
        <w:t>iabetic retinal screening team.</w:t>
      </w:r>
    </w:p>
    <w:p w14:paraId="1EEF3FFD" w14:textId="77777777" w:rsidR="00C070AE" w:rsidRPr="0044335A" w:rsidRDefault="00C070AE" w:rsidP="00FB6278">
      <w:pPr>
        <w:ind w:left="-567" w:right="-613"/>
        <w:jc w:val="both"/>
        <w:rPr>
          <w:rFonts w:ascii="Arial" w:hAnsi="Arial"/>
          <w:sz w:val="22"/>
          <w:highlight w:val="yellow"/>
        </w:rPr>
      </w:pPr>
    </w:p>
    <w:p w14:paraId="73A4451A" w14:textId="5A7994AF" w:rsidR="00B7728D" w:rsidRPr="0044335A" w:rsidRDefault="00B7728D" w:rsidP="00FB6278">
      <w:pPr>
        <w:ind w:left="-567" w:right="-613"/>
        <w:jc w:val="both"/>
        <w:rPr>
          <w:rFonts w:ascii="Arial" w:hAnsi="Arial"/>
          <w:sz w:val="22"/>
        </w:rPr>
      </w:pPr>
      <w:r w:rsidRPr="0044335A">
        <w:rPr>
          <w:rFonts w:ascii="Arial" w:hAnsi="Arial"/>
          <w:b/>
          <w:sz w:val="22"/>
        </w:rPr>
        <w:t xml:space="preserve">Moorfields Private </w:t>
      </w:r>
      <w:r w:rsidRPr="0044335A">
        <w:rPr>
          <w:rFonts w:ascii="Arial" w:hAnsi="Arial"/>
          <w:sz w:val="22"/>
        </w:rPr>
        <w:t>is our private patient unit in London</w:t>
      </w:r>
      <w:r w:rsidR="00FB0BE8" w:rsidRPr="0044335A">
        <w:rPr>
          <w:rFonts w:ascii="Arial" w:hAnsi="Arial"/>
          <w:sz w:val="22"/>
        </w:rPr>
        <w:t>. The</w:t>
      </w:r>
      <w:r w:rsidR="00BB04A6">
        <w:rPr>
          <w:rFonts w:ascii="Arial" w:hAnsi="Arial"/>
          <w:sz w:val="22"/>
        </w:rPr>
        <w:t xml:space="preserve"> </w:t>
      </w:r>
      <w:r w:rsidRPr="00BB04A6">
        <w:rPr>
          <w:rFonts w:ascii="Arial" w:hAnsi="Arial"/>
          <w:sz w:val="22"/>
        </w:rPr>
        <w:t xml:space="preserve">Moorfields Private Outpatient and Diagnostic Centre </w:t>
      </w:r>
      <w:r w:rsidRPr="00BB04A6">
        <w:rPr>
          <w:rFonts w:ascii="Arial" w:hAnsi="Arial" w:cs="Arial"/>
          <w:bCs/>
          <w:sz w:val="22"/>
          <w:szCs w:val="22"/>
        </w:rPr>
        <w:t>provid</w:t>
      </w:r>
      <w:r w:rsidR="00FB0BE8" w:rsidRPr="00BB04A6">
        <w:rPr>
          <w:rFonts w:ascii="Arial" w:hAnsi="Arial" w:cs="Arial"/>
          <w:bCs/>
          <w:sz w:val="22"/>
          <w:szCs w:val="22"/>
        </w:rPr>
        <w:t>es</w:t>
      </w:r>
      <w:r w:rsidRPr="0044335A">
        <w:rPr>
          <w:rFonts w:ascii="Arial" w:hAnsi="Arial"/>
          <w:sz w:val="22"/>
        </w:rPr>
        <w:t xml:space="preserve"> consulting and diagnostic facilities for both general ophthalmology and refractive laser services, together with a dedicated pharmacy service, minor procedures room and injection suite.  </w:t>
      </w:r>
    </w:p>
    <w:p w14:paraId="7FFBF91E" w14:textId="77777777" w:rsidR="00B7728D" w:rsidRPr="0044335A" w:rsidRDefault="00B7728D" w:rsidP="00FB6278">
      <w:pPr>
        <w:ind w:left="-567" w:right="-613"/>
        <w:jc w:val="both"/>
        <w:rPr>
          <w:rFonts w:ascii="Arial" w:hAnsi="Arial"/>
          <w:sz w:val="22"/>
        </w:rPr>
      </w:pPr>
    </w:p>
    <w:p w14:paraId="0090EBB7" w14:textId="669E1082" w:rsidR="00B7728D" w:rsidRPr="0044335A" w:rsidRDefault="00B7728D" w:rsidP="00FB6278">
      <w:pPr>
        <w:ind w:left="-567" w:right="-613"/>
        <w:jc w:val="both"/>
        <w:rPr>
          <w:rFonts w:ascii="Arial" w:hAnsi="Arial"/>
          <w:sz w:val="22"/>
        </w:rPr>
      </w:pPr>
      <w:r w:rsidRPr="0044335A">
        <w:rPr>
          <w:rFonts w:ascii="Arial" w:hAnsi="Arial"/>
          <w:sz w:val="22"/>
        </w:rPr>
        <w:t>Ward facilities stretch across three separate locations on the fourth floor of the hospital</w:t>
      </w:r>
      <w:r w:rsidR="00FB0BE8" w:rsidRPr="0044335A">
        <w:rPr>
          <w:rFonts w:ascii="Arial" w:hAnsi="Arial"/>
          <w:sz w:val="22"/>
        </w:rPr>
        <w:t>,</w:t>
      </w:r>
      <w:r w:rsidRPr="0044335A">
        <w:rPr>
          <w:rFonts w:ascii="Arial" w:hAnsi="Arial"/>
          <w:sz w:val="22"/>
        </w:rPr>
        <w:t xml:space="preserve"> accommodating up to 27 patients in individual rooms at any one time. The Refractive Laser Surgery Suite is also located on this floor. Two theatres in the main theatre department are dedicated to Moorfields Private.</w:t>
      </w:r>
    </w:p>
    <w:p w14:paraId="52AF69AD" w14:textId="77777777" w:rsidR="00B7728D" w:rsidRPr="0044335A" w:rsidRDefault="00B7728D" w:rsidP="00FB6278">
      <w:pPr>
        <w:ind w:left="-567" w:right="-613"/>
        <w:jc w:val="both"/>
        <w:rPr>
          <w:rFonts w:ascii="Arial" w:hAnsi="Arial"/>
          <w:sz w:val="22"/>
        </w:rPr>
      </w:pPr>
    </w:p>
    <w:p w14:paraId="2E75F368" w14:textId="2F6CA487" w:rsidR="00B7728D" w:rsidRPr="0044335A" w:rsidRDefault="00B7728D" w:rsidP="00FB6278">
      <w:pPr>
        <w:ind w:left="-567" w:right="-613"/>
        <w:jc w:val="both"/>
        <w:rPr>
          <w:rFonts w:ascii="Arial" w:hAnsi="Arial"/>
          <w:sz w:val="22"/>
        </w:rPr>
      </w:pPr>
      <w:r w:rsidRPr="0044335A">
        <w:rPr>
          <w:rFonts w:ascii="Arial" w:hAnsi="Arial"/>
          <w:sz w:val="22"/>
        </w:rPr>
        <w:t>In December 2020</w:t>
      </w:r>
      <w:r w:rsidR="0024625A">
        <w:rPr>
          <w:rFonts w:ascii="Arial" w:hAnsi="Arial"/>
          <w:sz w:val="22"/>
        </w:rPr>
        <w:t>,</w:t>
      </w:r>
      <w:r w:rsidRPr="0044335A">
        <w:rPr>
          <w:rFonts w:ascii="Arial" w:hAnsi="Arial"/>
          <w:sz w:val="22"/>
        </w:rPr>
        <w:t xml:space="preserve"> the London Claremont Clinic on New Cavendish Street, in the heart of London’s medical district, became part of the private division of Moorfields Eye Hospital NHS Foundation Trust. In January 2022, a lease for further premises on Wimpole Street, a building that will join onto the New Cavendish Street centre</w:t>
      </w:r>
      <w:r w:rsidR="00FB0BE8" w:rsidRPr="0044335A">
        <w:rPr>
          <w:rFonts w:ascii="Arial" w:hAnsi="Arial"/>
          <w:sz w:val="22"/>
        </w:rPr>
        <w:t>,</w:t>
      </w:r>
      <w:r w:rsidRPr="0044335A">
        <w:rPr>
          <w:rFonts w:ascii="Arial" w:hAnsi="Arial"/>
          <w:sz w:val="22"/>
        </w:rPr>
        <w:t xml:space="preserve"> was purchased</w:t>
      </w:r>
      <w:r w:rsidR="00FB0BE8" w:rsidRPr="0044335A">
        <w:rPr>
          <w:rFonts w:ascii="Arial" w:hAnsi="Arial"/>
          <w:sz w:val="22"/>
        </w:rPr>
        <w:t>,</w:t>
      </w:r>
      <w:r w:rsidRPr="0044335A">
        <w:rPr>
          <w:rFonts w:ascii="Arial" w:hAnsi="Arial"/>
          <w:sz w:val="22"/>
        </w:rPr>
        <w:t xml:space="preserve"> enabling </w:t>
      </w:r>
      <w:r w:rsidR="00FB0BE8" w:rsidRPr="0044335A">
        <w:rPr>
          <w:rFonts w:ascii="Arial" w:hAnsi="Arial"/>
          <w:sz w:val="22"/>
        </w:rPr>
        <w:t xml:space="preserve">the </w:t>
      </w:r>
      <w:r w:rsidRPr="0044335A">
        <w:rPr>
          <w:rFonts w:ascii="Arial" w:hAnsi="Arial"/>
          <w:sz w:val="22"/>
        </w:rPr>
        <w:t xml:space="preserve">creation of a larger facility which will include a total of </w:t>
      </w:r>
      <w:r w:rsidR="00FB0BE8" w:rsidRPr="0044335A">
        <w:rPr>
          <w:rFonts w:ascii="Arial" w:hAnsi="Arial"/>
          <w:sz w:val="22"/>
        </w:rPr>
        <w:t xml:space="preserve">eleven </w:t>
      </w:r>
      <w:r w:rsidRPr="0044335A">
        <w:rPr>
          <w:rFonts w:ascii="Arial" w:hAnsi="Arial"/>
          <w:sz w:val="22"/>
        </w:rPr>
        <w:t xml:space="preserve">consulting rooms, a range of diagnostic rooms, a laser eye surgery </w:t>
      </w:r>
      <w:proofErr w:type="gramStart"/>
      <w:r w:rsidRPr="0044335A">
        <w:rPr>
          <w:rFonts w:ascii="Arial" w:hAnsi="Arial"/>
          <w:sz w:val="22"/>
        </w:rPr>
        <w:t>suite</w:t>
      </w:r>
      <w:proofErr w:type="gramEnd"/>
      <w:r w:rsidRPr="0044335A">
        <w:rPr>
          <w:rFonts w:ascii="Arial" w:hAnsi="Arial"/>
          <w:sz w:val="22"/>
        </w:rPr>
        <w:t xml:space="preserve"> and a theatre for day case surgery. Extending services in the heart of London’s clinical district will provide patients with more choice when accessing private services, </w:t>
      </w:r>
      <w:proofErr w:type="gramStart"/>
      <w:r w:rsidRPr="0044335A">
        <w:rPr>
          <w:rFonts w:ascii="Arial" w:hAnsi="Arial"/>
          <w:sz w:val="22"/>
        </w:rPr>
        <w:t>consultants</w:t>
      </w:r>
      <w:proofErr w:type="gramEnd"/>
      <w:r w:rsidRPr="0044335A">
        <w:rPr>
          <w:rFonts w:ascii="Arial" w:hAnsi="Arial"/>
          <w:sz w:val="22"/>
        </w:rPr>
        <w:t xml:space="preserve"> and treatment.</w:t>
      </w:r>
    </w:p>
    <w:p w14:paraId="7E07AEC0" w14:textId="77777777" w:rsidR="00B7728D" w:rsidRPr="0044335A" w:rsidRDefault="00B7728D" w:rsidP="00FB6278">
      <w:pPr>
        <w:ind w:left="-567" w:right="-613"/>
        <w:jc w:val="both"/>
        <w:rPr>
          <w:rFonts w:ascii="Arial" w:hAnsi="Arial"/>
          <w:sz w:val="22"/>
        </w:rPr>
      </w:pPr>
    </w:p>
    <w:p w14:paraId="07C7F104" w14:textId="6C343285" w:rsidR="00B7728D" w:rsidRPr="00BB04A6" w:rsidRDefault="00B7728D" w:rsidP="00FB6278">
      <w:pPr>
        <w:ind w:left="-567" w:right="-613"/>
        <w:jc w:val="both"/>
        <w:rPr>
          <w:rFonts w:ascii="Arial" w:hAnsi="Arial"/>
          <w:sz w:val="22"/>
        </w:rPr>
      </w:pPr>
      <w:r w:rsidRPr="0044335A">
        <w:rPr>
          <w:rFonts w:ascii="Arial" w:hAnsi="Arial"/>
          <w:sz w:val="22"/>
        </w:rPr>
        <w:t xml:space="preserve">In 2021/22, Moorfields Private fulfilled over 35,000 </w:t>
      </w:r>
      <w:r w:rsidRPr="0044335A">
        <w:rPr>
          <w:rFonts w:ascii="Arial" w:hAnsi="Arial" w:cs="Arial"/>
          <w:bCs/>
          <w:sz w:val="22"/>
          <w:szCs w:val="22"/>
        </w:rPr>
        <w:t>outpatient</w:t>
      </w:r>
      <w:r w:rsidRPr="00BB04A6">
        <w:rPr>
          <w:rFonts w:ascii="Arial" w:hAnsi="Arial"/>
          <w:sz w:val="22"/>
        </w:rPr>
        <w:t xml:space="preserve"> appointments, completed laser procedures on over 2,000 patients and admitted over 5,500 patients for surgical procedures. These figures were significantly up on the previous year</w:t>
      </w:r>
      <w:r w:rsidR="00FB0BE8" w:rsidRPr="00BB04A6">
        <w:rPr>
          <w:rFonts w:ascii="Arial" w:hAnsi="Arial"/>
          <w:sz w:val="22"/>
        </w:rPr>
        <w:t>,</w:t>
      </w:r>
      <w:r w:rsidRPr="00BB04A6">
        <w:rPr>
          <w:rFonts w:ascii="Arial" w:hAnsi="Arial"/>
          <w:sz w:val="22"/>
        </w:rPr>
        <w:t xml:space="preserve"> which was disrupted by Covid-19.</w:t>
      </w:r>
    </w:p>
    <w:p w14:paraId="0261A1FC" w14:textId="77777777" w:rsidR="00C070AE" w:rsidRPr="00BB04A6" w:rsidRDefault="00C070AE" w:rsidP="00FB6278">
      <w:pPr>
        <w:ind w:left="-567" w:right="-613"/>
        <w:jc w:val="both"/>
        <w:rPr>
          <w:rFonts w:ascii="Arial" w:hAnsi="Arial"/>
          <w:sz w:val="22"/>
        </w:rPr>
      </w:pPr>
    </w:p>
    <w:p w14:paraId="58C07089" w14:textId="15D3A1AC" w:rsidR="00F0317F" w:rsidRPr="00BB04A6" w:rsidRDefault="00F0317F" w:rsidP="00FB6278">
      <w:pPr>
        <w:ind w:left="-567" w:right="-613"/>
        <w:jc w:val="both"/>
        <w:rPr>
          <w:rFonts w:ascii="Arial" w:hAnsi="Arial"/>
          <w:sz w:val="22"/>
          <w:lang w:val="en-AE"/>
        </w:rPr>
      </w:pPr>
      <w:r w:rsidRPr="00BB04A6">
        <w:rPr>
          <w:rFonts w:ascii="Arial" w:hAnsi="Arial"/>
          <w:sz w:val="22"/>
          <w:lang w:val="en-AE"/>
        </w:rPr>
        <w:t xml:space="preserve">The year saw the consolidation of our fourteenth year of operations in </w:t>
      </w:r>
      <w:r w:rsidRPr="00BB04A6">
        <w:rPr>
          <w:rFonts w:ascii="Arial" w:hAnsi="Arial"/>
          <w:b/>
          <w:sz w:val="22"/>
          <w:lang w:val="en-AE"/>
        </w:rPr>
        <w:t>Moorfields Eye Hospital</w:t>
      </w:r>
      <w:r w:rsidR="00FB0BE8" w:rsidRPr="00BB04A6">
        <w:rPr>
          <w:rFonts w:ascii="Arial" w:hAnsi="Arial"/>
          <w:b/>
          <w:sz w:val="22"/>
          <w:lang w:val="en-AE"/>
        </w:rPr>
        <w:t xml:space="preserve"> </w:t>
      </w:r>
      <w:r w:rsidRPr="00BB04A6">
        <w:rPr>
          <w:rFonts w:ascii="Arial" w:hAnsi="Arial"/>
          <w:b/>
          <w:sz w:val="22"/>
          <w:lang w:val="en-AE"/>
        </w:rPr>
        <w:t>Dubai</w:t>
      </w:r>
      <w:r w:rsidRPr="00BB04A6">
        <w:rPr>
          <w:rFonts w:ascii="Arial" w:hAnsi="Arial"/>
          <w:sz w:val="22"/>
          <w:lang w:val="en-AE"/>
        </w:rPr>
        <w:t xml:space="preserve"> and the completion of five years of operations in Moorfields Eye Hospital Centre in Abu Dhabi. </w:t>
      </w:r>
      <w:r w:rsidR="00F614C8">
        <w:rPr>
          <w:rFonts w:ascii="Arial" w:hAnsi="Arial"/>
          <w:sz w:val="22"/>
          <w:lang w:val="en-US"/>
        </w:rPr>
        <w:t>Our hospital in Dubai</w:t>
      </w:r>
      <w:r w:rsidRPr="00BB04A6">
        <w:rPr>
          <w:rFonts w:ascii="Arial" w:hAnsi="Arial"/>
          <w:sz w:val="22"/>
          <w:lang w:val="en-US"/>
        </w:rPr>
        <w:t xml:space="preserve"> has seen around 265,000 patients and performed over 22,000 surgeries since inception.</w:t>
      </w:r>
    </w:p>
    <w:p w14:paraId="69AA102F" w14:textId="77777777" w:rsidR="00F0317F" w:rsidRPr="00BB04A6" w:rsidRDefault="00F0317F" w:rsidP="00FB6278">
      <w:pPr>
        <w:ind w:left="-567" w:right="-613"/>
        <w:jc w:val="both"/>
        <w:rPr>
          <w:rFonts w:ascii="Arial" w:hAnsi="Arial"/>
          <w:sz w:val="22"/>
          <w:lang w:val="en-AE"/>
        </w:rPr>
      </w:pPr>
      <w:r w:rsidRPr="00BB04A6">
        <w:rPr>
          <w:rFonts w:ascii="Arial" w:hAnsi="Arial"/>
          <w:sz w:val="22"/>
          <w:lang w:val="en-AE"/>
        </w:rPr>
        <w:t> </w:t>
      </w:r>
    </w:p>
    <w:p w14:paraId="3C3BC1CD" w14:textId="5A804329" w:rsidR="00F0317F" w:rsidRPr="00BB04A6" w:rsidRDefault="00F0317F" w:rsidP="00FB6278">
      <w:pPr>
        <w:ind w:left="-567" w:right="-613"/>
        <w:jc w:val="both"/>
        <w:rPr>
          <w:rFonts w:ascii="Arial" w:hAnsi="Arial"/>
          <w:sz w:val="22"/>
          <w:lang w:val="en-AE"/>
        </w:rPr>
      </w:pPr>
      <w:r w:rsidRPr="00BB04A6">
        <w:rPr>
          <w:rFonts w:ascii="Arial" w:hAnsi="Arial"/>
          <w:sz w:val="22"/>
          <w:lang w:val="en-AE"/>
        </w:rPr>
        <w:t xml:space="preserve">The healthcare market in the UAE continues to be dynamic. Throughout the year we focused on contracts beneficial to increasing the patient flow, developing our market </w:t>
      </w:r>
      <w:proofErr w:type="gramStart"/>
      <w:r w:rsidRPr="00BB04A6">
        <w:rPr>
          <w:rFonts w:ascii="Arial" w:hAnsi="Arial"/>
          <w:sz w:val="22"/>
          <w:lang w:val="en-AE"/>
        </w:rPr>
        <w:t>share</w:t>
      </w:r>
      <w:proofErr w:type="gramEnd"/>
      <w:r w:rsidRPr="00BB04A6">
        <w:rPr>
          <w:rFonts w:ascii="Arial" w:hAnsi="Arial"/>
          <w:sz w:val="22"/>
          <w:lang w:val="en-AE"/>
        </w:rPr>
        <w:t xml:space="preserve"> and increasing awareness of our services within the United Arab Emirates and Gulf Cooperation Council. We also added targeted marketing and advertising</w:t>
      </w:r>
      <w:r w:rsidR="00FB0BE8" w:rsidRPr="00BB04A6">
        <w:rPr>
          <w:rFonts w:ascii="Arial" w:hAnsi="Arial"/>
          <w:sz w:val="22"/>
          <w:lang w:val="en-AE"/>
        </w:rPr>
        <w:t>,</w:t>
      </w:r>
      <w:r w:rsidRPr="00BB04A6">
        <w:rPr>
          <w:rFonts w:ascii="Arial" w:hAnsi="Arial"/>
          <w:sz w:val="22"/>
          <w:lang w:val="en-AE"/>
        </w:rPr>
        <w:t xml:space="preserve"> resulting in a higher percentage of new to returning patient</w:t>
      </w:r>
      <w:r w:rsidR="00FB0BE8" w:rsidRPr="00BB04A6">
        <w:rPr>
          <w:rFonts w:ascii="Arial" w:hAnsi="Arial"/>
          <w:sz w:val="22"/>
          <w:lang w:val="en-AE"/>
        </w:rPr>
        <w:t>s</w:t>
      </w:r>
      <w:r w:rsidR="00BB04A6">
        <w:rPr>
          <w:rFonts w:ascii="Arial" w:hAnsi="Arial"/>
          <w:sz w:val="22"/>
          <w:lang w:val="en-AE"/>
        </w:rPr>
        <w:t xml:space="preserve"> </w:t>
      </w:r>
      <w:r w:rsidRPr="00BB04A6">
        <w:rPr>
          <w:rFonts w:ascii="Arial" w:hAnsi="Arial"/>
          <w:sz w:val="22"/>
          <w:lang w:val="en-AE"/>
        </w:rPr>
        <w:t>than in previous years</w:t>
      </w:r>
      <w:r w:rsidR="00FB0BE8" w:rsidRPr="00BB04A6">
        <w:rPr>
          <w:rFonts w:ascii="Arial" w:hAnsi="Arial"/>
          <w:sz w:val="22"/>
          <w:lang w:val="en-AE"/>
        </w:rPr>
        <w:t xml:space="preserve"> which, with</w:t>
      </w:r>
      <w:r w:rsidRPr="00BB04A6">
        <w:rPr>
          <w:rFonts w:ascii="Arial" w:hAnsi="Arial"/>
          <w:sz w:val="22"/>
          <w:lang w:val="en-AE"/>
        </w:rPr>
        <w:t xml:space="preserve"> more corporate and healthcare referral agreements</w:t>
      </w:r>
      <w:r w:rsidR="00FB0BE8" w:rsidRPr="00BB04A6">
        <w:rPr>
          <w:rFonts w:ascii="Arial" w:hAnsi="Arial"/>
          <w:sz w:val="22"/>
          <w:lang w:val="en-AE"/>
        </w:rPr>
        <w:t xml:space="preserve">, </w:t>
      </w:r>
      <w:r w:rsidRPr="00BB04A6">
        <w:rPr>
          <w:rFonts w:ascii="Arial" w:hAnsi="Arial"/>
          <w:sz w:val="22"/>
          <w:lang w:val="en-AE"/>
        </w:rPr>
        <w:t>help</w:t>
      </w:r>
      <w:r w:rsidR="00FB0BE8" w:rsidRPr="00BB04A6">
        <w:rPr>
          <w:rFonts w:ascii="Arial" w:hAnsi="Arial"/>
          <w:sz w:val="22"/>
          <w:lang w:val="en-AE"/>
        </w:rPr>
        <w:t>ed to</w:t>
      </w:r>
      <w:r w:rsidRPr="00BB04A6">
        <w:rPr>
          <w:rFonts w:ascii="Arial" w:hAnsi="Arial"/>
          <w:sz w:val="22"/>
          <w:lang w:val="en-AE"/>
        </w:rPr>
        <w:t xml:space="preserve"> maintain and actively grow the Moorfields brand name. </w:t>
      </w:r>
    </w:p>
    <w:p w14:paraId="5B86B06F" w14:textId="77777777" w:rsidR="00F0317F" w:rsidRPr="00BB04A6" w:rsidRDefault="00F0317F" w:rsidP="00FB6278">
      <w:pPr>
        <w:ind w:left="-567" w:right="-613"/>
        <w:jc w:val="both"/>
        <w:rPr>
          <w:rFonts w:ascii="Arial" w:hAnsi="Arial"/>
          <w:sz w:val="22"/>
          <w:lang w:val="en-AE"/>
        </w:rPr>
      </w:pPr>
      <w:r w:rsidRPr="00BB04A6">
        <w:rPr>
          <w:rFonts w:ascii="Arial" w:hAnsi="Arial"/>
          <w:sz w:val="22"/>
          <w:lang w:val="en-AE"/>
        </w:rPr>
        <w:t> </w:t>
      </w:r>
    </w:p>
    <w:p w14:paraId="592B7FCB" w14:textId="51DCF228" w:rsidR="00F0317F" w:rsidRPr="00BB04A6" w:rsidRDefault="00F0317F" w:rsidP="00FB6278">
      <w:pPr>
        <w:ind w:left="-567" w:right="-613"/>
        <w:jc w:val="both"/>
        <w:rPr>
          <w:rFonts w:ascii="Arial" w:hAnsi="Arial"/>
          <w:sz w:val="22"/>
          <w:lang w:val="en-AE"/>
        </w:rPr>
      </w:pPr>
      <w:r w:rsidRPr="00BB04A6">
        <w:rPr>
          <w:rFonts w:ascii="Arial" w:hAnsi="Arial"/>
          <w:b/>
          <w:sz w:val="22"/>
          <w:lang w:val="en-AE"/>
        </w:rPr>
        <w:t>Moorfields Eye Hospital Centre Abu Dhabi</w:t>
      </w:r>
      <w:r w:rsidRPr="00BB04A6">
        <w:rPr>
          <w:rFonts w:ascii="Arial" w:hAnsi="Arial"/>
          <w:sz w:val="22"/>
          <w:lang w:val="en-AE"/>
        </w:rPr>
        <w:t xml:space="preserve"> officially opened in 2016 at Abu Dhabi Marina Village as the first joint venture of Moorfields in the Middle East in partnership with United Eastern Medical Services – a local healthcare operator and investment group. </w:t>
      </w:r>
      <w:r w:rsidRPr="00BB04A6">
        <w:rPr>
          <w:rFonts w:ascii="Arial" w:hAnsi="Arial"/>
          <w:sz w:val="22"/>
        </w:rPr>
        <w:t xml:space="preserve">On 11 October 2021 Mubadala Health LLC acquired 60.38% </w:t>
      </w:r>
      <w:r w:rsidR="001230AD" w:rsidRPr="00BB04A6">
        <w:rPr>
          <w:rFonts w:ascii="Arial" w:hAnsi="Arial"/>
          <w:sz w:val="22"/>
        </w:rPr>
        <w:t xml:space="preserve">of </w:t>
      </w:r>
      <w:r w:rsidRPr="00BB04A6">
        <w:rPr>
          <w:rFonts w:ascii="Arial" w:hAnsi="Arial"/>
          <w:sz w:val="22"/>
        </w:rPr>
        <w:t>United Eastern Medical Services. Mubadala Health is ultimately owned 100% by the Government of Abu Dhabi.</w:t>
      </w:r>
    </w:p>
    <w:p w14:paraId="74D2770B" w14:textId="77777777" w:rsidR="00F0317F" w:rsidRPr="00BB04A6" w:rsidRDefault="00F0317F" w:rsidP="00FB6278">
      <w:pPr>
        <w:ind w:left="-567" w:right="-613"/>
        <w:jc w:val="both"/>
        <w:rPr>
          <w:rFonts w:ascii="Arial" w:hAnsi="Arial"/>
          <w:sz w:val="22"/>
          <w:lang w:val="en-AE"/>
        </w:rPr>
      </w:pPr>
      <w:r w:rsidRPr="00BB04A6">
        <w:rPr>
          <w:rFonts w:ascii="Arial" w:hAnsi="Arial"/>
          <w:sz w:val="22"/>
          <w:lang w:val="en-AE"/>
        </w:rPr>
        <w:t> </w:t>
      </w:r>
    </w:p>
    <w:p w14:paraId="492DDB34" w14:textId="37ABF8D7" w:rsidR="00F0317F" w:rsidRPr="00BB04A6" w:rsidRDefault="00F0317F" w:rsidP="00FB6278">
      <w:pPr>
        <w:ind w:left="-567" w:right="-613"/>
        <w:jc w:val="both"/>
        <w:rPr>
          <w:rFonts w:ascii="Arial" w:hAnsi="Arial"/>
          <w:sz w:val="22"/>
          <w:lang w:val="en-AE"/>
        </w:rPr>
      </w:pPr>
      <w:r w:rsidRPr="00BB04A6">
        <w:rPr>
          <w:rFonts w:ascii="Arial" w:hAnsi="Arial"/>
          <w:sz w:val="22"/>
          <w:lang w:val="en-AE"/>
        </w:rPr>
        <w:t>We have been very active in the media and in negotiations with insurance companies to facilitate access for Abu Dhabi residents to our facility. Since the commencement of operations in Abu Dhabi, we have seen around 95,000 patients and performed around 3,850 surgical procedures.</w:t>
      </w:r>
    </w:p>
    <w:p w14:paraId="612C8471" w14:textId="77777777" w:rsidR="00D74B21" w:rsidRPr="00BB04A6" w:rsidRDefault="00D74B21" w:rsidP="00FB6278">
      <w:pPr>
        <w:ind w:left="-567" w:right="-613"/>
        <w:jc w:val="both"/>
        <w:rPr>
          <w:rFonts w:ascii="Arial" w:hAnsi="Arial"/>
          <w:sz w:val="22"/>
          <w:highlight w:val="yellow"/>
        </w:rPr>
      </w:pPr>
    </w:p>
    <w:p w14:paraId="1B5DF35F" w14:textId="3FFB4CFD" w:rsidR="00BC4DDD" w:rsidRPr="00BB04A6" w:rsidRDefault="00BC4DDD" w:rsidP="00FB6278">
      <w:pPr>
        <w:ind w:left="-567" w:right="-613"/>
        <w:jc w:val="both"/>
        <w:rPr>
          <w:rFonts w:ascii="Arial" w:hAnsi="Arial"/>
          <w:b/>
          <w:sz w:val="22"/>
        </w:rPr>
      </w:pPr>
      <w:r w:rsidRPr="00BB04A6">
        <w:rPr>
          <w:rFonts w:ascii="Arial" w:hAnsi="Arial"/>
          <w:b/>
          <w:sz w:val="22"/>
        </w:rPr>
        <w:t>Developing our new strategy</w:t>
      </w:r>
    </w:p>
    <w:p w14:paraId="7E4E44FF" w14:textId="681AD453" w:rsidR="00BC4DDD" w:rsidRPr="00BB04A6" w:rsidRDefault="00BC4DDD" w:rsidP="00FB6278">
      <w:pPr>
        <w:ind w:left="-567" w:right="-613"/>
        <w:jc w:val="both"/>
        <w:rPr>
          <w:rFonts w:ascii="Arial" w:hAnsi="Arial"/>
          <w:sz w:val="22"/>
        </w:rPr>
      </w:pPr>
      <w:r w:rsidRPr="00BB04A6">
        <w:rPr>
          <w:rFonts w:ascii="Arial" w:hAnsi="Arial"/>
          <w:sz w:val="22"/>
        </w:rPr>
        <w:t>Over the last year</w:t>
      </w:r>
      <w:r w:rsidR="001230AD" w:rsidRPr="00BB04A6">
        <w:rPr>
          <w:rFonts w:ascii="Arial" w:hAnsi="Arial"/>
          <w:sz w:val="22"/>
        </w:rPr>
        <w:t>,</w:t>
      </w:r>
      <w:r w:rsidRPr="00BB04A6">
        <w:rPr>
          <w:rFonts w:ascii="Arial" w:hAnsi="Arial"/>
          <w:sz w:val="22"/>
        </w:rPr>
        <w:t xml:space="preserve"> we have been updating our strategy to cover the period 2022-27, following widespread engagement with our patients and staff, articulating what is most important to them. The new strategy reflects both continuity and change, with a re-statement of our purpose “working together to discover, </w:t>
      </w:r>
      <w:r w:rsidRPr="00BB04A6">
        <w:rPr>
          <w:rFonts w:ascii="Arial" w:hAnsi="Arial"/>
          <w:sz w:val="22"/>
        </w:rPr>
        <w:lastRenderedPageBreak/>
        <w:t xml:space="preserve">develop and deliver excellent eye care, sustainably and at scale”. The addition of “sustainably and at scale” reflects our adaptation to the financial context in which we operate; the opportunities presented by more overt and tangible system working; our strengths innovating across our scientific work and our pathways; and the commitments made in our </w:t>
      </w:r>
      <w:r w:rsidR="001230AD" w:rsidRPr="00BB04A6">
        <w:rPr>
          <w:rFonts w:ascii="Arial" w:eastAsia="Times New Roman" w:hAnsi="Arial" w:cs="Arial"/>
          <w:bCs/>
          <w:sz w:val="22"/>
          <w:szCs w:val="22"/>
        </w:rPr>
        <w:t>g</w:t>
      </w:r>
      <w:r w:rsidRPr="00BB04A6">
        <w:rPr>
          <w:rFonts w:ascii="Arial" w:eastAsia="Times New Roman" w:hAnsi="Arial" w:cs="Arial"/>
          <w:bCs/>
          <w:sz w:val="22"/>
          <w:szCs w:val="22"/>
        </w:rPr>
        <w:t>reen</w:t>
      </w:r>
      <w:r w:rsidRPr="00BB04A6">
        <w:rPr>
          <w:rFonts w:ascii="Arial" w:hAnsi="Arial"/>
          <w:sz w:val="22"/>
        </w:rPr>
        <w:t xml:space="preserve"> action plan. </w:t>
      </w:r>
    </w:p>
    <w:p w14:paraId="1232BA25" w14:textId="7C453EB5" w:rsidR="00BC4DDD" w:rsidRPr="00BB04A6" w:rsidRDefault="00BC4DDD" w:rsidP="00FB6278">
      <w:pPr>
        <w:ind w:left="-567" w:right="-613"/>
        <w:jc w:val="both"/>
        <w:rPr>
          <w:rFonts w:ascii="Arial" w:hAnsi="Arial"/>
          <w:sz w:val="22"/>
        </w:rPr>
      </w:pPr>
      <w:r w:rsidRPr="00BB04A6">
        <w:rPr>
          <w:rFonts w:ascii="Arial" w:hAnsi="Arial"/>
          <w:noProof/>
          <w:sz w:val="22"/>
        </w:rPr>
        <w:drawing>
          <wp:inline distT="0" distB="0" distL="0" distR="0" wp14:anchorId="2A610B14" wp14:editId="4463B3F3">
            <wp:extent cx="3971499" cy="37202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71499" cy="3720255"/>
                    </a:xfrm>
                    <a:prstGeom prst="rect">
                      <a:avLst/>
                    </a:prstGeom>
                    <a:noFill/>
                    <a:ln>
                      <a:noFill/>
                    </a:ln>
                  </pic:spPr>
                </pic:pic>
              </a:graphicData>
            </a:graphic>
          </wp:inline>
        </w:drawing>
      </w:r>
    </w:p>
    <w:p w14:paraId="3F1BD903" w14:textId="1B490BF0" w:rsidR="00BC4DDD" w:rsidRPr="00BB04A6" w:rsidRDefault="00BC4DDD" w:rsidP="00FB6278">
      <w:pPr>
        <w:ind w:left="-567" w:right="-613"/>
        <w:jc w:val="both"/>
        <w:rPr>
          <w:rFonts w:ascii="Arial" w:hAnsi="Arial"/>
          <w:sz w:val="22"/>
        </w:rPr>
      </w:pPr>
      <w:r w:rsidRPr="00BB04A6">
        <w:rPr>
          <w:rFonts w:ascii="Arial" w:hAnsi="Arial"/>
          <w:sz w:val="22"/>
        </w:rPr>
        <w:t xml:space="preserve">To </w:t>
      </w:r>
      <w:r w:rsidR="00E504FB" w:rsidRPr="00BB04A6">
        <w:rPr>
          <w:rFonts w:ascii="Arial" w:hAnsi="Arial" w:cs="Arial"/>
          <w:sz w:val="22"/>
          <w:szCs w:val="22"/>
        </w:rPr>
        <w:t>implement</w:t>
      </w:r>
      <w:r w:rsidRPr="00BB04A6">
        <w:rPr>
          <w:rFonts w:ascii="Arial" w:hAnsi="Arial" w:cs="Arial"/>
          <w:sz w:val="22"/>
          <w:szCs w:val="22"/>
        </w:rPr>
        <w:t xml:space="preserve"> </w:t>
      </w:r>
      <w:r w:rsidRPr="00BB04A6">
        <w:rPr>
          <w:rFonts w:ascii="Arial" w:hAnsi="Arial"/>
          <w:sz w:val="22"/>
        </w:rPr>
        <w:t xml:space="preserve">our new strategy, we identified </w:t>
      </w:r>
      <w:proofErr w:type="gramStart"/>
      <w:r w:rsidRPr="00BB04A6">
        <w:rPr>
          <w:rFonts w:ascii="Arial" w:hAnsi="Arial"/>
          <w:sz w:val="22"/>
        </w:rPr>
        <w:t>a number of</w:t>
      </w:r>
      <w:proofErr w:type="gramEnd"/>
      <w:r w:rsidRPr="00BB04A6">
        <w:rPr>
          <w:rFonts w:ascii="Arial" w:hAnsi="Arial"/>
          <w:sz w:val="22"/>
        </w:rPr>
        <w:t xml:space="preserve"> transformation programmes that focus our efforts on the change we want to see, across all aspects of our work</w:t>
      </w:r>
      <w:r w:rsidR="001230AD" w:rsidRPr="00BB04A6">
        <w:rPr>
          <w:rFonts w:ascii="Arial" w:hAnsi="Arial"/>
          <w:sz w:val="22"/>
        </w:rPr>
        <w:t>,</w:t>
      </w:r>
      <w:r w:rsidR="00BB04A6">
        <w:rPr>
          <w:rFonts w:ascii="Arial" w:hAnsi="Arial"/>
          <w:sz w:val="22"/>
        </w:rPr>
        <w:t xml:space="preserve"> </w:t>
      </w:r>
      <w:r w:rsidRPr="00BB04A6">
        <w:rPr>
          <w:rFonts w:ascii="Arial" w:hAnsi="Arial"/>
          <w:sz w:val="22"/>
        </w:rPr>
        <w:t>for example</w:t>
      </w:r>
      <w:r w:rsidR="001230AD">
        <w:rPr>
          <w:rFonts w:asciiTheme="majorHAnsi" w:hAnsiTheme="majorHAnsi" w:cstheme="majorHAnsi"/>
          <w:sz w:val="22"/>
          <w:szCs w:val="22"/>
        </w:rPr>
        <w:t>:</w:t>
      </w:r>
      <w:r w:rsidRPr="00BB04A6">
        <w:rPr>
          <w:rFonts w:ascii="Arial" w:hAnsi="Arial"/>
          <w:sz w:val="22"/>
        </w:rPr>
        <w:t xml:space="preserve"> realising our move to St Pancras; optimising our network; pathway and service improvements; data collaborations; workforce development; and improved patient experience. These programmes will give further impetus to work done over the last year </w:t>
      </w:r>
      <w:r w:rsidR="001230AD" w:rsidRPr="00BB04A6">
        <w:rPr>
          <w:rFonts w:ascii="Arial" w:hAnsi="Arial"/>
          <w:sz w:val="22"/>
        </w:rPr>
        <w:t xml:space="preserve">to </w:t>
      </w:r>
      <w:r w:rsidRPr="00BB04A6">
        <w:rPr>
          <w:rFonts w:ascii="Arial" w:hAnsi="Arial" w:cs="Arial"/>
          <w:sz w:val="22"/>
          <w:szCs w:val="22"/>
        </w:rPr>
        <w:t>advanc</w:t>
      </w:r>
      <w:r w:rsidR="001230AD" w:rsidRPr="00BB04A6">
        <w:rPr>
          <w:rFonts w:ascii="Arial" w:hAnsi="Arial" w:cs="Arial"/>
          <w:sz w:val="22"/>
          <w:szCs w:val="22"/>
        </w:rPr>
        <w:t>e</w:t>
      </w:r>
      <w:r w:rsidRPr="00BB04A6">
        <w:rPr>
          <w:rFonts w:ascii="Arial" w:hAnsi="Arial"/>
          <w:sz w:val="22"/>
        </w:rPr>
        <w:t xml:space="preserve"> how eye care is delivered – through diagnostic hubs, remote </w:t>
      </w:r>
      <w:proofErr w:type="gramStart"/>
      <w:r w:rsidRPr="00BB04A6">
        <w:rPr>
          <w:rFonts w:ascii="Arial" w:hAnsi="Arial"/>
          <w:sz w:val="22"/>
        </w:rPr>
        <w:t>consultations</w:t>
      </w:r>
      <w:proofErr w:type="gramEnd"/>
      <w:r w:rsidRPr="00BB04A6">
        <w:rPr>
          <w:rFonts w:ascii="Arial" w:hAnsi="Arial"/>
          <w:sz w:val="22"/>
        </w:rPr>
        <w:t xml:space="preserve"> and surgical centres. We will capitalise on the relationships we have been building across our systems to make early progress on more joined up and cost</w:t>
      </w:r>
      <w:r w:rsidR="001230AD" w:rsidRPr="00BB04A6">
        <w:rPr>
          <w:rFonts w:ascii="Arial" w:hAnsi="Arial"/>
          <w:sz w:val="22"/>
        </w:rPr>
        <w:t>-</w:t>
      </w:r>
      <w:r w:rsidRPr="00BB04A6">
        <w:rPr>
          <w:rFonts w:ascii="Arial" w:hAnsi="Arial"/>
          <w:sz w:val="22"/>
        </w:rPr>
        <w:t>effective care.</w:t>
      </w:r>
    </w:p>
    <w:p w14:paraId="1CBC2E62" w14:textId="77777777" w:rsidR="001D689B" w:rsidRPr="00BB04A6" w:rsidRDefault="001D689B" w:rsidP="00FB6278">
      <w:pPr>
        <w:spacing w:before="40"/>
        <w:ind w:right="-613"/>
        <w:rPr>
          <w:rFonts w:ascii="Arial" w:hAnsi="Arial"/>
          <w:b/>
          <w:sz w:val="22"/>
        </w:rPr>
      </w:pPr>
    </w:p>
    <w:p w14:paraId="5A6431D5" w14:textId="72EDFE86" w:rsidR="009979CA" w:rsidRPr="00BB04A6" w:rsidRDefault="009979CA" w:rsidP="00FB6278">
      <w:pPr>
        <w:spacing w:before="40"/>
        <w:ind w:left="-567" w:right="-613"/>
        <w:rPr>
          <w:rFonts w:ascii="Arial" w:hAnsi="Arial"/>
          <w:b/>
          <w:sz w:val="22"/>
        </w:rPr>
      </w:pPr>
      <w:bookmarkStart w:id="1" w:name="_Hlk106177139"/>
      <w:r w:rsidRPr="00BB04A6">
        <w:rPr>
          <w:rFonts w:ascii="Arial" w:hAnsi="Arial"/>
          <w:b/>
          <w:sz w:val="22"/>
        </w:rPr>
        <w:t>Oriel 2021</w:t>
      </w:r>
      <w:r w:rsidR="00213C08">
        <w:rPr>
          <w:rFonts w:ascii="Arial" w:hAnsi="Arial"/>
          <w:b/>
          <w:sz w:val="22"/>
        </w:rPr>
        <w:t>/</w:t>
      </w:r>
      <w:r w:rsidRPr="00BB04A6">
        <w:rPr>
          <w:rFonts w:ascii="Arial" w:hAnsi="Arial"/>
          <w:b/>
          <w:sz w:val="22"/>
        </w:rPr>
        <w:t>2</w:t>
      </w:r>
    </w:p>
    <w:p w14:paraId="50D8A58C" w14:textId="2F4A5FFA" w:rsidR="009979CA" w:rsidRPr="00BB04A6" w:rsidRDefault="009979CA" w:rsidP="00FB6278">
      <w:pPr>
        <w:spacing w:before="40"/>
        <w:ind w:left="-567" w:right="-613"/>
        <w:jc w:val="both"/>
        <w:rPr>
          <w:rFonts w:ascii="Arial" w:hAnsi="Arial"/>
          <w:sz w:val="22"/>
        </w:rPr>
      </w:pPr>
      <w:r w:rsidRPr="00BB04A6">
        <w:rPr>
          <w:rFonts w:ascii="Arial" w:hAnsi="Arial"/>
          <w:sz w:val="22"/>
        </w:rPr>
        <w:t>This year has been a year of significant milestone achievements for Oriel. Following extensive design and engagement work to prepare our planning application, the London Borough of Camden made a unanimous resolution to grant planning permission for our proposed centre</w:t>
      </w:r>
      <w:r w:rsidR="001230AD" w:rsidRPr="00BB04A6">
        <w:rPr>
          <w:rFonts w:ascii="Arial" w:hAnsi="Arial"/>
          <w:sz w:val="22"/>
        </w:rPr>
        <w:t xml:space="preserve"> in June 2021</w:t>
      </w:r>
      <w:r w:rsidRPr="00BB04A6">
        <w:rPr>
          <w:rFonts w:ascii="Arial" w:hAnsi="Arial"/>
          <w:sz w:val="22"/>
        </w:rPr>
        <w:t>.  The council has subsequently referred the scheme for approval to the Greater London Authority</w:t>
      </w:r>
      <w:r w:rsidR="001230AD" w:rsidRPr="00BB04A6">
        <w:rPr>
          <w:rFonts w:ascii="Arial" w:hAnsi="Arial"/>
          <w:sz w:val="22"/>
        </w:rPr>
        <w:t>,</w:t>
      </w:r>
      <w:r w:rsidRPr="00BB04A6">
        <w:rPr>
          <w:rFonts w:ascii="Arial" w:hAnsi="Arial"/>
          <w:sz w:val="22"/>
        </w:rPr>
        <w:t xml:space="preserve"> given its strategic importance to the city, </w:t>
      </w:r>
      <w:r w:rsidR="00213C08">
        <w:rPr>
          <w:rFonts w:ascii="Arial" w:hAnsi="Arial"/>
          <w:sz w:val="22"/>
        </w:rPr>
        <w:t xml:space="preserve">with approval granted in Spring 2022. </w:t>
      </w:r>
    </w:p>
    <w:p w14:paraId="2253DEA7" w14:textId="77777777" w:rsidR="009979CA" w:rsidRPr="00BB04A6" w:rsidRDefault="009979CA" w:rsidP="00FB6278">
      <w:pPr>
        <w:spacing w:before="40"/>
        <w:ind w:left="-567" w:right="-613"/>
        <w:jc w:val="both"/>
        <w:rPr>
          <w:rFonts w:ascii="Arial" w:hAnsi="Arial"/>
          <w:sz w:val="22"/>
        </w:rPr>
      </w:pPr>
    </w:p>
    <w:p w14:paraId="06916AA3" w14:textId="4552AE34" w:rsidR="009979CA" w:rsidRPr="00BB04A6" w:rsidRDefault="009979CA" w:rsidP="00FB6278">
      <w:pPr>
        <w:spacing w:before="40"/>
        <w:ind w:left="-567" w:right="-613"/>
        <w:jc w:val="both"/>
        <w:rPr>
          <w:rFonts w:ascii="Arial" w:hAnsi="Arial"/>
          <w:sz w:val="22"/>
        </w:rPr>
      </w:pPr>
      <w:r w:rsidRPr="00BB04A6">
        <w:rPr>
          <w:rFonts w:ascii="Arial" w:hAnsi="Arial"/>
          <w:sz w:val="22"/>
        </w:rPr>
        <w:t xml:space="preserve">To ensure the design will meet the needs of the people that will use it, we ran a robust programme of engagement with patients, staff, </w:t>
      </w:r>
      <w:proofErr w:type="gramStart"/>
      <w:r w:rsidRPr="00BB04A6">
        <w:rPr>
          <w:rFonts w:ascii="Arial" w:hAnsi="Arial"/>
          <w:sz w:val="22"/>
        </w:rPr>
        <w:t>students</w:t>
      </w:r>
      <w:proofErr w:type="gramEnd"/>
      <w:r w:rsidRPr="00BB04A6">
        <w:rPr>
          <w:rFonts w:ascii="Arial" w:hAnsi="Arial"/>
          <w:sz w:val="22"/>
        </w:rPr>
        <w:t xml:space="preserve"> and charity partners to develop the internal designs of the new integrated centre.  In line with social distancing requirements, an Oriel showcase exhibition was held in June, which was the first time many staff and patients had the opportunity to understand the design and share their feedback in person. Work concluded with the AECOM design team in November, with final technical design to be undertaken by the building contractor.</w:t>
      </w:r>
    </w:p>
    <w:p w14:paraId="525BE0B6" w14:textId="77777777" w:rsidR="009979CA" w:rsidRPr="00BB04A6" w:rsidRDefault="009979CA" w:rsidP="00FB6278">
      <w:pPr>
        <w:spacing w:before="40"/>
        <w:ind w:right="-613"/>
        <w:jc w:val="both"/>
        <w:rPr>
          <w:rFonts w:ascii="Arial" w:hAnsi="Arial"/>
          <w:sz w:val="22"/>
        </w:rPr>
      </w:pPr>
    </w:p>
    <w:p w14:paraId="29C87791" w14:textId="70447D1B" w:rsidR="009979CA" w:rsidRPr="00BB04A6" w:rsidRDefault="009979CA" w:rsidP="00FB6278">
      <w:pPr>
        <w:spacing w:before="40"/>
        <w:ind w:left="-567" w:right="-613"/>
        <w:jc w:val="both"/>
        <w:rPr>
          <w:rFonts w:ascii="Arial" w:hAnsi="Arial"/>
          <w:sz w:val="22"/>
        </w:rPr>
      </w:pPr>
      <w:r w:rsidRPr="00BB04A6">
        <w:rPr>
          <w:rFonts w:ascii="Arial" w:hAnsi="Arial"/>
          <w:sz w:val="22"/>
        </w:rPr>
        <w:t>Following a global competitive marketing exercise for the sale of the City Road and Bath Street sites</w:t>
      </w:r>
      <w:r w:rsidR="00BB04A6">
        <w:rPr>
          <w:rFonts w:ascii="Arial" w:hAnsi="Arial"/>
          <w:sz w:val="22"/>
        </w:rPr>
        <w:t xml:space="preserve"> </w:t>
      </w:r>
      <w:r w:rsidRPr="00BB04A6">
        <w:rPr>
          <w:rFonts w:ascii="Arial" w:hAnsi="Arial"/>
          <w:sz w:val="22"/>
        </w:rPr>
        <w:t>currently home to Moorfields Eye Hospital and the UCL Institute of Ophthalmology, Derwent London plc were the confirmed as preferred developers</w:t>
      </w:r>
      <w:r w:rsidR="000B2A38" w:rsidRPr="00BB04A6">
        <w:rPr>
          <w:rFonts w:ascii="Arial" w:hAnsi="Arial"/>
          <w:sz w:val="22"/>
        </w:rPr>
        <w:t xml:space="preserve"> in December</w:t>
      </w:r>
      <w:r w:rsidRPr="00BB04A6">
        <w:rPr>
          <w:rFonts w:ascii="Arial" w:hAnsi="Arial"/>
          <w:sz w:val="22"/>
        </w:rPr>
        <w:t>. NHS regulators approved the submitted land disposal business case</w:t>
      </w:r>
      <w:r w:rsidR="000B2A38">
        <w:rPr>
          <w:rFonts w:asciiTheme="majorHAnsi" w:hAnsiTheme="majorHAnsi" w:cstheme="majorHAnsi"/>
          <w:sz w:val="22"/>
          <w:szCs w:val="22"/>
        </w:rPr>
        <w:t>;</w:t>
      </w:r>
      <w:r w:rsidRPr="00BB04A6">
        <w:rPr>
          <w:rFonts w:ascii="Arial" w:hAnsi="Arial"/>
          <w:sz w:val="22"/>
        </w:rPr>
        <w:t xml:space="preserve"> however the sale remains conditional to final approvals of the </w:t>
      </w:r>
      <w:r w:rsidR="000B2A38" w:rsidRPr="00BB04A6">
        <w:rPr>
          <w:rFonts w:ascii="Arial" w:hAnsi="Arial" w:cs="Arial"/>
          <w:sz w:val="22"/>
          <w:szCs w:val="22"/>
        </w:rPr>
        <w:t>f</w:t>
      </w:r>
      <w:r w:rsidRPr="00BB04A6">
        <w:rPr>
          <w:rFonts w:ascii="Arial" w:hAnsi="Arial" w:cs="Arial"/>
          <w:sz w:val="22"/>
          <w:szCs w:val="22"/>
        </w:rPr>
        <w:t xml:space="preserve">ull </w:t>
      </w:r>
      <w:r w:rsidR="000B2A38" w:rsidRPr="00BB04A6">
        <w:rPr>
          <w:rFonts w:ascii="Arial" w:hAnsi="Arial" w:cs="Arial"/>
          <w:sz w:val="22"/>
          <w:szCs w:val="22"/>
        </w:rPr>
        <w:t>b</w:t>
      </w:r>
      <w:r w:rsidRPr="00BB04A6">
        <w:rPr>
          <w:rFonts w:ascii="Arial" w:hAnsi="Arial" w:cs="Arial"/>
          <w:sz w:val="22"/>
          <w:szCs w:val="22"/>
        </w:rPr>
        <w:t xml:space="preserve">usiness </w:t>
      </w:r>
      <w:proofErr w:type="gramStart"/>
      <w:r w:rsidR="000B2A38" w:rsidRPr="00BB04A6">
        <w:rPr>
          <w:rFonts w:ascii="Arial" w:hAnsi="Arial" w:cs="Arial"/>
          <w:sz w:val="22"/>
          <w:szCs w:val="22"/>
        </w:rPr>
        <w:t>c</w:t>
      </w:r>
      <w:r w:rsidRPr="00BB04A6">
        <w:rPr>
          <w:rFonts w:ascii="Arial" w:hAnsi="Arial" w:cs="Arial"/>
          <w:sz w:val="22"/>
          <w:szCs w:val="22"/>
        </w:rPr>
        <w:t>ase</w:t>
      </w:r>
      <w:r w:rsidR="00BB04A6">
        <w:rPr>
          <w:rFonts w:ascii="Arial" w:hAnsi="Arial" w:cs="Arial"/>
          <w:sz w:val="22"/>
          <w:szCs w:val="22"/>
        </w:rPr>
        <w:t xml:space="preserve"> </w:t>
      </w:r>
      <w:r w:rsidRPr="00BB04A6">
        <w:rPr>
          <w:rFonts w:ascii="Arial" w:hAnsi="Arial"/>
          <w:sz w:val="22"/>
        </w:rPr>
        <w:t xml:space="preserve"> by</w:t>
      </w:r>
      <w:proofErr w:type="gramEnd"/>
      <w:r w:rsidRPr="00BB04A6">
        <w:rPr>
          <w:rFonts w:ascii="Arial" w:hAnsi="Arial"/>
          <w:sz w:val="22"/>
        </w:rPr>
        <w:t xml:space="preserve"> HM Treasury.</w:t>
      </w:r>
    </w:p>
    <w:p w14:paraId="0A9FBA2A" w14:textId="77777777" w:rsidR="009979CA" w:rsidRPr="00BB04A6" w:rsidRDefault="009979CA" w:rsidP="00FB6278">
      <w:pPr>
        <w:spacing w:before="40"/>
        <w:ind w:left="-567" w:right="-613"/>
        <w:jc w:val="both"/>
        <w:rPr>
          <w:rFonts w:ascii="Arial" w:hAnsi="Arial"/>
          <w:sz w:val="22"/>
        </w:rPr>
      </w:pPr>
    </w:p>
    <w:p w14:paraId="2CB5917C" w14:textId="7D40D5B9" w:rsidR="009979CA" w:rsidRPr="00BB04A6" w:rsidRDefault="009979CA" w:rsidP="00FB6278">
      <w:pPr>
        <w:spacing w:before="40"/>
        <w:ind w:left="-567" w:right="-613"/>
        <w:jc w:val="both"/>
        <w:rPr>
          <w:rFonts w:ascii="Arial" w:hAnsi="Arial"/>
          <w:sz w:val="22"/>
        </w:rPr>
      </w:pPr>
      <w:r w:rsidRPr="00BB04A6">
        <w:rPr>
          <w:rFonts w:ascii="Arial" w:hAnsi="Arial"/>
          <w:sz w:val="22"/>
        </w:rPr>
        <w:t>In December, our academic partner</w:t>
      </w:r>
      <w:r w:rsidR="000B2A38" w:rsidRPr="00BB04A6">
        <w:rPr>
          <w:rFonts w:ascii="Arial" w:hAnsi="Arial"/>
          <w:sz w:val="22"/>
        </w:rPr>
        <w:t>,</w:t>
      </w:r>
      <w:r w:rsidRPr="00BB04A6">
        <w:rPr>
          <w:rFonts w:ascii="Arial" w:hAnsi="Arial"/>
          <w:sz w:val="22"/>
        </w:rPr>
        <w:t xml:space="preserve"> UCL</w:t>
      </w:r>
      <w:r w:rsidR="000B2A38" w:rsidRPr="00BB04A6">
        <w:rPr>
          <w:rFonts w:ascii="Arial" w:hAnsi="Arial"/>
          <w:sz w:val="22"/>
        </w:rPr>
        <w:t xml:space="preserve">, </w:t>
      </w:r>
      <w:r w:rsidRPr="00BB04A6">
        <w:rPr>
          <w:rFonts w:ascii="Arial" w:hAnsi="Arial"/>
          <w:sz w:val="22"/>
        </w:rPr>
        <w:t xml:space="preserve">approved their Oriel </w:t>
      </w:r>
      <w:r w:rsidR="000B2A38" w:rsidRPr="00BB04A6">
        <w:rPr>
          <w:rFonts w:ascii="Arial" w:hAnsi="Arial" w:cs="Arial"/>
          <w:sz w:val="22"/>
          <w:szCs w:val="22"/>
        </w:rPr>
        <w:t>f</w:t>
      </w:r>
      <w:r w:rsidRPr="00BB04A6">
        <w:rPr>
          <w:rFonts w:ascii="Arial" w:hAnsi="Arial" w:cs="Arial"/>
          <w:sz w:val="22"/>
          <w:szCs w:val="22"/>
        </w:rPr>
        <w:t xml:space="preserve">ull </w:t>
      </w:r>
      <w:r w:rsidR="000B2A38" w:rsidRPr="00BB04A6">
        <w:rPr>
          <w:rFonts w:ascii="Arial" w:hAnsi="Arial" w:cs="Arial"/>
          <w:sz w:val="22"/>
          <w:szCs w:val="22"/>
        </w:rPr>
        <w:t>b</w:t>
      </w:r>
      <w:r w:rsidRPr="00BB04A6">
        <w:rPr>
          <w:rFonts w:ascii="Arial" w:hAnsi="Arial" w:cs="Arial"/>
          <w:sz w:val="22"/>
          <w:szCs w:val="22"/>
        </w:rPr>
        <w:t xml:space="preserve">usiness </w:t>
      </w:r>
      <w:r w:rsidR="000B2A38" w:rsidRPr="00BB04A6">
        <w:rPr>
          <w:rFonts w:ascii="Arial" w:hAnsi="Arial" w:cs="Arial"/>
          <w:sz w:val="22"/>
          <w:szCs w:val="22"/>
        </w:rPr>
        <w:t>c</w:t>
      </w:r>
      <w:r w:rsidRPr="00BB04A6">
        <w:rPr>
          <w:rFonts w:ascii="Arial" w:hAnsi="Arial" w:cs="Arial"/>
          <w:sz w:val="22"/>
          <w:szCs w:val="22"/>
        </w:rPr>
        <w:t>ase</w:t>
      </w:r>
      <w:r w:rsidRPr="00BB04A6">
        <w:rPr>
          <w:rFonts w:ascii="Arial" w:hAnsi="Arial"/>
          <w:sz w:val="22"/>
        </w:rPr>
        <w:t xml:space="preserve">, committing their support to create an integrated research, </w:t>
      </w:r>
      <w:proofErr w:type="gramStart"/>
      <w:r w:rsidRPr="00BB04A6">
        <w:rPr>
          <w:rFonts w:ascii="Arial" w:hAnsi="Arial"/>
          <w:sz w:val="22"/>
        </w:rPr>
        <w:t>education</w:t>
      </w:r>
      <w:proofErr w:type="gramEnd"/>
      <w:r w:rsidRPr="00BB04A6">
        <w:rPr>
          <w:rFonts w:ascii="Arial" w:hAnsi="Arial"/>
          <w:sz w:val="22"/>
        </w:rPr>
        <w:t xml:space="preserve"> and eye care centre.  The completion for the Moorfields </w:t>
      </w:r>
      <w:r w:rsidR="000B2A38" w:rsidRPr="00BB04A6">
        <w:rPr>
          <w:rFonts w:ascii="Arial" w:hAnsi="Arial" w:cs="Arial"/>
          <w:sz w:val="22"/>
          <w:szCs w:val="22"/>
        </w:rPr>
        <w:t>f</w:t>
      </w:r>
      <w:r w:rsidRPr="00BB04A6">
        <w:rPr>
          <w:rFonts w:ascii="Arial" w:hAnsi="Arial" w:cs="Arial"/>
          <w:sz w:val="22"/>
          <w:szCs w:val="22"/>
        </w:rPr>
        <w:t xml:space="preserve">ull </w:t>
      </w:r>
      <w:r w:rsidR="000B2A38" w:rsidRPr="00BB04A6">
        <w:rPr>
          <w:rFonts w:ascii="Arial" w:hAnsi="Arial" w:cs="Arial"/>
          <w:sz w:val="22"/>
          <w:szCs w:val="22"/>
        </w:rPr>
        <w:t>b</w:t>
      </w:r>
      <w:r w:rsidRPr="00BB04A6">
        <w:rPr>
          <w:rFonts w:ascii="Arial" w:hAnsi="Arial" w:cs="Arial"/>
          <w:sz w:val="22"/>
          <w:szCs w:val="22"/>
        </w:rPr>
        <w:t xml:space="preserve">usiness </w:t>
      </w:r>
      <w:r w:rsidR="000B2A38" w:rsidRPr="00BB04A6">
        <w:rPr>
          <w:rFonts w:ascii="Arial" w:hAnsi="Arial" w:cs="Arial"/>
          <w:sz w:val="22"/>
          <w:szCs w:val="22"/>
        </w:rPr>
        <w:t>c</w:t>
      </w:r>
      <w:r w:rsidRPr="00BB04A6">
        <w:rPr>
          <w:rFonts w:ascii="Arial" w:hAnsi="Arial" w:cs="Arial"/>
          <w:sz w:val="22"/>
          <w:szCs w:val="22"/>
        </w:rPr>
        <w:t>ase</w:t>
      </w:r>
      <w:r w:rsidRPr="00BB04A6">
        <w:rPr>
          <w:rFonts w:ascii="Arial" w:hAnsi="Arial"/>
          <w:sz w:val="22"/>
        </w:rPr>
        <w:t xml:space="preserve"> </w:t>
      </w:r>
      <w:r w:rsidR="00213C08">
        <w:rPr>
          <w:rFonts w:ascii="Arial" w:hAnsi="Arial"/>
          <w:sz w:val="22"/>
        </w:rPr>
        <w:t>took place in</w:t>
      </w:r>
      <w:r w:rsidR="00213C08" w:rsidRPr="00BB04A6">
        <w:rPr>
          <w:rFonts w:ascii="Arial" w:hAnsi="Arial"/>
          <w:sz w:val="22"/>
        </w:rPr>
        <w:t xml:space="preserve"> </w:t>
      </w:r>
      <w:r w:rsidRPr="00BB04A6">
        <w:rPr>
          <w:rFonts w:ascii="Arial" w:hAnsi="Arial"/>
          <w:sz w:val="22"/>
        </w:rPr>
        <w:t>spring 2022.</w:t>
      </w:r>
    </w:p>
    <w:bookmarkEnd w:id="1"/>
    <w:p w14:paraId="20A2E4FF" w14:textId="77777777" w:rsidR="008269E9" w:rsidRPr="00BB04A6" w:rsidRDefault="008269E9" w:rsidP="00FB6278">
      <w:pPr>
        <w:pStyle w:val="MEHBoldheading1"/>
        <w:ind w:left="-567"/>
        <w:rPr>
          <w:sz w:val="22"/>
        </w:rPr>
      </w:pPr>
    </w:p>
    <w:p w14:paraId="4676FE95" w14:textId="5BE5F989" w:rsidR="00FD7ADD" w:rsidRPr="00BB04A6" w:rsidRDefault="00FD7ADD" w:rsidP="00FB6278">
      <w:pPr>
        <w:pStyle w:val="MEHBoldheading1"/>
        <w:ind w:left="-567"/>
        <w:rPr>
          <w:sz w:val="22"/>
        </w:rPr>
      </w:pPr>
      <w:r w:rsidRPr="00BB04A6">
        <w:rPr>
          <w:sz w:val="22"/>
        </w:rPr>
        <w:t>A going concern disclosure</w:t>
      </w:r>
    </w:p>
    <w:p w14:paraId="5D9604D5" w14:textId="28B78FFC" w:rsidR="00292AFC" w:rsidRPr="00BB04A6" w:rsidRDefault="00292AFC" w:rsidP="00FB6278">
      <w:pPr>
        <w:pStyle w:val="MEHBoldheading1"/>
        <w:ind w:left="-567" w:right="-613"/>
        <w:jc w:val="both"/>
        <w:rPr>
          <w:b w:val="0"/>
          <w:sz w:val="22"/>
        </w:rPr>
      </w:pPr>
      <w:r w:rsidRPr="00BB04A6">
        <w:rPr>
          <w:b w:val="0"/>
          <w:sz w:val="22"/>
        </w:rPr>
        <w:t xml:space="preserve">After making enquiries, the directors have a reasonable expectation that the services provided by the NHS </w:t>
      </w:r>
      <w:r w:rsidR="000B2A38" w:rsidRPr="00BB04A6">
        <w:rPr>
          <w:rFonts w:eastAsia="Calibri" w:cs="Arial"/>
          <w:b w:val="0"/>
          <w:sz w:val="22"/>
          <w:lang w:eastAsia="en-GB"/>
        </w:rPr>
        <w:t>F</w:t>
      </w:r>
      <w:r w:rsidRPr="00BB04A6">
        <w:rPr>
          <w:rFonts w:eastAsia="Calibri" w:cs="Arial"/>
          <w:b w:val="0"/>
          <w:sz w:val="22"/>
          <w:lang w:eastAsia="en-GB"/>
        </w:rPr>
        <w:t xml:space="preserve">oundation </w:t>
      </w:r>
      <w:r w:rsidR="000B2A38" w:rsidRPr="00BB04A6">
        <w:rPr>
          <w:rFonts w:eastAsia="Calibri" w:cs="Arial"/>
          <w:b w:val="0"/>
          <w:sz w:val="22"/>
          <w:lang w:eastAsia="en-GB"/>
        </w:rPr>
        <w:t>T</w:t>
      </w:r>
      <w:r w:rsidRPr="00BB04A6">
        <w:rPr>
          <w:rFonts w:eastAsia="Calibri" w:cs="Arial"/>
          <w:b w:val="0"/>
          <w:sz w:val="22"/>
          <w:lang w:eastAsia="en-GB"/>
        </w:rPr>
        <w:t>rust</w:t>
      </w:r>
      <w:r w:rsidRPr="00BB04A6">
        <w:rPr>
          <w:b w:val="0"/>
          <w:sz w:val="22"/>
        </w:rPr>
        <w:t xml:space="preserve"> will continue to be provided by the public sector for the foreseeable future. For this reason, the directors have adopted the going concern basis in preparing the accounts, following the definition of going concern in the public sector adopted by HM Treasury’s Financial Reporting Manual.</w:t>
      </w:r>
    </w:p>
    <w:p w14:paraId="60F387BC" w14:textId="5F4436BE" w:rsidR="00FD7ADD" w:rsidRPr="00BB04A6" w:rsidRDefault="00FD7ADD" w:rsidP="00FB6278">
      <w:pPr>
        <w:pStyle w:val="MEHBoldheading1"/>
        <w:ind w:left="-567"/>
        <w:rPr>
          <w:sz w:val="22"/>
        </w:rPr>
      </w:pPr>
      <w:r w:rsidRPr="00BB04A6">
        <w:rPr>
          <w:sz w:val="22"/>
        </w:rPr>
        <w:t xml:space="preserve">Key issues and risks </w:t>
      </w:r>
    </w:p>
    <w:p w14:paraId="134DD791" w14:textId="0D626210" w:rsidR="003037DE" w:rsidRPr="00BB04A6" w:rsidRDefault="00213C08" w:rsidP="00FB6278">
      <w:pPr>
        <w:ind w:left="-567" w:right="-613"/>
        <w:jc w:val="both"/>
        <w:rPr>
          <w:rFonts w:ascii="Arial" w:hAnsi="Arial"/>
          <w:sz w:val="22"/>
        </w:rPr>
      </w:pPr>
      <w:r>
        <w:rPr>
          <w:rFonts w:ascii="Arial" w:hAnsi="Arial"/>
          <w:sz w:val="22"/>
        </w:rPr>
        <w:t>Our</w:t>
      </w:r>
      <w:r w:rsidR="00FD7ADD" w:rsidRPr="00BB04A6">
        <w:rPr>
          <w:rFonts w:ascii="Arial" w:hAnsi="Arial"/>
          <w:sz w:val="22"/>
        </w:rPr>
        <w:t xml:space="preserve"> </w:t>
      </w:r>
      <w:r w:rsidR="00B90405" w:rsidRPr="00BB04A6">
        <w:rPr>
          <w:rFonts w:ascii="Arial" w:hAnsi="Arial"/>
          <w:sz w:val="22"/>
        </w:rPr>
        <w:t>board assurance framework</w:t>
      </w:r>
      <w:r w:rsidR="00FD7ADD" w:rsidRPr="00BB04A6">
        <w:rPr>
          <w:rFonts w:ascii="Arial" w:hAnsi="Arial"/>
          <w:sz w:val="22"/>
        </w:rPr>
        <w:t xml:space="preserve"> includes the </w:t>
      </w:r>
      <w:proofErr w:type="gramStart"/>
      <w:r w:rsidR="00FD7ADD" w:rsidRPr="00BB04A6">
        <w:rPr>
          <w:rFonts w:ascii="Arial" w:hAnsi="Arial"/>
          <w:sz w:val="22"/>
        </w:rPr>
        <w:t>high level</w:t>
      </w:r>
      <w:proofErr w:type="gramEnd"/>
      <w:r w:rsidR="00FD7ADD" w:rsidRPr="00BB04A6">
        <w:rPr>
          <w:rFonts w:ascii="Arial" w:hAnsi="Arial"/>
          <w:sz w:val="22"/>
        </w:rPr>
        <w:t xml:space="preserve"> risks to the organisation. These are rated </w:t>
      </w:r>
      <w:r w:rsidR="00B96AA7" w:rsidRPr="00BB04A6">
        <w:rPr>
          <w:rFonts w:ascii="Arial" w:hAnsi="Arial"/>
          <w:sz w:val="22"/>
        </w:rPr>
        <w:t xml:space="preserve">depending </w:t>
      </w:r>
      <w:r w:rsidR="00FD7ADD" w:rsidRPr="00BB04A6">
        <w:rPr>
          <w:rFonts w:ascii="Arial" w:hAnsi="Arial"/>
          <w:sz w:val="22"/>
        </w:rPr>
        <w:t xml:space="preserve">on the level and potential impact of risk, with red being the highest. A summary following a review in </w:t>
      </w:r>
      <w:r w:rsidR="0066514C" w:rsidRPr="00BB04A6">
        <w:rPr>
          <w:rFonts w:ascii="Arial" w:hAnsi="Arial"/>
          <w:sz w:val="22"/>
        </w:rPr>
        <w:t>March</w:t>
      </w:r>
      <w:r w:rsidR="00B90405" w:rsidRPr="00BB04A6">
        <w:rPr>
          <w:rFonts w:ascii="Arial" w:hAnsi="Arial"/>
          <w:sz w:val="22"/>
        </w:rPr>
        <w:t xml:space="preserve"> 20</w:t>
      </w:r>
      <w:r w:rsidR="003252E6" w:rsidRPr="00BB04A6">
        <w:rPr>
          <w:rFonts w:ascii="Arial" w:hAnsi="Arial"/>
          <w:sz w:val="22"/>
        </w:rPr>
        <w:t>2</w:t>
      </w:r>
      <w:r w:rsidR="00EB7F2B" w:rsidRPr="00BB04A6">
        <w:rPr>
          <w:rFonts w:ascii="Arial" w:hAnsi="Arial"/>
          <w:sz w:val="22"/>
        </w:rPr>
        <w:t>2</w:t>
      </w:r>
      <w:r w:rsidR="00FD7ADD" w:rsidRPr="00BB04A6">
        <w:rPr>
          <w:rFonts w:ascii="Arial" w:hAnsi="Arial"/>
          <w:sz w:val="22"/>
        </w:rPr>
        <w:t xml:space="preserve"> is included in the Annual Governance Statement </w:t>
      </w:r>
      <w:r w:rsidR="00EB7F2B" w:rsidRPr="00BB04A6">
        <w:rPr>
          <w:rFonts w:ascii="Arial" w:hAnsi="Arial"/>
          <w:sz w:val="22"/>
        </w:rPr>
        <w:t xml:space="preserve">on page </w:t>
      </w:r>
      <w:r w:rsidR="008D289D">
        <w:rPr>
          <w:rFonts w:ascii="Arial" w:hAnsi="Arial"/>
          <w:sz w:val="22"/>
          <w:highlight w:val="yellow"/>
        </w:rPr>
        <w:t>42.</w:t>
      </w:r>
    </w:p>
    <w:p w14:paraId="38F6388F" w14:textId="77777777" w:rsidR="00B2407F" w:rsidRPr="00BB04A6" w:rsidRDefault="00B2407F" w:rsidP="00FB6278">
      <w:pPr>
        <w:rPr>
          <w:rFonts w:ascii="Arial" w:hAnsi="Arial"/>
          <w:b/>
          <w:i/>
          <w:sz w:val="22"/>
        </w:rPr>
      </w:pPr>
    </w:p>
    <w:p w14:paraId="55939CE6" w14:textId="0F5D6701" w:rsidR="00B2407F" w:rsidRPr="00BB04A6" w:rsidRDefault="007B1221" w:rsidP="00FB6278">
      <w:pPr>
        <w:ind w:left="-567"/>
        <w:rPr>
          <w:rFonts w:ascii="Arial" w:hAnsi="Arial"/>
          <w:b/>
          <w:sz w:val="28"/>
        </w:rPr>
      </w:pPr>
      <w:r w:rsidRPr="00BB04A6">
        <w:rPr>
          <w:rFonts w:ascii="Arial" w:hAnsi="Arial"/>
          <w:b/>
          <w:sz w:val="28"/>
        </w:rPr>
        <w:t>The year at Moorfields</w:t>
      </w:r>
    </w:p>
    <w:p w14:paraId="1D903A05" w14:textId="77777777" w:rsidR="003037DE" w:rsidRPr="00BB04A6" w:rsidRDefault="003037DE" w:rsidP="00FB6278">
      <w:pPr>
        <w:ind w:left="-567"/>
        <w:rPr>
          <w:rFonts w:ascii="Arial" w:hAnsi="Arial"/>
          <w:b/>
          <w:sz w:val="28"/>
        </w:rPr>
      </w:pPr>
    </w:p>
    <w:p w14:paraId="410E9FE4" w14:textId="783D6AF1" w:rsidR="003037DE" w:rsidRPr="00BB04A6" w:rsidRDefault="003037DE" w:rsidP="00FB6278">
      <w:pPr>
        <w:ind w:left="-567"/>
        <w:rPr>
          <w:rFonts w:ascii="Arial" w:hAnsi="Arial"/>
          <w:b/>
          <w:i/>
          <w:sz w:val="22"/>
        </w:rPr>
      </w:pPr>
      <w:r w:rsidRPr="00BB04A6">
        <w:rPr>
          <w:rFonts w:ascii="Arial" w:hAnsi="Arial"/>
          <w:b/>
          <w:sz w:val="22"/>
        </w:rPr>
        <w:t>Covid-19</w:t>
      </w:r>
    </w:p>
    <w:p w14:paraId="6AE6B523" w14:textId="0C722F54" w:rsidR="001C702C" w:rsidRPr="00BB04A6" w:rsidRDefault="00EA22A1" w:rsidP="00FB6278">
      <w:pPr>
        <w:pStyle w:val="MEHBoldheading1"/>
        <w:ind w:left="-567" w:right="-613"/>
        <w:jc w:val="both"/>
        <w:rPr>
          <w:b w:val="0"/>
          <w:sz w:val="22"/>
        </w:rPr>
      </w:pPr>
      <w:r w:rsidRPr="00BB04A6">
        <w:rPr>
          <w:b w:val="0"/>
          <w:sz w:val="22"/>
        </w:rPr>
        <w:t xml:space="preserve">This year has been </w:t>
      </w:r>
      <w:r w:rsidR="007B6685" w:rsidRPr="00BB04A6">
        <w:rPr>
          <w:b w:val="0"/>
          <w:sz w:val="22"/>
        </w:rPr>
        <w:t xml:space="preserve">another challenging year </w:t>
      </w:r>
      <w:r w:rsidR="00C0031B" w:rsidRPr="00BB04A6">
        <w:rPr>
          <w:b w:val="0"/>
          <w:sz w:val="22"/>
        </w:rPr>
        <w:t xml:space="preserve">for </w:t>
      </w:r>
      <w:r w:rsidR="007B6685" w:rsidRPr="00BB04A6">
        <w:rPr>
          <w:b w:val="0"/>
          <w:sz w:val="22"/>
        </w:rPr>
        <w:t xml:space="preserve">the NHS and a large focus </w:t>
      </w:r>
      <w:r w:rsidRPr="00BB04A6">
        <w:rPr>
          <w:b w:val="0"/>
          <w:sz w:val="22"/>
        </w:rPr>
        <w:t xml:space="preserve">of our work this year </w:t>
      </w:r>
      <w:r w:rsidR="00F15C40" w:rsidRPr="00BB04A6">
        <w:rPr>
          <w:b w:val="0"/>
          <w:sz w:val="22"/>
        </w:rPr>
        <w:t xml:space="preserve">continues to be </w:t>
      </w:r>
      <w:r w:rsidRPr="00BB04A6">
        <w:rPr>
          <w:b w:val="0"/>
          <w:sz w:val="22"/>
        </w:rPr>
        <w:t>linked to the Covid-19 pande</w:t>
      </w:r>
      <w:r w:rsidR="00F15C40" w:rsidRPr="00BB04A6">
        <w:rPr>
          <w:b w:val="0"/>
          <w:sz w:val="22"/>
        </w:rPr>
        <w:t>mic, addressing the backlog of patients that built up over the previous year as well as seeing new patients</w:t>
      </w:r>
      <w:r w:rsidR="001C702C" w:rsidRPr="00BB04A6">
        <w:rPr>
          <w:b w:val="0"/>
          <w:sz w:val="22"/>
        </w:rPr>
        <w:t xml:space="preserve">. </w:t>
      </w:r>
    </w:p>
    <w:p w14:paraId="3FC5E2FA" w14:textId="22CB53CF" w:rsidR="00716C90" w:rsidRPr="00BB04A6" w:rsidRDefault="00F15C40" w:rsidP="00FB6278">
      <w:pPr>
        <w:pStyle w:val="MEHBoldheading1"/>
        <w:ind w:left="-567" w:right="-613"/>
        <w:jc w:val="both"/>
        <w:rPr>
          <w:b w:val="0"/>
          <w:sz w:val="22"/>
        </w:rPr>
      </w:pPr>
      <w:r w:rsidRPr="00BB04A6">
        <w:rPr>
          <w:b w:val="0"/>
          <w:sz w:val="22"/>
        </w:rPr>
        <w:t xml:space="preserve">Our hospital sites remain </w:t>
      </w:r>
      <w:r w:rsidR="001C702C" w:rsidRPr="00BB04A6">
        <w:rPr>
          <w:b w:val="0"/>
          <w:sz w:val="22"/>
        </w:rPr>
        <w:t>subject to advanced infection control</w:t>
      </w:r>
      <w:r w:rsidRPr="00BB04A6">
        <w:rPr>
          <w:b w:val="0"/>
          <w:sz w:val="22"/>
        </w:rPr>
        <w:t xml:space="preserve"> measures that are regularly assessed against national guidance. </w:t>
      </w:r>
      <w:r w:rsidR="00870E53">
        <w:rPr>
          <w:b w:val="0"/>
          <w:sz w:val="22"/>
        </w:rPr>
        <w:t>We continue</w:t>
      </w:r>
      <w:r w:rsidRPr="00BB04A6">
        <w:rPr>
          <w:b w:val="0"/>
          <w:sz w:val="22"/>
        </w:rPr>
        <w:t xml:space="preserve"> to implement</w:t>
      </w:r>
      <w:r w:rsidR="001C702C" w:rsidRPr="00BB04A6">
        <w:rPr>
          <w:b w:val="0"/>
          <w:sz w:val="22"/>
        </w:rPr>
        <w:t xml:space="preserve"> new ways of working to support staff and patients in delivering and accessing care, such as the Attend Anywhere video consultation platform used by A&amp;E</w:t>
      </w:r>
      <w:r w:rsidR="00716C90" w:rsidRPr="00BB04A6">
        <w:rPr>
          <w:b w:val="0"/>
          <w:sz w:val="22"/>
        </w:rPr>
        <w:t xml:space="preserve"> </w:t>
      </w:r>
      <w:r w:rsidR="0062473E" w:rsidRPr="00BB04A6">
        <w:rPr>
          <w:b w:val="0"/>
          <w:sz w:val="22"/>
        </w:rPr>
        <w:t xml:space="preserve">and multiple clinics. </w:t>
      </w:r>
      <w:r w:rsidR="0062473E" w:rsidRPr="00BB04A6">
        <w:rPr>
          <w:rFonts w:eastAsia="Calibri" w:cs="Arial"/>
          <w:b w:val="0"/>
          <w:sz w:val="22"/>
          <w:lang w:eastAsia="en-GB"/>
        </w:rPr>
        <w:t>This</w:t>
      </w:r>
      <w:r w:rsidR="00716C90" w:rsidRPr="00BB04A6">
        <w:rPr>
          <w:b w:val="0"/>
          <w:sz w:val="22"/>
        </w:rPr>
        <w:t xml:space="preserve"> allows patients to receive consultations via smart phones, </w:t>
      </w:r>
      <w:proofErr w:type="gramStart"/>
      <w:r w:rsidR="00716C90" w:rsidRPr="00BB04A6">
        <w:rPr>
          <w:b w:val="0"/>
          <w:sz w:val="22"/>
        </w:rPr>
        <w:t>laptops</w:t>
      </w:r>
      <w:proofErr w:type="gramEnd"/>
      <w:r w:rsidR="00716C90" w:rsidRPr="00BB04A6">
        <w:rPr>
          <w:b w:val="0"/>
          <w:sz w:val="22"/>
        </w:rPr>
        <w:t xml:space="preserve"> or iPads. </w:t>
      </w:r>
    </w:p>
    <w:p w14:paraId="72454D45" w14:textId="5540A062" w:rsidR="001C702C" w:rsidRDefault="00F15C40" w:rsidP="00FB6278">
      <w:pPr>
        <w:pStyle w:val="MEHBoldheading1"/>
        <w:ind w:left="-567" w:right="-613"/>
        <w:jc w:val="both"/>
        <w:rPr>
          <w:b w:val="0"/>
          <w:sz w:val="22"/>
        </w:rPr>
      </w:pPr>
      <w:proofErr w:type="gramStart"/>
      <w:r w:rsidRPr="00BB04A6">
        <w:rPr>
          <w:b w:val="0"/>
          <w:sz w:val="22"/>
        </w:rPr>
        <w:t>The majority of</w:t>
      </w:r>
      <w:proofErr w:type="gramEnd"/>
      <w:r w:rsidRPr="00BB04A6">
        <w:rPr>
          <w:b w:val="0"/>
          <w:sz w:val="22"/>
        </w:rPr>
        <w:t xml:space="preserve"> </w:t>
      </w:r>
      <w:r w:rsidR="00716C90" w:rsidRPr="00BB04A6">
        <w:rPr>
          <w:b w:val="0"/>
          <w:sz w:val="22"/>
        </w:rPr>
        <w:t xml:space="preserve">non-clinical staff </w:t>
      </w:r>
      <w:r w:rsidRPr="00BB04A6">
        <w:rPr>
          <w:b w:val="0"/>
          <w:sz w:val="22"/>
        </w:rPr>
        <w:t xml:space="preserve">have the option of hybrid working as we enabled wide access to remote working last year and we continue to undertake </w:t>
      </w:r>
      <w:r w:rsidR="00716C90" w:rsidRPr="00BB04A6">
        <w:rPr>
          <w:b w:val="0"/>
          <w:sz w:val="22"/>
        </w:rPr>
        <w:t xml:space="preserve">risk assessments to establish those staff most at risk, putting in place measures to protect the vulnerable. </w:t>
      </w:r>
    </w:p>
    <w:p w14:paraId="699365B6" w14:textId="770F6F43" w:rsidR="00A755C3" w:rsidRPr="00BB04A6" w:rsidRDefault="000A6436" w:rsidP="00FB6278">
      <w:pPr>
        <w:pStyle w:val="MEHBoldheading1"/>
        <w:ind w:left="-567" w:right="-613"/>
        <w:jc w:val="both"/>
        <w:rPr>
          <w:b w:val="0"/>
          <w:sz w:val="22"/>
        </w:rPr>
      </w:pPr>
      <w:r>
        <w:rPr>
          <w:b w:val="0"/>
          <w:sz w:val="22"/>
        </w:rPr>
        <w:t xml:space="preserve">We provided support to NHS </w:t>
      </w:r>
      <w:r w:rsidRPr="000A6436">
        <w:rPr>
          <w:b w:val="0"/>
          <w:sz w:val="22"/>
        </w:rPr>
        <w:t>London during the pandemic, with over 150 clinical and non-clinical staff trained and deployed to hospitals most in need of staff during the second wave.</w:t>
      </w:r>
      <w:r w:rsidR="008D354A" w:rsidRPr="000A6436">
        <w:rPr>
          <w:b w:val="0"/>
          <w:sz w:val="22"/>
        </w:rPr>
        <w:t xml:space="preserve"> </w:t>
      </w:r>
      <w:r w:rsidR="00092099" w:rsidRPr="000A6436">
        <w:rPr>
          <w:b w:val="0"/>
          <w:sz w:val="22"/>
        </w:rPr>
        <w:t>Collaboration and the provision of mutual aid ha</w:t>
      </w:r>
      <w:r w:rsidR="00FE7A4C" w:rsidRPr="000A6436">
        <w:rPr>
          <w:b w:val="0"/>
          <w:sz w:val="22"/>
        </w:rPr>
        <w:t>ve</w:t>
      </w:r>
      <w:r w:rsidR="00092099" w:rsidRPr="000A6436">
        <w:rPr>
          <w:b w:val="0"/>
          <w:sz w:val="22"/>
        </w:rPr>
        <w:t xml:space="preserve"> been incredibly important during the pandemic, and the trust is proud to have been a support to NHS colleagues.</w:t>
      </w:r>
      <w:r w:rsidR="00092099" w:rsidRPr="00BB04A6">
        <w:rPr>
          <w:b w:val="0"/>
          <w:sz w:val="22"/>
        </w:rPr>
        <w:t xml:space="preserve"> </w:t>
      </w:r>
    </w:p>
    <w:p w14:paraId="2262A286" w14:textId="7F463F89" w:rsidR="00092099" w:rsidRPr="00BB04A6" w:rsidRDefault="00BB04A6" w:rsidP="00FB6278">
      <w:pPr>
        <w:pStyle w:val="MEHBoldheading1"/>
        <w:ind w:left="-567" w:right="-613"/>
        <w:jc w:val="both"/>
        <w:rPr>
          <w:b w:val="0"/>
          <w:sz w:val="22"/>
        </w:rPr>
      </w:pPr>
      <w:r w:rsidRPr="00BB04A6">
        <w:rPr>
          <w:b w:val="0"/>
          <w:sz w:val="22"/>
        </w:rPr>
        <w:t>T</w:t>
      </w:r>
      <w:r w:rsidR="0062473E" w:rsidRPr="00BB04A6">
        <w:rPr>
          <w:b w:val="0"/>
          <w:sz w:val="22"/>
        </w:rPr>
        <w:t xml:space="preserve">he new hubs at Hoxton and Brent Cross have given us additional capacity for diagnostic work across glaucoma, </w:t>
      </w:r>
      <w:proofErr w:type="gramStart"/>
      <w:r w:rsidR="0062473E" w:rsidRPr="00BB04A6">
        <w:rPr>
          <w:b w:val="0"/>
          <w:sz w:val="22"/>
        </w:rPr>
        <w:t>cataracts</w:t>
      </w:r>
      <w:proofErr w:type="gramEnd"/>
      <w:r w:rsidR="0062473E" w:rsidRPr="00BB04A6">
        <w:rPr>
          <w:b w:val="0"/>
          <w:sz w:val="22"/>
        </w:rPr>
        <w:t xml:space="preserve"> and medical retina. These offer many patients testing closer to their homes, in just 45 minutes.</w:t>
      </w:r>
    </w:p>
    <w:p w14:paraId="2BBF6608" w14:textId="683D3364" w:rsidR="00CA087D" w:rsidRPr="00BB04A6" w:rsidRDefault="00CA087D" w:rsidP="00FB6278">
      <w:pPr>
        <w:shd w:val="clear" w:color="auto" w:fill="FFFFFF" w:themeFill="background1"/>
        <w:ind w:left="-567"/>
        <w:rPr>
          <w:rFonts w:ascii="Arial" w:hAnsi="Arial"/>
          <w:b/>
          <w:sz w:val="22"/>
        </w:rPr>
      </w:pPr>
      <w:bookmarkStart w:id="2" w:name="_Hlk102730513"/>
      <w:r w:rsidRPr="00BB04A6">
        <w:rPr>
          <w:rFonts w:ascii="Arial" w:hAnsi="Arial"/>
          <w:b/>
          <w:sz w:val="22"/>
        </w:rPr>
        <w:t xml:space="preserve">Patient activity </w:t>
      </w:r>
    </w:p>
    <w:p w14:paraId="68BA1CC4" w14:textId="77777777" w:rsidR="00CA087D" w:rsidRPr="00BB04A6" w:rsidRDefault="00CA087D" w:rsidP="00FB6278">
      <w:pPr>
        <w:shd w:val="clear" w:color="auto" w:fill="FFFFFF" w:themeFill="background1"/>
        <w:ind w:left="-567"/>
        <w:rPr>
          <w:rFonts w:ascii="Arial" w:hAnsi="Arial"/>
          <w:sz w:val="22"/>
        </w:rPr>
      </w:pPr>
    </w:p>
    <w:p w14:paraId="46EE7F91" w14:textId="2C0C50C0" w:rsidR="00CA087D" w:rsidRDefault="00CA087D" w:rsidP="00FB6278">
      <w:pPr>
        <w:pStyle w:val="MEHBoldheading1"/>
        <w:ind w:left="-567" w:right="-613"/>
        <w:jc w:val="both"/>
        <w:rPr>
          <w:b w:val="0"/>
          <w:sz w:val="22"/>
        </w:rPr>
      </w:pPr>
      <w:r w:rsidRPr="00BB04A6">
        <w:rPr>
          <w:b w:val="0"/>
          <w:sz w:val="22"/>
        </w:rPr>
        <w:t>Moorfields’ NHS patient activity and the total volume of Moorfields’ NHS activity in 2021/22 are shown in the table below, with figures from 2019/20 and 2020/21 for comparison (</w:t>
      </w:r>
      <w:r w:rsidRPr="00BB04A6">
        <w:rPr>
          <w:b w:val="0"/>
          <w:i/>
          <w:sz w:val="22"/>
        </w:rPr>
        <w:t>these figures exclude Bedford activity)</w:t>
      </w:r>
      <w:r w:rsidRPr="00BB04A6">
        <w:rPr>
          <w:b w:val="0"/>
          <w:sz w:val="22"/>
        </w:rPr>
        <w:t xml:space="preserve">. </w:t>
      </w:r>
    </w:p>
    <w:p w14:paraId="6F828D58" w14:textId="072554D6" w:rsidR="00BF493F" w:rsidRDefault="00BF493F" w:rsidP="00FB6278">
      <w:pPr>
        <w:pStyle w:val="MEHBoldheading1"/>
        <w:ind w:left="-567" w:right="-613"/>
        <w:jc w:val="both"/>
        <w:rPr>
          <w:b w:val="0"/>
          <w:sz w:val="22"/>
        </w:rPr>
      </w:pPr>
    </w:p>
    <w:p w14:paraId="3E343C2E" w14:textId="74F59184" w:rsidR="00BF493F" w:rsidRDefault="00BF493F" w:rsidP="00FB6278">
      <w:pPr>
        <w:pStyle w:val="MEHBoldheading1"/>
        <w:ind w:left="-567" w:right="-613"/>
        <w:jc w:val="both"/>
        <w:rPr>
          <w:b w:val="0"/>
          <w:sz w:val="22"/>
        </w:rPr>
      </w:pPr>
    </w:p>
    <w:p w14:paraId="0BDC68DF" w14:textId="21AFE67D" w:rsidR="00BF493F" w:rsidRDefault="00BF493F" w:rsidP="00FB6278">
      <w:pPr>
        <w:pStyle w:val="MEHBoldheading1"/>
        <w:ind w:left="-567" w:right="-613"/>
        <w:jc w:val="both"/>
        <w:rPr>
          <w:b w:val="0"/>
          <w:sz w:val="22"/>
        </w:rPr>
      </w:pPr>
    </w:p>
    <w:p w14:paraId="742A1B14" w14:textId="0E5DCE06" w:rsidR="00BF493F" w:rsidRDefault="00BF493F" w:rsidP="00FB6278">
      <w:pPr>
        <w:pStyle w:val="MEHBoldheading1"/>
        <w:ind w:left="-567" w:right="-613"/>
        <w:jc w:val="both"/>
        <w:rPr>
          <w:b w:val="0"/>
          <w:sz w:val="22"/>
        </w:rPr>
      </w:pPr>
    </w:p>
    <w:p w14:paraId="3FB5641E" w14:textId="77777777" w:rsidR="00BF493F" w:rsidRDefault="00BF493F" w:rsidP="00FB6278">
      <w:pPr>
        <w:pStyle w:val="MEHBoldheading1"/>
        <w:ind w:left="-567" w:right="-613"/>
        <w:jc w:val="both"/>
        <w:rPr>
          <w:b w:val="0"/>
          <w:sz w:val="22"/>
        </w:rPr>
      </w:pPr>
    </w:p>
    <w:tbl>
      <w:tblPr>
        <w:tblpPr w:leftFromText="180" w:rightFromText="180" w:vertAnchor="text" w:horzAnchor="margin" w:tblpXSpec="center" w:tblpY="43"/>
        <w:tblW w:w="6829" w:type="dxa"/>
        <w:tblLook w:val="04A0" w:firstRow="1" w:lastRow="0" w:firstColumn="1" w:lastColumn="0" w:noHBand="0" w:noVBand="1"/>
      </w:tblPr>
      <w:tblGrid>
        <w:gridCol w:w="3460"/>
        <w:gridCol w:w="1120"/>
        <w:gridCol w:w="1140"/>
        <w:gridCol w:w="1109"/>
      </w:tblGrid>
      <w:tr w:rsidR="006E1D36" w:rsidRPr="00B33DCD" w14:paraId="3C83BAA6" w14:textId="77777777" w:rsidTr="006E1D36">
        <w:trPr>
          <w:trHeight w:val="315"/>
        </w:trPr>
        <w:tc>
          <w:tcPr>
            <w:tcW w:w="3460" w:type="dxa"/>
            <w:tcBorders>
              <w:top w:val="nil"/>
              <w:left w:val="nil"/>
              <w:bottom w:val="nil"/>
              <w:right w:val="nil"/>
            </w:tcBorders>
            <w:shd w:val="clear" w:color="auto" w:fill="auto"/>
            <w:noWrap/>
            <w:vAlign w:val="bottom"/>
            <w:hideMark/>
          </w:tcPr>
          <w:p w14:paraId="0277B8B3" w14:textId="77777777" w:rsidR="006E1D36" w:rsidRPr="00BB04A6" w:rsidRDefault="006E1D36" w:rsidP="00FB6278">
            <w:pPr>
              <w:shd w:val="clear" w:color="auto" w:fill="FFFFFF" w:themeFill="background1"/>
              <w:rPr>
                <w:rFonts w:ascii="Arial" w:hAnsi="Arial"/>
                <w:sz w:val="20"/>
              </w:rPr>
            </w:pPr>
          </w:p>
        </w:tc>
        <w:tc>
          <w:tcPr>
            <w:tcW w:w="1120" w:type="dxa"/>
            <w:tcBorders>
              <w:top w:val="nil"/>
              <w:left w:val="nil"/>
              <w:bottom w:val="nil"/>
              <w:right w:val="nil"/>
            </w:tcBorders>
            <w:shd w:val="clear" w:color="auto" w:fill="auto"/>
            <w:noWrap/>
            <w:vAlign w:val="bottom"/>
            <w:hideMark/>
          </w:tcPr>
          <w:p w14:paraId="45F560C0" w14:textId="77777777" w:rsidR="006E1D36" w:rsidRPr="00BB04A6" w:rsidRDefault="006E1D36" w:rsidP="00FB6278">
            <w:pPr>
              <w:shd w:val="clear" w:color="auto" w:fill="FFFFFF" w:themeFill="background1"/>
              <w:rPr>
                <w:rFonts w:ascii="Arial" w:hAnsi="Arial"/>
                <w:sz w:val="20"/>
              </w:rPr>
            </w:pPr>
          </w:p>
        </w:tc>
        <w:tc>
          <w:tcPr>
            <w:tcW w:w="1140" w:type="dxa"/>
            <w:tcBorders>
              <w:top w:val="nil"/>
              <w:left w:val="nil"/>
              <w:bottom w:val="nil"/>
              <w:right w:val="nil"/>
            </w:tcBorders>
            <w:shd w:val="clear" w:color="auto" w:fill="auto"/>
            <w:noWrap/>
            <w:vAlign w:val="bottom"/>
            <w:hideMark/>
          </w:tcPr>
          <w:p w14:paraId="718D88A8" w14:textId="77777777" w:rsidR="006E1D36" w:rsidRPr="00BB04A6" w:rsidRDefault="006E1D36" w:rsidP="00FB6278">
            <w:pPr>
              <w:shd w:val="clear" w:color="auto" w:fill="FFFFFF" w:themeFill="background1"/>
              <w:rPr>
                <w:rFonts w:ascii="Arial" w:hAnsi="Arial"/>
                <w:sz w:val="20"/>
              </w:rPr>
            </w:pPr>
          </w:p>
        </w:tc>
        <w:tc>
          <w:tcPr>
            <w:tcW w:w="1109" w:type="dxa"/>
            <w:tcBorders>
              <w:top w:val="nil"/>
              <w:left w:val="nil"/>
              <w:bottom w:val="nil"/>
              <w:right w:val="nil"/>
            </w:tcBorders>
            <w:shd w:val="clear" w:color="auto" w:fill="auto"/>
            <w:noWrap/>
            <w:vAlign w:val="bottom"/>
            <w:hideMark/>
          </w:tcPr>
          <w:p w14:paraId="5DC07CE1" w14:textId="77777777" w:rsidR="006E1D36" w:rsidRPr="00BB04A6" w:rsidRDefault="006E1D36" w:rsidP="00FB6278">
            <w:pPr>
              <w:shd w:val="clear" w:color="auto" w:fill="FFFFFF" w:themeFill="background1"/>
              <w:rPr>
                <w:rFonts w:ascii="Arial" w:hAnsi="Arial"/>
                <w:sz w:val="20"/>
              </w:rPr>
            </w:pPr>
          </w:p>
        </w:tc>
      </w:tr>
      <w:tr w:rsidR="006E1D36" w:rsidRPr="00B33DCD" w14:paraId="28807E2A" w14:textId="77777777" w:rsidTr="006E1D36">
        <w:trPr>
          <w:trHeight w:val="315"/>
        </w:trPr>
        <w:tc>
          <w:tcPr>
            <w:tcW w:w="3460" w:type="dxa"/>
            <w:tcBorders>
              <w:top w:val="nil"/>
              <w:left w:val="nil"/>
              <w:bottom w:val="nil"/>
              <w:right w:val="nil"/>
            </w:tcBorders>
            <w:shd w:val="clear" w:color="auto" w:fill="auto"/>
            <w:noWrap/>
            <w:vAlign w:val="bottom"/>
            <w:hideMark/>
          </w:tcPr>
          <w:p w14:paraId="249C5643" w14:textId="77777777" w:rsidR="006E1D36" w:rsidRPr="00BB04A6" w:rsidRDefault="006E1D36" w:rsidP="00FB6278">
            <w:pPr>
              <w:shd w:val="clear" w:color="auto" w:fill="FFFFFF" w:themeFill="background1"/>
              <w:rPr>
                <w:rFonts w:ascii="Arial" w:hAnsi="Arial"/>
                <w:sz w:val="20"/>
              </w:rPr>
            </w:pPr>
          </w:p>
        </w:tc>
        <w:tc>
          <w:tcPr>
            <w:tcW w:w="3369"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CA607A8" w14:textId="77777777" w:rsidR="006E1D36" w:rsidRPr="00BB04A6" w:rsidRDefault="006E1D36" w:rsidP="00FB6278">
            <w:pPr>
              <w:shd w:val="clear" w:color="auto" w:fill="FFFFFF" w:themeFill="background1"/>
              <w:jc w:val="center"/>
              <w:rPr>
                <w:rFonts w:ascii="Arial" w:hAnsi="Arial"/>
                <w:b/>
                <w:sz w:val="22"/>
              </w:rPr>
            </w:pPr>
            <w:r w:rsidRPr="00BB04A6">
              <w:rPr>
                <w:rFonts w:ascii="Arial" w:hAnsi="Arial"/>
                <w:b/>
                <w:sz w:val="22"/>
              </w:rPr>
              <w:t>Activity Totals</w:t>
            </w:r>
          </w:p>
        </w:tc>
      </w:tr>
      <w:tr w:rsidR="006E1D36" w:rsidRPr="00B33DCD" w14:paraId="2B08E7EF" w14:textId="77777777" w:rsidTr="006E1D36">
        <w:trPr>
          <w:trHeight w:val="315"/>
        </w:trPr>
        <w:tc>
          <w:tcPr>
            <w:tcW w:w="34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74EBB2" w14:textId="77777777" w:rsidR="006E1D36" w:rsidRPr="00BB04A6" w:rsidRDefault="006E1D36" w:rsidP="00FB6278">
            <w:pPr>
              <w:shd w:val="clear" w:color="auto" w:fill="FFFFFF" w:themeFill="background1"/>
              <w:rPr>
                <w:rFonts w:ascii="Arial" w:hAnsi="Arial"/>
                <w:b/>
                <w:sz w:val="22"/>
              </w:rPr>
            </w:pPr>
            <w:r w:rsidRPr="00BB04A6">
              <w:rPr>
                <w:rFonts w:ascii="Arial" w:hAnsi="Arial"/>
                <w:b/>
                <w:sz w:val="22"/>
              </w:rPr>
              <w:t>Point of delivery</w:t>
            </w:r>
          </w:p>
        </w:tc>
        <w:tc>
          <w:tcPr>
            <w:tcW w:w="1120" w:type="dxa"/>
            <w:tcBorders>
              <w:top w:val="nil"/>
              <w:left w:val="nil"/>
              <w:bottom w:val="single" w:sz="8" w:space="0" w:color="auto"/>
              <w:right w:val="single" w:sz="8" w:space="0" w:color="auto"/>
            </w:tcBorders>
            <w:shd w:val="clear" w:color="auto" w:fill="auto"/>
            <w:noWrap/>
            <w:vAlign w:val="center"/>
            <w:hideMark/>
          </w:tcPr>
          <w:p w14:paraId="7482EEB7" w14:textId="77777777" w:rsidR="006E1D36" w:rsidRPr="00BB04A6" w:rsidRDefault="006E1D36" w:rsidP="00FB6278">
            <w:pPr>
              <w:shd w:val="clear" w:color="auto" w:fill="FFFFFF" w:themeFill="background1"/>
              <w:jc w:val="center"/>
              <w:rPr>
                <w:rFonts w:ascii="Arial" w:hAnsi="Arial"/>
                <w:b/>
                <w:sz w:val="22"/>
              </w:rPr>
            </w:pPr>
            <w:r w:rsidRPr="00BB04A6">
              <w:rPr>
                <w:rFonts w:ascii="Arial" w:hAnsi="Arial"/>
                <w:b/>
                <w:sz w:val="22"/>
              </w:rPr>
              <w:t xml:space="preserve">2019/20 </w:t>
            </w:r>
          </w:p>
        </w:tc>
        <w:tc>
          <w:tcPr>
            <w:tcW w:w="1140" w:type="dxa"/>
            <w:tcBorders>
              <w:top w:val="nil"/>
              <w:left w:val="nil"/>
              <w:bottom w:val="single" w:sz="8" w:space="0" w:color="auto"/>
              <w:right w:val="single" w:sz="8" w:space="0" w:color="auto"/>
            </w:tcBorders>
            <w:shd w:val="clear" w:color="auto" w:fill="auto"/>
            <w:vAlign w:val="center"/>
            <w:hideMark/>
          </w:tcPr>
          <w:p w14:paraId="5E0CE7A0" w14:textId="77777777" w:rsidR="006E1D36" w:rsidRPr="00BB04A6" w:rsidRDefault="006E1D36" w:rsidP="00FB6278">
            <w:pPr>
              <w:shd w:val="clear" w:color="auto" w:fill="FFFFFF" w:themeFill="background1"/>
              <w:jc w:val="center"/>
              <w:rPr>
                <w:rFonts w:ascii="Arial" w:hAnsi="Arial"/>
                <w:b/>
                <w:sz w:val="22"/>
              </w:rPr>
            </w:pPr>
            <w:r w:rsidRPr="00BB04A6">
              <w:rPr>
                <w:rFonts w:ascii="Arial" w:hAnsi="Arial"/>
                <w:b/>
                <w:sz w:val="22"/>
              </w:rPr>
              <w:t>2020/21</w:t>
            </w:r>
          </w:p>
        </w:tc>
        <w:tc>
          <w:tcPr>
            <w:tcW w:w="1109" w:type="dxa"/>
            <w:tcBorders>
              <w:top w:val="nil"/>
              <w:left w:val="nil"/>
              <w:bottom w:val="single" w:sz="8" w:space="0" w:color="auto"/>
              <w:right w:val="single" w:sz="8" w:space="0" w:color="auto"/>
            </w:tcBorders>
            <w:shd w:val="clear" w:color="auto" w:fill="auto"/>
            <w:noWrap/>
            <w:vAlign w:val="center"/>
          </w:tcPr>
          <w:p w14:paraId="301EDCC9" w14:textId="77777777" w:rsidR="006E1D36" w:rsidRPr="00BB04A6" w:rsidRDefault="006E1D36" w:rsidP="00FB6278">
            <w:pPr>
              <w:shd w:val="clear" w:color="auto" w:fill="FFFFFF" w:themeFill="background1"/>
              <w:rPr>
                <w:rFonts w:ascii="Arial" w:hAnsi="Arial"/>
                <w:b/>
                <w:sz w:val="22"/>
              </w:rPr>
            </w:pPr>
            <w:r w:rsidRPr="00BB04A6">
              <w:rPr>
                <w:rFonts w:ascii="Arial" w:hAnsi="Arial"/>
                <w:b/>
                <w:sz w:val="22"/>
              </w:rPr>
              <w:t>2021/22</w:t>
            </w:r>
          </w:p>
        </w:tc>
      </w:tr>
      <w:tr w:rsidR="006E1D36" w:rsidRPr="00B33DCD" w14:paraId="3E921BD7" w14:textId="77777777" w:rsidTr="006E1D36">
        <w:trPr>
          <w:trHeight w:val="315"/>
        </w:trPr>
        <w:tc>
          <w:tcPr>
            <w:tcW w:w="3460" w:type="dxa"/>
            <w:tcBorders>
              <w:top w:val="nil"/>
              <w:left w:val="single" w:sz="8" w:space="0" w:color="auto"/>
              <w:bottom w:val="single" w:sz="8" w:space="0" w:color="auto"/>
              <w:right w:val="single" w:sz="8" w:space="0" w:color="auto"/>
            </w:tcBorders>
            <w:shd w:val="clear" w:color="auto" w:fill="auto"/>
            <w:noWrap/>
            <w:vAlign w:val="center"/>
            <w:hideMark/>
          </w:tcPr>
          <w:p w14:paraId="0FB6784B" w14:textId="77777777" w:rsidR="006E1D36" w:rsidRPr="00BB04A6" w:rsidRDefault="006E1D36" w:rsidP="00FB6278">
            <w:pPr>
              <w:shd w:val="clear" w:color="auto" w:fill="FFFFFF" w:themeFill="background1"/>
              <w:rPr>
                <w:rFonts w:ascii="Arial" w:hAnsi="Arial"/>
                <w:sz w:val="22"/>
              </w:rPr>
            </w:pPr>
            <w:r w:rsidRPr="00BB04A6">
              <w:rPr>
                <w:rFonts w:ascii="Arial" w:hAnsi="Arial"/>
                <w:sz w:val="22"/>
              </w:rPr>
              <w:t>A&amp;E</w:t>
            </w:r>
          </w:p>
        </w:tc>
        <w:tc>
          <w:tcPr>
            <w:tcW w:w="1120" w:type="dxa"/>
            <w:tcBorders>
              <w:top w:val="nil"/>
              <w:left w:val="nil"/>
              <w:bottom w:val="single" w:sz="8" w:space="0" w:color="auto"/>
              <w:right w:val="single" w:sz="8" w:space="0" w:color="auto"/>
            </w:tcBorders>
            <w:shd w:val="clear" w:color="auto" w:fill="auto"/>
            <w:vAlign w:val="center"/>
            <w:hideMark/>
          </w:tcPr>
          <w:p w14:paraId="66319F20" w14:textId="77777777" w:rsidR="006E1D36" w:rsidRPr="00BB04A6" w:rsidRDefault="006E1D36" w:rsidP="00FB6278">
            <w:pPr>
              <w:shd w:val="clear" w:color="auto" w:fill="FFFFFF" w:themeFill="background1"/>
              <w:jc w:val="center"/>
              <w:rPr>
                <w:rFonts w:ascii="Arial" w:hAnsi="Arial"/>
                <w:sz w:val="22"/>
              </w:rPr>
            </w:pPr>
            <w:r w:rsidRPr="00BB04A6">
              <w:rPr>
                <w:rFonts w:ascii="Arial" w:hAnsi="Arial"/>
                <w:sz w:val="22"/>
              </w:rPr>
              <w:t>95,523</w:t>
            </w:r>
          </w:p>
        </w:tc>
        <w:tc>
          <w:tcPr>
            <w:tcW w:w="1140" w:type="dxa"/>
            <w:tcBorders>
              <w:top w:val="nil"/>
              <w:left w:val="nil"/>
              <w:bottom w:val="single" w:sz="8" w:space="0" w:color="auto"/>
              <w:right w:val="single" w:sz="8" w:space="0" w:color="auto"/>
            </w:tcBorders>
            <w:shd w:val="clear" w:color="auto" w:fill="auto"/>
            <w:vAlign w:val="center"/>
            <w:hideMark/>
          </w:tcPr>
          <w:p w14:paraId="18B26C37" w14:textId="77777777" w:rsidR="006E1D36" w:rsidRPr="00BB04A6" w:rsidRDefault="006E1D36" w:rsidP="00FB6278">
            <w:pPr>
              <w:shd w:val="clear" w:color="auto" w:fill="FFFFFF" w:themeFill="background1"/>
              <w:jc w:val="center"/>
              <w:rPr>
                <w:rFonts w:ascii="Arial" w:hAnsi="Arial"/>
                <w:sz w:val="22"/>
              </w:rPr>
            </w:pPr>
            <w:r w:rsidRPr="00BB04A6">
              <w:rPr>
                <w:rFonts w:ascii="Arial" w:hAnsi="Arial"/>
                <w:sz w:val="22"/>
              </w:rPr>
              <w:t>61,173</w:t>
            </w:r>
          </w:p>
        </w:tc>
        <w:tc>
          <w:tcPr>
            <w:tcW w:w="1109" w:type="dxa"/>
            <w:tcBorders>
              <w:top w:val="nil"/>
              <w:left w:val="nil"/>
              <w:bottom w:val="single" w:sz="8" w:space="0" w:color="auto"/>
              <w:right w:val="single" w:sz="8" w:space="0" w:color="auto"/>
            </w:tcBorders>
            <w:shd w:val="clear" w:color="auto" w:fill="auto"/>
            <w:vAlign w:val="center"/>
          </w:tcPr>
          <w:p w14:paraId="0FEE2870" w14:textId="77777777" w:rsidR="006E1D36" w:rsidRPr="00BB04A6" w:rsidRDefault="006E1D36" w:rsidP="00FB6278">
            <w:pPr>
              <w:shd w:val="clear" w:color="auto" w:fill="FFFFFF" w:themeFill="background1"/>
              <w:jc w:val="center"/>
              <w:rPr>
                <w:rFonts w:ascii="Arial" w:hAnsi="Arial"/>
                <w:sz w:val="22"/>
              </w:rPr>
            </w:pPr>
            <w:r w:rsidRPr="00BB04A6">
              <w:rPr>
                <w:rFonts w:ascii="Arial" w:hAnsi="Arial"/>
                <w:sz w:val="22"/>
              </w:rPr>
              <w:t>61,404</w:t>
            </w:r>
          </w:p>
        </w:tc>
      </w:tr>
      <w:tr w:rsidR="006E1D36" w:rsidRPr="00B33DCD" w14:paraId="625F3E52" w14:textId="77777777" w:rsidTr="006E1D36">
        <w:trPr>
          <w:trHeight w:val="315"/>
        </w:trPr>
        <w:tc>
          <w:tcPr>
            <w:tcW w:w="3460" w:type="dxa"/>
            <w:tcBorders>
              <w:top w:val="nil"/>
              <w:left w:val="single" w:sz="8" w:space="0" w:color="auto"/>
              <w:bottom w:val="single" w:sz="8" w:space="0" w:color="auto"/>
              <w:right w:val="single" w:sz="8" w:space="0" w:color="auto"/>
            </w:tcBorders>
            <w:shd w:val="clear" w:color="auto" w:fill="auto"/>
            <w:noWrap/>
            <w:vAlign w:val="center"/>
            <w:hideMark/>
          </w:tcPr>
          <w:p w14:paraId="0642E811" w14:textId="77777777" w:rsidR="006E1D36" w:rsidRPr="00BB04A6" w:rsidRDefault="006E1D36" w:rsidP="00FB6278">
            <w:pPr>
              <w:shd w:val="clear" w:color="auto" w:fill="FFFFFF" w:themeFill="background1"/>
              <w:rPr>
                <w:rFonts w:ascii="Arial" w:hAnsi="Arial"/>
                <w:sz w:val="22"/>
              </w:rPr>
            </w:pPr>
            <w:r w:rsidRPr="00BB04A6">
              <w:rPr>
                <w:rFonts w:ascii="Arial" w:hAnsi="Arial"/>
                <w:sz w:val="22"/>
              </w:rPr>
              <w:t>Inpatient day case</w:t>
            </w:r>
          </w:p>
        </w:tc>
        <w:tc>
          <w:tcPr>
            <w:tcW w:w="1120" w:type="dxa"/>
            <w:tcBorders>
              <w:top w:val="nil"/>
              <w:left w:val="nil"/>
              <w:bottom w:val="single" w:sz="8" w:space="0" w:color="auto"/>
              <w:right w:val="single" w:sz="8" w:space="0" w:color="auto"/>
            </w:tcBorders>
            <w:shd w:val="clear" w:color="auto" w:fill="auto"/>
            <w:noWrap/>
            <w:vAlign w:val="center"/>
            <w:hideMark/>
          </w:tcPr>
          <w:p w14:paraId="4FCD894D" w14:textId="77777777" w:rsidR="006E1D36" w:rsidRPr="00BB04A6" w:rsidRDefault="006E1D36" w:rsidP="00FB6278">
            <w:pPr>
              <w:shd w:val="clear" w:color="auto" w:fill="FFFFFF" w:themeFill="background1"/>
              <w:jc w:val="center"/>
              <w:rPr>
                <w:rFonts w:ascii="Arial" w:hAnsi="Arial"/>
                <w:sz w:val="22"/>
              </w:rPr>
            </w:pPr>
            <w:r w:rsidRPr="00BB04A6">
              <w:rPr>
                <w:rFonts w:ascii="Arial" w:hAnsi="Arial"/>
                <w:sz w:val="22"/>
              </w:rPr>
              <w:t>40,383</w:t>
            </w:r>
          </w:p>
        </w:tc>
        <w:tc>
          <w:tcPr>
            <w:tcW w:w="1140" w:type="dxa"/>
            <w:tcBorders>
              <w:top w:val="nil"/>
              <w:left w:val="nil"/>
              <w:bottom w:val="single" w:sz="8" w:space="0" w:color="auto"/>
              <w:right w:val="single" w:sz="8" w:space="0" w:color="auto"/>
            </w:tcBorders>
            <w:shd w:val="clear" w:color="auto" w:fill="auto"/>
            <w:vAlign w:val="center"/>
            <w:hideMark/>
          </w:tcPr>
          <w:p w14:paraId="1B19207F" w14:textId="77777777" w:rsidR="006E1D36" w:rsidRPr="00BB04A6" w:rsidRDefault="006E1D36" w:rsidP="00FB6278">
            <w:pPr>
              <w:shd w:val="clear" w:color="auto" w:fill="FFFFFF" w:themeFill="background1"/>
              <w:jc w:val="center"/>
              <w:rPr>
                <w:rFonts w:ascii="Arial" w:hAnsi="Arial"/>
                <w:sz w:val="22"/>
              </w:rPr>
            </w:pPr>
            <w:r w:rsidRPr="00BB04A6">
              <w:rPr>
                <w:rFonts w:ascii="Arial" w:hAnsi="Arial"/>
                <w:sz w:val="22"/>
              </w:rPr>
              <w:t>15,999</w:t>
            </w:r>
          </w:p>
        </w:tc>
        <w:tc>
          <w:tcPr>
            <w:tcW w:w="1109" w:type="dxa"/>
            <w:tcBorders>
              <w:top w:val="nil"/>
              <w:left w:val="nil"/>
              <w:bottom w:val="single" w:sz="8" w:space="0" w:color="auto"/>
              <w:right w:val="single" w:sz="8" w:space="0" w:color="auto"/>
            </w:tcBorders>
            <w:shd w:val="clear" w:color="auto" w:fill="auto"/>
            <w:vAlign w:val="center"/>
          </w:tcPr>
          <w:p w14:paraId="2E007397" w14:textId="77777777" w:rsidR="006E1D36" w:rsidRPr="00BB04A6" w:rsidRDefault="006E1D36" w:rsidP="00FB6278">
            <w:pPr>
              <w:shd w:val="clear" w:color="auto" w:fill="FFFFFF" w:themeFill="background1"/>
              <w:jc w:val="center"/>
              <w:rPr>
                <w:rFonts w:ascii="Arial" w:hAnsi="Arial"/>
                <w:sz w:val="22"/>
              </w:rPr>
            </w:pPr>
            <w:r w:rsidRPr="00BB04A6">
              <w:rPr>
                <w:rFonts w:ascii="Arial" w:hAnsi="Arial"/>
                <w:sz w:val="22"/>
              </w:rPr>
              <w:t>31,272</w:t>
            </w:r>
          </w:p>
        </w:tc>
      </w:tr>
      <w:tr w:rsidR="006E1D36" w:rsidRPr="00B33DCD" w14:paraId="02CCC782" w14:textId="77777777" w:rsidTr="006E1D36">
        <w:trPr>
          <w:trHeight w:val="315"/>
        </w:trPr>
        <w:tc>
          <w:tcPr>
            <w:tcW w:w="3460" w:type="dxa"/>
            <w:tcBorders>
              <w:top w:val="nil"/>
              <w:left w:val="single" w:sz="8" w:space="0" w:color="auto"/>
              <w:bottom w:val="single" w:sz="8" w:space="0" w:color="auto"/>
              <w:right w:val="single" w:sz="8" w:space="0" w:color="auto"/>
            </w:tcBorders>
            <w:shd w:val="clear" w:color="auto" w:fill="auto"/>
            <w:noWrap/>
            <w:vAlign w:val="center"/>
            <w:hideMark/>
          </w:tcPr>
          <w:p w14:paraId="7AE6C127" w14:textId="77777777" w:rsidR="006E1D36" w:rsidRPr="00BB04A6" w:rsidRDefault="006E1D36" w:rsidP="00FB6278">
            <w:pPr>
              <w:shd w:val="clear" w:color="auto" w:fill="FFFFFF" w:themeFill="background1"/>
              <w:rPr>
                <w:rFonts w:ascii="Arial" w:hAnsi="Arial"/>
                <w:sz w:val="22"/>
              </w:rPr>
            </w:pPr>
            <w:r w:rsidRPr="00BB04A6">
              <w:rPr>
                <w:rFonts w:ascii="Arial" w:hAnsi="Arial"/>
                <w:sz w:val="22"/>
              </w:rPr>
              <w:t>Inpatient elective (planned)</w:t>
            </w:r>
          </w:p>
        </w:tc>
        <w:tc>
          <w:tcPr>
            <w:tcW w:w="1120" w:type="dxa"/>
            <w:tcBorders>
              <w:top w:val="nil"/>
              <w:left w:val="nil"/>
              <w:bottom w:val="single" w:sz="8" w:space="0" w:color="auto"/>
              <w:right w:val="single" w:sz="8" w:space="0" w:color="auto"/>
            </w:tcBorders>
            <w:shd w:val="clear" w:color="auto" w:fill="auto"/>
            <w:noWrap/>
            <w:vAlign w:val="center"/>
            <w:hideMark/>
          </w:tcPr>
          <w:p w14:paraId="018CEE8E" w14:textId="77777777" w:rsidR="006E1D36" w:rsidRPr="00BB04A6" w:rsidRDefault="006E1D36" w:rsidP="00FB6278">
            <w:pPr>
              <w:shd w:val="clear" w:color="auto" w:fill="FFFFFF" w:themeFill="background1"/>
              <w:jc w:val="center"/>
              <w:rPr>
                <w:rFonts w:ascii="Arial" w:hAnsi="Arial"/>
                <w:sz w:val="22"/>
              </w:rPr>
            </w:pPr>
            <w:r w:rsidRPr="00BB04A6">
              <w:rPr>
                <w:rFonts w:ascii="Arial" w:hAnsi="Arial"/>
                <w:sz w:val="22"/>
              </w:rPr>
              <w:t>1,582</w:t>
            </w:r>
          </w:p>
        </w:tc>
        <w:tc>
          <w:tcPr>
            <w:tcW w:w="1140" w:type="dxa"/>
            <w:tcBorders>
              <w:top w:val="nil"/>
              <w:left w:val="nil"/>
              <w:bottom w:val="single" w:sz="8" w:space="0" w:color="auto"/>
              <w:right w:val="single" w:sz="8" w:space="0" w:color="auto"/>
            </w:tcBorders>
            <w:shd w:val="clear" w:color="auto" w:fill="auto"/>
            <w:vAlign w:val="center"/>
            <w:hideMark/>
          </w:tcPr>
          <w:p w14:paraId="16A87AF4" w14:textId="77777777" w:rsidR="006E1D36" w:rsidRPr="00BB04A6" w:rsidRDefault="006E1D36" w:rsidP="00FB6278">
            <w:pPr>
              <w:shd w:val="clear" w:color="auto" w:fill="FFFFFF" w:themeFill="background1"/>
              <w:jc w:val="center"/>
              <w:rPr>
                <w:rFonts w:ascii="Arial" w:hAnsi="Arial"/>
                <w:sz w:val="22"/>
              </w:rPr>
            </w:pPr>
            <w:r w:rsidRPr="00BB04A6">
              <w:rPr>
                <w:rFonts w:ascii="Arial" w:hAnsi="Arial"/>
                <w:sz w:val="22"/>
              </w:rPr>
              <w:t>704</w:t>
            </w:r>
          </w:p>
        </w:tc>
        <w:tc>
          <w:tcPr>
            <w:tcW w:w="1109" w:type="dxa"/>
            <w:tcBorders>
              <w:top w:val="nil"/>
              <w:left w:val="nil"/>
              <w:bottom w:val="single" w:sz="8" w:space="0" w:color="auto"/>
              <w:right w:val="single" w:sz="8" w:space="0" w:color="auto"/>
            </w:tcBorders>
            <w:shd w:val="clear" w:color="auto" w:fill="auto"/>
            <w:vAlign w:val="center"/>
          </w:tcPr>
          <w:p w14:paraId="5881B36A" w14:textId="77777777" w:rsidR="006E1D36" w:rsidRPr="00BB04A6" w:rsidRDefault="006E1D36" w:rsidP="00FB6278">
            <w:pPr>
              <w:shd w:val="clear" w:color="auto" w:fill="FFFFFF" w:themeFill="background1"/>
              <w:jc w:val="center"/>
              <w:rPr>
                <w:rFonts w:ascii="Arial" w:hAnsi="Arial"/>
                <w:sz w:val="22"/>
              </w:rPr>
            </w:pPr>
            <w:r w:rsidRPr="00BB04A6">
              <w:rPr>
                <w:rFonts w:ascii="Arial" w:hAnsi="Arial"/>
                <w:sz w:val="22"/>
              </w:rPr>
              <w:t>856</w:t>
            </w:r>
          </w:p>
        </w:tc>
      </w:tr>
      <w:tr w:rsidR="006E1D36" w:rsidRPr="00B33DCD" w14:paraId="1A04A29D" w14:textId="77777777" w:rsidTr="006E1D36">
        <w:trPr>
          <w:trHeight w:val="315"/>
        </w:trPr>
        <w:tc>
          <w:tcPr>
            <w:tcW w:w="3460" w:type="dxa"/>
            <w:tcBorders>
              <w:top w:val="nil"/>
              <w:left w:val="single" w:sz="8" w:space="0" w:color="auto"/>
              <w:bottom w:val="single" w:sz="8" w:space="0" w:color="auto"/>
              <w:right w:val="single" w:sz="8" w:space="0" w:color="auto"/>
            </w:tcBorders>
            <w:shd w:val="clear" w:color="auto" w:fill="auto"/>
            <w:noWrap/>
            <w:vAlign w:val="center"/>
            <w:hideMark/>
          </w:tcPr>
          <w:p w14:paraId="050E87DE" w14:textId="77777777" w:rsidR="006E1D36" w:rsidRPr="00BB04A6" w:rsidRDefault="006E1D36" w:rsidP="00FB6278">
            <w:pPr>
              <w:shd w:val="clear" w:color="auto" w:fill="FFFFFF" w:themeFill="background1"/>
              <w:rPr>
                <w:rFonts w:ascii="Arial" w:hAnsi="Arial"/>
                <w:sz w:val="22"/>
              </w:rPr>
            </w:pPr>
            <w:r w:rsidRPr="00BB04A6">
              <w:rPr>
                <w:rFonts w:ascii="Arial" w:hAnsi="Arial"/>
                <w:sz w:val="22"/>
              </w:rPr>
              <w:t>Inpatient non-elective (unplanned)</w:t>
            </w:r>
          </w:p>
        </w:tc>
        <w:tc>
          <w:tcPr>
            <w:tcW w:w="1120" w:type="dxa"/>
            <w:tcBorders>
              <w:top w:val="nil"/>
              <w:left w:val="nil"/>
              <w:bottom w:val="single" w:sz="8" w:space="0" w:color="auto"/>
              <w:right w:val="single" w:sz="8" w:space="0" w:color="auto"/>
            </w:tcBorders>
            <w:shd w:val="clear" w:color="auto" w:fill="auto"/>
            <w:noWrap/>
            <w:vAlign w:val="center"/>
            <w:hideMark/>
          </w:tcPr>
          <w:p w14:paraId="197F07A0" w14:textId="77777777" w:rsidR="006E1D36" w:rsidRPr="00BB04A6" w:rsidRDefault="006E1D36" w:rsidP="00FB6278">
            <w:pPr>
              <w:shd w:val="clear" w:color="auto" w:fill="FFFFFF" w:themeFill="background1"/>
              <w:jc w:val="center"/>
              <w:rPr>
                <w:rFonts w:ascii="Arial" w:hAnsi="Arial"/>
                <w:sz w:val="22"/>
              </w:rPr>
            </w:pPr>
            <w:r w:rsidRPr="00BB04A6">
              <w:rPr>
                <w:rFonts w:ascii="Arial" w:hAnsi="Arial"/>
                <w:sz w:val="22"/>
              </w:rPr>
              <w:t>2,957</w:t>
            </w:r>
          </w:p>
        </w:tc>
        <w:tc>
          <w:tcPr>
            <w:tcW w:w="1140" w:type="dxa"/>
            <w:tcBorders>
              <w:top w:val="nil"/>
              <w:left w:val="nil"/>
              <w:bottom w:val="single" w:sz="8" w:space="0" w:color="auto"/>
              <w:right w:val="single" w:sz="8" w:space="0" w:color="auto"/>
            </w:tcBorders>
            <w:shd w:val="clear" w:color="auto" w:fill="auto"/>
            <w:vAlign w:val="center"/>
            <w:hideMark/>
          </w:tcPr>
          <w:p w14:paraId="39544388" w14:textId="77777777" w:rsidR="006E1D36" w:rsidRPr="00BB04A6" w:rsidRDefault="006E1D36" w:rsidP="00FB6278">
            <w:pPr>
              <w:shd w:val="clear" w:color="auto" w:fill="FFFFFF" w:themeFill="background1"/>
              <w:jc w:val="center"/>
              <w:rPr>
                <w:rFonts w:ascii="Arial" w:hAnsi="Arial"/>
                <w:sz w:val="22"/>
              </w:rPr>
            </w:pPr>
            <w:r w:rsidRPr="00BB04A6">
              <w:rPr>
                <w:rFonts w:ascii="Arial" w:hAnsi="Arial"/>
                <w:sz w:val="22"/>
              </w:rPr>
              <w:t>1,244</w:t>
            </w:r>
          </w:p>
        </w:tc>
        <w:tc>
          <w:tcPr>
            <w:tcW w:w="1109" w:type="dxa"/>
            <w:tcBorders>
              <w:top w:val="nil"/>
              <w:left w:val="nil"/>
              <w:bottom w:val="single" w:sz="8" w:space="0" w:color="auto"/>
              <w:right w:val="single" w:sz="8" w:space="0" w:color="auto"/>
            </w:tcBorders>
            <w:shd w:val="clear" w:color="auto" w:fill="auto"/>
            <w:vAlign w:val="center"/>
          </w:tcPr>
          <w:p w14:paraId="70AF8EC2" w14:textId="77777777" w:rsidR="006E1D36" w:rsidRPr="00BB04A6" w:rsidRDefault="006E1D36" w:rsidP="00FB6278">
            <w:pPr>
              <w:shd w:val="clear" w:color="auto" w:fill="FFFFFF" w:themeFill="background1"/>
              <w:jc w:val="center"/>
              <w:rPr>
                <w:rFonts w:ascii="Arial" w:hAnsi="Arial"/>
                <w:sz w:val="22"/>
              </w:rPr>
            </w:pPr>
            <w:r w:rsidRPr="00BB04A6">
              <w:rPr>
                <w:rFonts w:ascii="Arial" w:hAnsi="Arial"/>
                <w:sz w:val="22"/>
              </w:rPr>
              <w:t>2,089</w:t>
            </w:r>
          </w:p>
        </w:tc>
      </w:tr>
      <w:tr w:rsidR="006E1D36" w:rsidRPr="00B33DCD" w14:paraId="58B66968" w14:textId="77777777" w:rsidTr="006E1D36">
        <w:trPr>
          <w:trHeight w:val="315"/>
        </w:trPr>
        <w:tc>
          <w:tcPr>
            <w:tcW w:w="3460" w:type="dxa"/>
            <w:tcBorders>
              <w:top w:val="nil"/>
              <w:left w:val="single" w:sz="8" w:space="0" w:color="auto"/>
              <w:bottom w:val="single" w:sz="8" w:space="0" w:color="auto"/>
              <w:right w:val="single" w:sz="8" w:space="0" w:color="auto"/>
            </w:tcBorders>
            <w:shd w:val="clear" w:color="auto" w:fill="auto"/>
            <w:noWrap/>
            <w:vAlign w:val="center"/>
            <w:hideMark/>
          </w:tcPr>
          <w:p w14:paraId="3EDF1782" w14:textId="77777777" w:rsidR="006E1D36" w:rsidRPr="00BB04A6" w:rsidRDefault="006E1D36" w:rsidP="00FB6278">
            <w:pPr>
              <w:shd w:val="clear" w:color="auto" w:fill="FFFFFF" w:themeFill="background1"/>
              <w:rPr>
                <w:rFonts w:ascii="Arial" w:hAnsi="Arial"/>
                <w:sz w:val="22"/>
              </w:rPr>
            </w:pPr>
            <w:r w:rsidRPr="00BB04A6">
              <w:rPr>
                <w:rFonts w:ascii="Arial" w:hAnsi="Arial"/>
                <w:sz w:val="22"/>
              </w:rPr>
              <w:t>Outpatient</w:t>
            </w:r>
          </w:p>
        </w:tc>
        <w:tc>
          <w:tcPr>
            <w:tcW w:w="1120" w:type="dxa"/>
            <w:tcBorders>
              <w:top w:val="nil"/>
              <w:left w:val="nil"/>
              <w:bottom w:val="single" w:sz="8" w:space="0" w:color="auto"/>
              <w:right w:val="single" w:sz="8" w:space="0" w:color="auto"/>
            </w:tcBorders>
            <w:shd w:val="clear" w:color="auto" w:fill="auto"/>
            <w:noWrap/>
            <w:vAlign w:val="center"/>
            <w:hideMark/>
          </w:tcPr>
          <w:p w14:paraId="0F95B218" w14:textId="77777777" w:rsidR="006E1D36" w:rsidRPr="00BB04A6" w:rsidRDefault="006E1D36" w:rsidP="00FB6278">
            <w:pPr>
              <w:shd w:val="clear" w:color="auto" w:fill="FFFFFF" w:themeFill="background1"/>
              <w:jc w:val="center"/>
              <w:rPr>
                <w:rFonts w:ascii="Arial" w:hAnsi="Arial"/>
                <w:sz w:val="22"/>
              </w:rPr>
            </w:pPr>
            <w:r w:rsidRPr="00BB04A6">
              <w:rPr>
                <w:rFonts w:ascii="Arial" w:hAnsi="Arial"/>
                <w:sz w:val="22"/>
              </w:rPr>
              <w:t>643,343</w:t>
            </w:r>
          </w:p>
        </w:tc>
        <w:tc>
          <w:tcPr>
            <w:tcW w:w="1140" w:type="dxa"/>
            <w:tcBorders>
              <w:top w:val="nil"/>
              <w:left w:val="nil"/>
              <w:bottom w:val="single" w:sz="8" w:space="0" w:color="auto"/>
              <w:right w:val="single" w:sz="8" w:space="0" w:color="auto"/>
            </w:tcBorders>
            <w:shd w:val="clear" w:color="auto" w:fill="auto"/>
            <w:vAlign w:val="center"/>
            <w:hideMark/>
          </w:tcPr>
          <w:p w14:paraId="7CDDEA5A" w14:textId="77777777" w:rsidR="006E1D36" w:rsidRPr="00BB04A6" w:rsidRDefault="006E1D36" w:rsidP="00FB6278">
            <w:pPr>
              <w:shd w:val="clear" w:color="auto" w:fill="FFFFFF" w:themeFill="background1"/>
              <w:jc w:val="center"/>
              <w:rPr>
                <w:rFonts w:ascii="Arial" w:hAnsi="Arial"/>
                <w:sz w:val="22"/>
              </w:rPr>
            </w:pPr>
            <w:r w:rsidRPr="00BB04A6">
              <w:rPr>
                <w:rFonts w:ascii="Arial" w:hAnsi="Arial"/>
                <w:sz w:val="22"/>
              </w:rPr>
              <w:t>340,180</w:t>
            </w:r>
          </w:p>
        </w:tc>
        <w:tc>
          <w:tcPr>
            <w:tcW w:w="1109" w:type="dxa"/>
            <w:tcBorders>
              <w:top w:val="nil"/>
              <w:left w:val="nil"/>
              <w:bottom w:val="single" w:sz="8" w:space="0" w:color="auto"/>
              <w:right w:val="single" w:sz="8" w:space="0" w:color="auto"/>
            </w:tcBorders>
            <w:shd w:val="clear" w:color="auto" w:fill="auto"/>
            <w:vAlign w:val="center"/>
          </w:tcPr>
          <w:p w14:paraId="68748244" w14:textId="77777777" w:rsidR="006E1D36" w:rsidRPr="00BB04A6" w:rsidRDefault="006E1D36" w:rsidP="00FB6278">
            <w:pPr>
              <w:shd w:val="clear" w:color="auto" w:fill="FFFFFF" w:themeFill="background1"/>
              <w:jc w:val="center"/>
              <w:rPr>
                <w:rFonts w:ascii="Arial" w:hAnsi="Arial"/>
                <w:sz w:val="22"/>
              </w:rPr>
            </w:pPr>
            <w:r w:rsidRPr="00BB04A6">
              <w:rPr>
                <w:rFonts w:ascii="Arial" w:hAnsi="Arial"/>
                <w:sz w:val="22"/>
              </w:rPr>
              <w:t>567,553</w:t>
            </w:r>
          </w:p>
        </w:tc>
      </w:tr>
      <w:tr w:rsidR="006E1D36" w:rsidRPr="00B33DCD" w14:paraId="5E7213A8" w14:textId="77777777" w:rsidTr="006E1D36">
        <w:trPr>
          <w:trHeight w:val="315"/>
        </w:trPr>
        <w:tc>
          <w:tcPr>
            <w:tcW w:w="3460" w:type="dxa"/>
            <w:tcBorders>
              <w:top w:val="nil"/>
              <w:left w:val="single" w:sz="8" w:space="0" w:color="auto"/>
              <w:bottom w:val="single" w:sz="8" w:space="0" w:color="auto"/>
              <w:right w:val="single" w:sz="8" w:space="0" w:color="auto"/>
            </w:tcBorders>
            <w:shd w:val="clear" w:color="auto" w:fill="auto"/>
            <w:noWrap/>
            <w:vAlign w:val="center"/>
            <w:hideMark/>
          </w:tcPr>
          <w:p w14:paraId="68F69A8A" w14:textId="77777777" w:rsidR="006E1D36" w:rsidRPr="00BB04A6" w:rsidRDefault="006E1D36" w:rsidP="00FB6278">
            <w:pPr>
              <w:shd w:val="clear" w:color="auto" w:fill="FFFFFF" w:themeFill="background1"/>
              <w:rPr>
                <w:rFonts w:ascii="Arial" w:hAnsi="Arial"/>
                <w:b/>
                <w:sz w:val="22"/>
              </w:rPr>
            </w:pPr>
            <w:r w:rsidRPr="00BB04A6">
              <w:rPr>
                <w:rFonts w:ascii="Arial" w:hAnsi="Arial"/>
                <w:b/>
                <w:sz w:val="22"/>
              </w:rPr>
              <w:t>Grand total</w:t>
            </w:r>
          </w:p>
        </w:tc>
        <w:tc>
          <w:tcPr>
            <w:tcW w:w="1120" w:type="dxa"/>
            <w:tcBorders>
              <w:top w:val="nil"/>
              <w:left w:val="nil"/>
              <w:bottom w:val="single" w:sz="8" w:space="0" w:color="auto"/>
              <w:right w:val="single" w:sz="8" w:space="0" w:color="auto"/>
            </w:tcBorders>
            <w:shd w:val="clear" w:color="auto" w:fill="auto"/>
            <w:noWrap/>
            <w:vAlign w:val="center"/>
            <w:hideMark/>
          </w:tcPr>
          <w:p w14:paraId="57937F37" w14:textId="77777777" w:rsidR="006E1D36" w:rsidRPr="00BB04A6" w:rsidRDefault="006E1D36" w:rsidP="00FB6278">
            <w:pPr>
              <w:shd w:val="clear" w:color="auto" w:fill="FFFFFF" w:themeFill="background1"/>
              <w:jc w:val="center"/>
              <w:rPr>
                <w:rFonts w:ascii="Arial" w:hAnsi="Arial"/>
                <w:sz w:val="22"/>
              </w:rPr>
            </w:pPr>
            <w:r w:rsidRPr="00BB04A6">
              <w:rPr>
                <w:rFonts w:ascii="Arial" w:hAnsi="Arial"/>
                <w:sz w:val="22"/>
              </w:rPr>
              <w:t>783,788</w:t>
            </w:r>
          </w:p>
        </w:tc>
        <w:tc>
          <w:tcPr>
            <w:tcW w:w="1140" w:type="dxa"/>
            <w:tcBorders>
              <w:top w:val="nil"/>
              <w:left w:val="nil"/>
              <w:bottom w:val="single" w:sz="8" w:space="0" w:color="auto"/>
              <w:right w:val="single" w:sz="8" w:space="0" w:color="auto"/>
            </w:tcBorders>
            <w:shd w:val="clear" w:color="auto" w:fill="auto"/>
            <w:vAlign w:val="center"/>
            <w:hideMark/>
          </w:tcPr>
          <w:p w14:paraId="50844E13" w14:textId="77777777" w:rsidR="006E1D36" w:rsidRPr="00BB04A6" w:rsidRDefault="006E1D36" w:rsidP="00FB6278">
            <w:pPr>
              <w:shd w:val="clear" w:color="auto" w:fill="FFFFFF" w:themeFill="background1"/>
              <w:jc w:val="center"/>
              <w:rPr>
                <w:rFonts w:ascii="Arial" w:hAnsi="Arial"/>
                <w:sz w:val="22"/>
              </w:rPr>
            </w:pPr>
            <w:r w:rsidRPr="00BB04A6">
              <w:rPr>
                <w:rFonts w:ascii="Arial" w:hAnsi="Arial"/>
                <w:sz w:val="22"/>
              </w:rPr>
              <w:t>419,300</w:t>
            </w:r>
          </w:p>
        </w:tc>
        <w:tc>
          <w:tcPr>
            <w:tcW w:w="1109" w:type="dxa"/>
            <w:tcBorders>
              <w:top w:val="nil"/>
              <w:left w:val="nil"/>
              <w:bottom w:val="single" w:sz="8" w:space="0" w:color="auto"/>
              <w:right w:val="single" w:sz="8" w:space="0" w:color="auto"/>
            </w:tcBorders>
            <w:shd w:val="clear" w:color="auto" w:fill="auto"/>
            <w:vAlign w:val="center"/>
          </w:tcPr>
          <w:p w14:paraId="7EB41AB8" w14:textId="77777777" w:rsidR="006E1D36" w:rsidRPr="00BB04A6" w:rsidRDefault="006E1D36" w:rsidP="00FB6278">
            <w:pPr>
              <w:shd w:val="clear" w:color="auto" w:fill="FFFFFF" w:themeFill="background1"/>
              <w:jc w:val="center"/>
              <w:rPr>
                <w:rFonts w:ascii="Arial" w:hAnsi="Arial"/>
                <w:sz w:val="22"/>
              </w:rPr>
            </w:pPr>
            <w:r w:rsidRPr="00BB04A6">
              <w:rPr>
                <w:rFonts w:ascii="Arial" w:hAnsi="Arial"/>
                <w:sz w:val="22"/>
              </w:rPr>
              <w:t>663,174</w:t>
            </w:r>
          </w:p>
        </w:tc>
      </w:tr>
    </w:tbl>
    <w:p w14:paraId="48FBACC7" w14:textId="5A5F8CBD" w:rsidR="00870E53" w:rsidRDefault="00870E53" w:rsidP="00FB6278">
      <w:pPr>
        <w:pStyle w:val="MEHBoldheading1"/>
        <w:ind w:left="-567" w:right="-613"/>
        <w:jc w:val="both"/>
        <w:rPr>
          <w:b w:val="0"/>
          <w:sz w:val="22"/>
        </w:rPr>
      </w:pPr>
    </w:p>
    <w:p w14:paraId="1EA727BF" w14:textId="5597246F" w:rsidR="00870E53" w:rsidRDefault="00870E53" w:rsidP="00FB6278">
      <w:pPr>
        <w:pStyle w:val="MEHBoldheading1"/>
        <w:ind w:left="-567" w:right="-613"/>
        <w:jc w:val="both"/>
        <w:rPr>
          <w:b w:val="0"/>
          <w:sz w:val="22"/>
        </w:rPr>
      </w:pPr>
    </w:p>
    <w:p w14:paraId="225DAA9D" w14:textId="5480779B" w:rsidR="00870E53" w:rsidRDefault="00870E53" w:rsidP="00FB6278">
      <w:pPr>
        <w:pStyle w:val="MEHBoldheading1"/>
        <w:ind w:left="-567" w:right="-613"/>
        <w:jc w:val="both"/>
        <w:rPr>
          <w:b w:val="0"/>
          <w:sz w:val="22"/>
        </w:rPr>
      </w:pPr>
    </w:p>
    <w:p w14:paraId="77B9F192" w14:textId="77777777" w:rsidR="000A6436" w:rsidRDefault="000A6436" w:rsidP="00FB6278">
      <w:pPr>
        <w:shd w:val="clear" w:color="auto" w:fill="FFFFFF" w:themeFill="background1"/>
        <w:ind w:right="-613"/>
        <w:jc w:val="both"/>
        <w:rPr>
          <w:rFonts w:ascii="Arial" w:hAnsi="Arial"/>
          <w:sz w:val="22"/>
        </w:rPr>
      </w:pPr>
    </w:p>
    <w:p w14:paraId="495D2FA7" w14:textId="77777777" w:rsidR="000A6436" w:rsidRDefault="000A6436" w:rsidP="00FB6278">
      <w:pPr>
        <w:shd w:val="clear" w:color="auto" w:fill="FFFFFF" w:themeFill="background1"/>
        <w:ind w:right="-613"/>
        <w:jc w:val="both"/>
        <w:rPr>
          <w:rFonts w:ascii="Arial" w:hAnsi="Arial"/>
          <w:sz w:val="22"/>
        </w:rPr>
      </w:pPr>
    </w:p>
    <w:p w14:paraId="0EB48C9F" w14:textId="77777777" w:rsidR="00BF493F" w:rsidRDefault="00BF493F" w:rsidP="00FB6278">
      <w:pPr>
        <w:shd w:val="clear" w:color="auto" w:fill="FFFFFF" w:themeFill="background1"/>
        <w:ind w:left="-567" w:right="-613"/>
        <w:jc w:val="both"/>
        <w:rPr>
          <w:rFonts w:ascii="Arial" w:hAnsi="Arial"/>
          <w:sz w:val="22"/>
        </w:rPr>
      </w:pPr>
    </w:p>
    <w:p w14:paraId="2F9F8008" w14:textId="77777777" w:rsidR="00BF493F" w:rsidRDefault="00BF493F" w:rsidP="00FB6278">
      <w:pPr>
        <w:shd w:val="clear" w:color="auto" w:fill="FFFFFF" w:themeFill="background1"/>
        <w:ind w:left="-567" w:right="-613"/>
        <w:jc w:val="both"/>
        <w:rPr>
          <w:rFonts w:ascii="Arial" w:hAnsi="Arial"/>
          <w:sz w:val="22"/>
        </w:rPr>
      </w:pPr>
    </w:p>
    <w:p w14:paraId="270FD7DE" w14:textId="77777777" w:rsidR="00BF493F" w:rsidRDefault="00BF493F" w:rsidP="00FB6278">
      <w:pPr>
        <w:shd w:val="clear" w:color="auto" w:fill="FFFFFF" w:themeFill="background1"/>
        <w:ind w:left="-567" w:right="-613"/>
        <w:jc w:val="both"/>
        <w:rPr>
          <w:rFonts w:ascii="Arial" w:hAnsi="Arial"/>
          <w:sz w:val="22"/>
        </w:rPr>
      </w:pPr>
    </w:p>
    <w:p w14:paraId="16E18038" w14:textId="77777777" w:rsidR="00BF493F" w:rsidRDefault="00BF493F" w:rsidP="00FB6278">
      <w:pPr>
        <w:shd w:val="clear" w:color="auto" w:fill="FFFFFF" w:themeFill="background1"/>
        <w:ind w:left="-567" w:right="-613"/>
        <w:jc w:val="both"/>
        <w:rPr>
          <w:rFonts w:ascii="Arial" w:hAnsi="Arial"/>
          <w:sz w:val="22"/>
        </w:rPr>
      </w:pPr>
    </w:p>
    <w:p w14:paraId="05E703CD" w14:textId="77777777" w:rsidR="00BF493F" w:rsidRDefault="00BF493F" w:rsidP="00FB6278">
      <w:pPr>
        <w:shd w:val="clear" w:color="auto" w:fill="FFFFFF" w:themeFill="background1"/>
        <w:ind w:left="-567" w:right="-613"/>
        <w:jc w:val="both"/>
        <w:rPr>
          <w:rFonts w:ascii="Arial" w:hAnsi="Arial"/>
          <w:sz w:val="22"/>
        </w:rPr>
      </w:pPr>
    </w:p>
    <w:p w14:paraId="58911487" w14:textId="77777777" w:rsidR="00BF493F" w:rsidRDefault="00BF493F" w:rsidP="00FB6278">
      <w:pPr>
        <w:shd w:val="clear" w:color="auto" w:fill="FFFFFF" w:themeFill="background1"/>
        <w:ind w:left="-567" w:right="-613"/>
        <w:jc w:val="both"/>
        <w:rPr>
          <w:rFonts w:ascii="Arial" w:hAnsi="Arial"/>
          <w:sz w:val="22"/>
        </w:rPr>
      </w:pPr>
    </w:p>
    <w:p w14:paraId="6FBB1493" w14:textId="77777777" w:rsidR="00BF493F" w:rsidRDefault="00BF493F" w:rsidP="00FB6278">
      <w:pPr>
        <w:shd w:val="clear" w:color="auto" w:fill="FFFFFF" w:themeFill="background1"/>
        <w:ind w:left="-567" w:right="-613"/>
        <w:jc w:val="both"/>
        <w:rPr>
          <w:rFonts w:ascii="Arial" w:hAnsi="Arial"/>
          <w:sz w:val="22"/>
        </w:rPr>
      </w:pPr>
    </w:p>
    <w:p w14:paraId="3D95E2F6" w14:textId="50CD5177" w:rsidR="00CA087D" w:rsidRPr="00BB04A6" w:rsidRDefault="00CA087D" w:rsidP="00FB6278">
      <w:pPr>
        <w:shd w:val="clear" w:color="auto" w:fill="FFFFFF" w:themeFill="background1"/>
        <w:ind w:left="-567" w:right="-613"/>
        <w:jc w:val="both"/>
        <w:rPr>
          <w:rFonts w:ascii="Arial" w:hAnsi="Arial"/>
          <w:sz w:val="22"/>
        </w:rPr>
      </w:pPr>
      <w:r w:rsidRPr="00BB04A6">
        <w:rPr>
          <w:rFonts w:ascii="Arial" w:hAnsi="Arial"/>
          <w:sz w:val="22"/>
        </w:rPr>
        <w:t>This activity profile across those years has of course reflected the national response to the Covi</w:t>
      </w:r>
      <w:r w:rsidR="000C514D" w:rsidRPr="00BB04A6">
        <w:rPr>
          <w:rFonts w:ascii="Arial" w:hAnsi="Arial"/>
          <w:sz w:val="22"/>
        </w:rPr>
        <w:t>d</w:t>
      </w:r>
      <w:r w:rsidRPr="00BB04A6">
        <w:rPr>
          <w:rFonts w:ascii="Arial" w:hAnsi="Arial"/>
          <w:sz w:val="22"/>
        </w:rPr>
        <w:t xml:space="preserve">-19 pandemic with falls and rises in activity levels that mirror the timelines of government guidance and legislation. As can be seen in the graphs below the trusts response to bringing services back to </w:t>
      </w:r>
      <w:r w:rsidR="000C514D" w:rsidRPr="00BB04A6">
        <w:rPr>
          <w:rFonts w:ascii="Arial" w:hAnsi="Arial"/>
          <w:sz w:val="22"/>
        </w:rPr>
        <w:t xml:space="preserve">pre-pandemic levels </w:t>
      </w:r>
      <w:r w:rsidRPr="00BB04A6">
        <w:rPr>
          <w:rFonts w:ascii="Arial" w:hAnsi="Arial"/>
          <w:sz w:val="22"/>
        </w:rPr>
        <w:t xml:space="preserve">continues. When comparing 2019/20 data to 2021/22, Inpatient activity is achieving 86% of pre-pandemic activity levels and </w:t>
      </w:r>
      <w:r w:rsidR="000C514D" w:rsidRPr="00BB04A6">
        <w:rPr>
          <w:rFonts w:ascii="Arial" w:eastAsiaTheme="majorEastAsia" w:hAnsi="Arial" w:cs="Arial"/>
          <w:bCs/>
          <w:sz w:val="22"/>
          <w:szCs w:val="22"/>
        </w:rPr>
        <w:t>o</w:t>
      </w:r>
      <w:r w:rsidRPr="00BB04A6">
        <w:rPr>
          <w:rFonts w:ascii="Arial" w:eastAsiaTheme="majorEastAsia" w:hAnsi="Arial" w:cs="Arial"/>
          <w:bCs/>
          <w:sz w:val="22"/>
          <w:szCs w:val="22"/>
        </w:rPr>
        <w:t>utpatients</w:t>
      </w:r>
      <w:r w:rsidRPr="00BB04A6">
        <w:rPr>
          <w:rFonts w:ascii="Arial" w:hAnsi="Arial"/>
          <w:sz w:val="22"/>
        </w:rPr>
        <w:t xml:space="preserve"> 91%</w:t>
      </w:r>
      <w:r w:rsidR="000A6436">
        <w:rPr>
          <w:rFonts w:ascii="Arial" w:hAnsi="Arial"/>
          <w:sz w:val="22"/>
        </w:rPr>
        <w:t>.</w:t>
      </w:r>
    </w:p>
    <w:p w14:paraId="3A30D45B" w14:textId="77777777" w:rsidR="00CA087D" w:rsidRPr="00BB04A6" w:rsidRDefault="00CA087D" w:rsidP="00FB6278">
      <w:pPr>
        <w:shd w:val="clear" w:color="auto" w:fill="FFFFFF" w:themeFill="background1"/>
        <w:jc w:val="both"/>
        <w:rPr>
          <w:rFonts w:ascii="Arial" w:hAnsi="Arial"/>
          <w:b/>
          <w:i/>
          <w:sz w:val="22"/>
        </w:rPr>
      </w:pPr>
      <w:r w:rsidRPr="00BB04A6">
        <w:rPr>
          <w:rFonts w:ascii="Arial" w:hAnsi="Arial"/>
          <w:b/>
          <w:i/>
          <w:noProof/>
          <w:sz w:val="22"/>
        </w:rPr>
        <w:drawing>
          <wp:anchor distT="0" distB="0" distL="114300" distR="114300" simplePos="0" relativeHeight="251839488" behindDoc="0" locked="0" layoutInCell="1" allowOverlap="1" wp14:anchorId="5198B8A9" wp14:editId="6AF1192A">
            <wp:simplePos x="0" y="0"/>
            <wp:positionH relativeFrom="column">
              <wp:posOffset>3000375</wp:posOffset>
            </wp:positionH>
            <wp:positionV relativeFrom="paragraph">
              <wp:posOffset>326390</wp:posOffset>
            </wp:positionV>
            <wp:extent cx="3039745" cy="2009775"/>
            <wp:effectExtent l="19050" t="19050" r="27305" b="285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39745" cy="200977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BB04A6">
        <w:rPr>
          <w:rFonts w:ascii="Arial" w:hAnsi="Arial"/>
          <w:b/>
          <w:i/>
          <w:noProof/>
          <w:sz w:val="22"/>
        </w:rPr>
        <w:drawing>
          <wp:anchor distT="0" distB="0" distL="114300" distR="114300" simplePos="0" relativeHeight="251838464" behindDoc="0" locked="0" layoutInCell="1" allowOverlap="1" wp14:anchorId="3E5F3E12" wp14:editId="66DCFBE6">
            <wp:simplePos x="0" y="0"/>
            <wp:positionH relativeFrom="column">
              <wp:posOffset>-304800</wp:posOffset>
            </wp:positionH>
            <wp:positionV relativeFrom="paragraph">
              <wp:posOffset>335280</wp:posOffset>
            </wp:positionV>
            <wp:extent cx="3133725" cy="2001520"/>
            <wp:effectExtent l="19050" t="19050" r="28575" b="177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33725" cy="200152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7E4F6A7E" w14:textId="2A1533D9" w:rsidR="00CA087D" w:rsidRPr="0001707D" w:rsidRDefault="00BF493F" w:rsidP="00FB6278">
      <w:pPr>
        <w:keepNext/>
        <w:keepLines/>
        <w:numPr>
          <w:ilvl w:val="2"/>
          <w:numId w:val="0"/>
        </w:numPr>
        <w:shd w:val="clear" w:color="auto" w:fill="FFFFFF" w:themeFill="background1"/>
        <w:spacing w:before="200" w:after="240"/>
        <w:ind w:left="-567"/>
        <w:outlineLvl w:val="2"/>
        <w:rPr>
          <w:rFonts w:ascii="Arial" w:hAnsi="Arial"/>
          <w:b/>
          <w:sz w:val="28"/>
          <w:szCs w:val="28"/>
        </w:rPr>
      </w:pPr>
      <w:r>
        <w:rPr>
          <w:rFonts w:ascii="Arial" w:hAnsi="Arial"/>
          <w:b/>
          <w:sz w:val="28"/>
          <w:szCs w:val="28"/>
        </w:rPr>
        <w:t xml:space="preserve">2.1 </w:t>
      </w:r>
      <w:r w:rsidR="00CA087D" w:rsidRPr="0001707D">
        <w:rPr>
          <w:rFonts w:ascii="Arial" w:hAnsi="Arial"/>
          <w:b/>
          <w:sz w:val="28"/>
          <w:szCs w:val="28"/>
        </w:rPr>
        <w:t>Performance analysis 2021/22</w:t>
      </w:r>
    </w:p>
    <w:p w14:paraId="47B54FE5" w14:textId="77777777" w:rsidR="00CA087D" w:rsidRPr="00BB04A6" w:rsidRDefault="00CA087D" w:rsidP="00FB6278">
      <w:pPr>
        <w:shd w:val="clear" w:color="auto" w:fill="FFFFFF" w:themeFill="background1"/>
        <w:ind w:left="-567" w:right="-613"/>
        <w:jc w:val="both"/>
        <w:rPr>
          <w:rFonts w:ascii="Arial" w:hAnsi="Arial"/>
          <w:sz w:val="22"/>
        </w:rPr>
      </w:pPr>
      <w:r w:rsidRPr="00BB04A6">
        <w:rPr>
          <w:rFonts w:ascii="Arial" w:hAnsi="Arial"/>
          <w:sz w:val="22"/>
        </w:rPr>
        <w:t>The Integrated Performance Report (IPR) provides the board with in-depth information on the performance of Moorfields. Each month, the performance and information department report on the following areas:</w:t>
      </w:r>
    </w:p>
    <w:p w14:paraId="11C6E23B" w14:textId="77777777" w:rsidR="00CA087D" w:rsidRPr="00BB04A6" w:rsidRDefault="00CA087D" w:rsidP="00FB6278">
      <w:pPr>
        <w:shd w:val="clear" w:color="auto" w:fill="FFFFFF" w:themeFill="background1"/>
        <w:ind w:left="-567" w:right="-613"/>
        <w:jc w:val="both"/>
        <w:rPr>
          <w:rFonts w:ascii="Arial" w:hAnsi="Arial"/>
          <w:sz w:val="22"/>
        </w:rPr>
      </w:pPr>
    </w:p>
    <w:p w14:paraId="15E1A357" w14:textId="77777777" w:rsidR="00CA087D" w:rsidRPr="00BB04A6" w:rsidRDefault="00CA087D" w:rsidP="00FB6278">
      <w:pPr>
        <w:pStyle w:val="ListParagraph"/>
        <w:numPr>
          <w:ilvl w:val="0"/>
          <w:numId w:val="17"/>
        </w:numPr>
        <w:shd w:val="clear" w:color="auto" w:fill="FFFFFF" w:themeFill="background1"/>
        <w:spacing w:after="200"/>
        <w:rPr>
          <w:rFonts w:ascii="Arial" w:hAnsi="Arial"/>
          <w:sz w:val="22"/>
        </w:rPr>
      </w:pPr>
      <w:r w:rsidRPr="00BB04A6">
        <w:rPr>
          <w:rFonts w:ascii="Arial" w:hAnsi="Arial"/>
          <w:sz w:val="22"/>
        </w:rPr>
        <w:t xml:space="preserve">operational measures such as A&amp;E measures, attendance rates, theatres utilisation and waiting </w:t>
      </w:r>
      <w:proofErr w:type="gramStart"/>
      <w:r w:rsidRPr="00BB04A6">
        <w:rPr>
          <w:rFonts w:ascii="Arial" w:hAnsi="Arial"/>
          <w:sz w:val="22"/>
        </w:rPr>
        <w:t>time;</w:t>
      </w:r>
      <w:proofErr w:type="gramEnd"/>
    </w:p>
    <w:p w14:paraId="0C43F309" w14:textId="77777777" w:rsidR="00CA087D" w:rsidRPr="00BB04A6" w:rsidRDefault="00CA087D" w:rsidP="00FB6278">
      <w:pPr>
        <w:pStyle w:val="ListParagraph"/>
        <w:numPr>
          <w:ilvl w:val="0"/>
          <w:numId w:val="17"/>
        </w:numPr>
        <w:shd w:val="clear" w:color="auto" w:fill="FFFFFF" w:themeFill="background1"/>
        <w:spacing w:after="200"/>
        <w:rPr>
          <w:rFonts w:ascii="Arial" w:hAnsi="Arial"/>
          <w:sz w:val="22"/>
        </w:rPr>
      </w:pPr>
      <w:r w:rsidRPr="00BB04A6">
        <w:rPr>
          <w:rFonts w:ascii="Arial" w:hAnsi="Arial"/>
          <w:sz w:val="22"/>
        </w:rPr>
        <w:t xml:space="preserve">workforce measures such as staff vacancy </w:t>
      </w:r>
      <w:proofErr w:type="gramStart"/>
      <w:r w:rsidRPr="00BB04A6">
        <w:rPr>
          <w:rFonts w:ascii="Arial" w:hAnsi="Arial"/>
          <w:sz w:val="22"/>
        </w:rPr>
        <w:t>rate;</w:t>
      </w:r>
      <w:proofErr w:type="gramEnd"/>
    </w:p>
    <w:p w14:paraId="25CF5D1D" w14:textId="77777777" w:rsidR="00CA087D" w:rsidRPr="00BB04A6" w:rsidRDefault="00CA087D" w:rsidP="00FB6278">
      <w:pPr>
        <w:pStyle w:val="ListParagraph"/>
        <w:numPr>
          <w:ilvl w:val="0"/>
          <w:numId w:val="17"/>
        </w:numPr>
        <w:shd w:val="clear" w:color="auto" w:fill="FFFFFF" w:themeFill="background1"/>
        <w:spacing w:after="200"/>
        <w:rPr>
          <w:rFonts w:ascii="Arial" w:hAnsi="Arial"/>
          <w:sz w:val="22"/>
        </w:rPr>
      </w:pPr>
      <w:r w:rsidRPr="00BB04A6">
        <w:rPr>
          <w:rFonts w:ascii="Arial" w:hAnsi="Arial"/>
          <w:sz w:val="22"/>
        </w:rPr>
        <w:t xml:space="preserve">quality and safety measures such as rates of </w:t>
      </w:r>
      <w:proofErr w:type="gramStart"/>
      <w:r w:rsidRPr="00BB04A6">
        <w:rPr>
          <w:rFonts w:ascii="Arial" w:hAnsi="Arial"/>
          <w:sz w:val="22"/>
        </w:rPr>
        <w:t>infection;</w:t>
      </w:r>
      <w:proofErr w:type="gramEnd"/>
    </w:p>
    <w:p w14:paraId="1F33E7E5" w14:textId="77777777" w:rsidR="00CA087D" w:rsidRPr="00BB04A6" w:rsidRDefault="00CA087D" w:rsidP="00FB6278">
      <w:pPr>
        <w:pStyle w:val="ListParagraph"/>
        <w:numPr>
          <w:ilvl w:val="0"/>
          <w:numId w:val="17"/>
        </w:numPr>
        <w:shd w:val="clear" w:color="auto" w:fill="FFFFFF" w:themeFill="background1"/>
        <w:spacing w:after="200"/>
        <w:rPr>
          <w:rFonts w:ascii="Arial" w:hAnsi="Arial"/>
          <w:sz w:val="22"/>
        </w:rPr>
      </w:pPr>
      <w:r w:rsidRPr="00BB04A6">
        <w:rPr>
          <w:rFonts w:ascii="Arial" w:hAnsi="Arial"/>
          <w:sz w:val="22"/>
        </w:rPr>
        <w:t xml:space="preserve">research and development measures such as number of studies </w:t>
      </w:r>
      <w:proofErr w:type="gramStart"/>
      <w:r w:rsidRPr="00BB04A6">
        <w:rPr>
          <w:rFonts w:ascii="Arial" w:hAnsi="Arial"/>
          <w:sz w:val="22"/>
        </w:rPr>
        <w:t>closed;</w:t>
      </w:r>
      <w:proofErr w:type="gramEnd"/>
    </w:p>
    <w:p w14:paraId="2554052C" w14:textId="77777777" w:rsidR="00CA087D" w:rsidRPr="00BB04A6" w:rsidRDefault="00CA087D" w:rsidP="00FB6278">
      <w:pPr>
        <w:pStyle w:val="ListParagraph"/>
        <w:numPr>
          <w:ilvl w:val="0"/>
          <w:numId w:val="17"/>
        </w:numPr>
        <w:shd w:val="clear" w:color="auto" w:fill="FFFFFF" w:themeFill="background1"/>
        <w:spacing w:after="200"/>
        <w:rPr>
          <w:rFonts w:ascii="Arial" w:hAnsi="Arial"/>
          <w:sz w:val="22"/>
        </w:rPr>
      </w:pPr>
      <w:r w:rsidRPr="00BB04A6">
        <w:rPr>
          <w:rFonts w:ascii="Arial" w:hAnsi="Arial"/>
          <w:sz w:val="22"/>
        </w:rPr>
        <w:t>finance measures such as variance from financial plan; and</w:t>
      </w:r>
    </w:p>
    <w:p w14:paraId="23573FAE" w14:textId="77777777" w:rsidR="00CA087D" w:rsidRPr="00BB04A6" w:rsidRDefault="00CA087D" w:rsidP="00FB6278">
      <w:pPr>
        <w:pStyle w:val="ListParagraph"/>
        <w:numPr>
          <w:ilvl w:val="0"/>
          <w:numId w:val="17"/>
        </w:numPr>
        <w:shd w:val="clear" w:color="auto" w:fill="FFFFFF" w:themeFill="background1"/>
        <w:spacing w:after="200"/>
        <w:rPr>
          <w:rFonts w:ascii="Arial" w:hAnsi="Arial"/>
          <w:sz w:val="22"/>
        </w:rPr>
      </w:pPr>
      <w:r w:rsidRPr="00BB04A6">
        <w:rPr>
          <w:rFonts w:ascii="Arial" w:hAnsi="Arial"/>
          <w:sz w:val="22"/>
        </w:rPr>
        <w:t>commercial and private patient measures.</w:t>
      </w:r>
    </w:p>
    <w:p w14:paraId="6532AFC1" w14:textId="77113D24" w:rsidR="00CA087D" w:rsidRDefault="00CA087D" w:rsidP="00FB6278">
      <w:pPr>
        <w:shd w:val="clear" w:color="auto" w:fill="FFFFFF" w:themeFill="background1"/>
        <w:ind w:left="-567" w:right="-613"/>
        <w:jc w:val="both"/>
        <w:rPr>
          <w:rFonts w:ascii="Arial" w:hAnsi="Arial"/>
          <w:sz w:val="22"/>
        </w:rPr>
      </w:pPr>
      <w:r w:rsidRPr="00BB04A6">
        <w:rPr>
          <w:rFonts w:ascii="Arial" w:hAnsi="Arial"/>
          <w:sz w:val="22"/>
        </w:rPr>
        <w:t xml:space="preserve">The report gives both an overview and detailed performance for each individual metric, comparing this month’s performance to previous months and the target. A red, </w:t>
      </w:r>
      <w:proofErr w:type="gramStart"/>
      <w:r w:rsidRPr="00BB04A6">
        <w:rPr>
          <w:rFonts w:ascii="Arial" w:hAnsi="Arial"/>
          <w:sz w:val="22"/>
        </w:rPr>
        <w:t>amber</w:t>
      </w:r>
      <w:proofErr w:type="gramEnd"/>
      <w:r w:rsidRPr="00BB04A6">
        <w:rPr>
          <w:rFonts w:ascii="Arial" w:hAnsi="Arial"/>
          <w:sz w:val="22"/>
        </w:rPr>
        <w:t xml:space="preserve"> or green rating method shows whether a target is achieved, with green indicating performance is on target. Importantly, the report also identifies additional information and remedial action plans for any metrics which are rated red or amber. The report is shared with internal and external stakeholders. </w:t>
      </w:r>
    </w:p>
    <w:p w14:paraId="6B638416" w14:textId="63CF437D" w:rsidR="00BF493F" w:rsidRDefault="00BF493F" w:rsidP="00FB6278">
      <w:pPr>
        <w:shd w:val="clear" w:color="auto" w:fill="FFFFFF" w:themeFill="background1"/>
        <w:ind w:left="-567" w:right="-613"/>
        <w:jc w:val="both"/>
        <w:rPr>
          <w:rFonts w:ascii="Arial" w:hAnsi="Arial"/>
          <w:sz w:val="22"/>
        </w:rPr>
      </w:pPr>
    </w:p>
    <w:p w14:paraId="215D0A39" w14:textId="5CBB9CC4" w:rsidR="00BF493F" w:rsidRDefault="00BF493F" w:rsidP="00FB6278">
      <w:pPr>
        <w:shd w:val="clear" w:color="auto" w:fill="FFFFFF" w:themeFill="background1"/>
        <w:ind w:left="-567" w:right="-613"/>
        <w:jc w:val="both"/>
        <w:rPr>
          <w:rFonts w:ascii="Arial" w:hAnsi="Arial"/>
          <w:sz w:val="22"/>
        </w:rPr>
      </w:pPr>
    </w:p>
    <w:p w14:paraId="2479E69E" w14:textId="77777777" w:rsidR="00FB6278" w:rsidRPr="00BB04A6" w:rsidRDefault="00FB6278" w:rsidP="00FB6278">
      <w:pPr>
        <w:shd w:val="clear" w:color="auto" w:fill="FFFFFF" w:themeFill="background1"/>
        <w:ind w:left="-567" w:right="-613"/>
        <w:jc w:val="both"/>
        <w:rPr>
          <w:rFonts w:ascii="Arial" w:hAnsi="Arial"/>
          <w:sz w:val="22"/>
        </w:rPr>
      </w:pPr>
    </w:p>
    <w:p w14:paraId="648D6C22" w14:textId="77777777" w:rsidR="00CA087D" w:rsidRPr="00BB04A6" w:rsidRDefault="00CA087D" w:rsidP="00FB6278">
      <w:pPr>
        <w:shd w:val="clear" w:color="auto" w:fill="FFFFFF" w:themeFill="background1"/>
        <w:ind w:left="-567" w:right="-613"/>
        <w:jc w:val="both"/>
        <w:rPr>
          <w:rFonts w:ascii="Arial" w:hAnsi="Arial"/>
          <w:sz w:val="22"/>
        </w:rPr>
      </w:pPr>
    </w:p>
    <w:p w14:paraId="207A3935" w14:textId="77777777" w:rsidR="00CA087D" w:rsidRPr="00BB04A6" w:rsidRDefault="00CA087D" w:rsidP="00FB6278">
      <w:pPr>
        <w:shd w:val="clear" w:color="auto" w:fill="FFFFFF" w:themeFill="background1"/>
        <w:ind w:left="-567"/>
        <w:rPr>
          <w:rFonts w:ascii="Arial" w:hAnsi="Arial"/>
          <w:b/>
          <w:color w:val="000000" w:themeColor="text1"/>
          <w:sz w:val="22"/>
        </w:rPr>
      </w:pPr>
      <w:r w:rsidRPr="00BB04A6">
        <w:rPr>
          <w:rFonts w:ascii="Arial" w:hAnsi="Arial"/>
          <w:b/>
          <w:color w:val="000000" w:themeColor="text1"/>
          <w:sz w:val="22"/>
        </w:rPr>
        <w:lastRenderedPageBreak/>
        <w:t>18-weeks referral to treatment (RTT) standard</w:t>
      </w:r>
    </w:p>
    <w:p w14:paraId="0BF16C77" w14:textId="77777777" w:rsidR="00CA087D" w:rsidRPr="00BB04A6" w:rsidRDefault="00CA087D" w:rsidP="00FB6278">
      <w:pPr>
        <w:shd w:val="clear" w:color="auto" w:fill="FFFFFF" w:themeFill="background1"/>
        <w:ind w:left="-567"/>
        <w:rPr>
          <w:rFonts w:ascii="Arial" w:hAnsi="Arial"/>
          <w:b/>
          <w:i/>
          <w:color w:val="000000" w:themeColor="text1"/>
          <w:sz w:val="22"/>
        </w:rPr>
      </w:pPr>
    </w:p>
    <w:tbl>
      <w:tblPr>
        <w:tblW w:w="8609" w:type="dxa"/>
        <w:tblLayout w:type="fixed"/>
        <w:tblLook w:val="04A0" w:firstRow="1" w:lastRow="0" w:firstColumn="1" w:lastColumn="0" w:noHBand="0" w:noVBand="1"/>
      </w:tblPr>
      <w:tblGrid>
        <w:gridCol w:w="4026"/>
        <w:gridCol w:w="992"/>
        <w:gridCol w:w="1197"/>
        <w:gridCol w:w="1197"/>
        <w:gridCol w:w="1197"/>
      </w:tblGrid>
      <w:tr w:rsidR="00CA087D" w:rsidRPr="00183EF9" w14:paraId="3645647D" w14:textId="77777777" w:rsidTr="00CD4F89">
        <w:trPr>
          <w:trHeight w:val="264"/>
        </w:trPr>
        <w:tc>
          <w:tcPr>
            <w:tcW w:w="4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ACC46" w14:textId="77777777" w:rsidR="00CA087D" w:rsidRPr="00BB04A6" w:rsidRDefault="00CA087D" w:rsidP="00FB6278">
            <w:pPr>
              <w:shd w:val="clear" w:color="auto" w:fill="FFFFFF" w:themeFill="background1"/>
              <w:rPr>
                <w:rFonts w:ascii="Arial" w:hAnsi="Arial"/>
                <w:b/>
                <w:color w:val="000000" w:themeColor="text1"/>
                <w:sz w:val="22"/>
              </w:rPr>
            </w:pPr>
            <w:r w:rsidRPr="00BB04A6">
              <w:rPr>
                <w:rFonts w:ascii="Arial" w:hAnsi="Arial"/>
                <w:b/>
                <w:color w:val="000000" w:themeColor="text1"/>
                <w:sz w:val="22"/>
              </w:rPr>
              <w:t>Indicator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DB785D" w14:textId="77777777" w:rsidR="00CA087D" w:rsidRPr="00BB04A6" w:rsidRDefault="00CA087D" w:rsidP="00FB6278">
            <w:pPr>
              <w:shd w:val="clear" w:color="auto" w:fill="FFFFFF" w:themeFill="background1"/>
              <w:rPr>
                <w:rFonts w:ascii="Arial" w:hAnsi="Arial"/>
                <w:b/>
                <w:color w:val="000000" w:themeColor="text1"/>
                <w:sz w:val="22"/>
              </w:rPr>
            </w:pPr>
            <w:r w:rsidRPr="00BB04A6">
              <w:rPr>
                <w:rFonts w:ascii="Arial" w:hAnsi="Arial"/>
                <w:b/>
                <w:color w:val="000000" w:themeColor="text1"/>
                <w:sz w:val="22"/>
              </w:rPr>
              <w:t>Target</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14:paraId="11A566F2" w14:textId="77777777" w:rsidR="00CA087D" w:rsidRPr="00BB04A6" w:rsidRDefault="00CA087D" w:rsidP="00FB6278">
            <w:pPr>
              <w:shd w:val="clear" w:color="auto" w:fill="FFFFFF" w:themeFill="background1"/>
              <w:jc w:val="center"/>
              <w:rPr>
                <w:rFonts w:ascii="Arial" w:hAnsi="Arial"/>
                <w:b/>
                <w:color w:val="000000" w:themeColor="text1"/>
                <w:sz w:val="22"/>
              </w:rPr>
            </w:pPr>
            <w:r w:rsidRPr="00BB04A6">
              <w:rPr>
                <w:rFonts w:ascii="Arial" w:hAnsi="Arial"/>
                <w:b/>
                <w:color w:val="000000" w:themeColor="text1"/>
                <w:sz w:val="22"/>
              </w:rPr>
              <w:t>2019/20</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14:paraId="55A8B1BC" w14:textId="46C8DEDF" w:rsidR="00CA087D" w:rsidRPr="00BB04A6" w:rsidRDefault="00CA087D" w:rsidP="00FB6278">
            <w:pPr>
              <w:shd w:val="clear" w:color="auto" w:fill="FFFFFF" w:themeFill="background1"/>
              <w:jc w:val="center"/>
              <w:rPr>
                <w:rFonts w:ascii="Arial" w:hAnsi="Arial"/>
                <w:b/>
                <w:color w:val="000000" w:themeColor="text1"/>
                <w:sz w:val="22"/>
              </w:rPr>
            </w:pPr>
            <w:r w:rsidRPr="00BB04A6">
              <w:rPr>
                <w:rFonts w:ascii="Arial" w:hAnsi="Arial"/>
                <w:b/>
                <w:color w:val="000000" w:themeColor="text1"/>
                <w:sz w:val="22"/>
              </w:rPr>
              <w:t>2020/21</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14:paraId="6D3C1D85" w14:textId="231AFBDD" w:rsidR="00CA087D" w:rsidRPr="00BB04A6" w:rsidRDefault="00CA087D" w:rsidP="00FB6278">
            <w:pPr>
              <w:shd w:val="clear" w:color="auto" w:fill="FFFFFF" w:themeFill="background1"/>
              <w:jc w:val="center"/>
              <w:rPr>
                <w:rFonts w:ascii="Arial" w:hAnsi="Arial"/>
                <w:b/>
                <w:color w:val="000000" w:themeColor="text1"/>
                <w:sz w:val="22"/>
              </w:rPr>
            </w:pPr>
            <w:r w:rsidRPr="00BB04A6">
              <w:rPr>
                <w:rFonts w:ascii="Arial" w:hAnsi="Arial"/>
                <w:b/>
                <w:color w:val="000000" w:themeColor="text1"/>
                <w:sz w:val="22"/>
              </w:rPr>
              <w:t>2021/22</w:t>
            </w:r>
          </w:p>
        </w:tc>
      </w:tr>
      <w:tr w:rsidR="00CA087D" w:rsidRPr="00183EF9" w14:paraId="27A05FFC" w14:textId="77777777" w:rsidTr="005C232A">
        <w:trPr>
          <w:trHeight w:val="163"/>
        </w:trPr>
        <w:tc>
          <w:tcPr>
            <w:tcW w:w="40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CDBEA" w14:textId="77777777" w:rsidR="00CA087D" w:rsidRPr="00BB04A6" w:rsidRDefault="00CA087D" w:rsidP="00FB6278">
            <w:pPr>
              <w:shd w:val="clear" w:color="auto" w:fill="FFFFFF" w:themeFill="background1"/>
              <w:rPr>
                <w:rFonts w:ascii="Arial" w:hAnsi="Arial"/>
                <w:color w:val="000000" w:themeColor="text1"/>
                <w:sz w:val="22"/>
              </w:rPr>
            </w:pPr>
            <w:r w:rsidRPr="00BB04A6">
              <w:rPr>
                <w:rFonts w:ascii="Arial" w:hAnsi="Arial"/>
                <w:color w:val="000000" w:themeColor="text1"/>
                <w:sz w:val="22"/>
              </w:rPr>
              <w:t>18-weeks RTT incomplete – all pathways</w:t>
            </w:r>
          </w:p>
        </w:tc>
        <w:tc>
          <w:tcPr>
            <w:tcW w:w="992" w:type="dxa"/>
            <w:tcBorders>
              <w:top w:val="nil"/>
              <w:left w:val="nil"/>
              <w:bottom w:val="single" w:sz="4" w:space="0" w:color="auto"/>
              <w:right w:val="single" w:sz="4" w:space="0" w:color="auto"/>
            </w:tcBorders>
            <w:shd w:val="clear" w:color="auto" w:fill="auto"/>
            <w:vAlign w:val="center"/>
            <w:hideMark/>
          </w:tcPr>
          <w:p w14:paraId="16FD64F2" w14:textId="77777777" w:rsidR="00CA087D" w:rsidRPr="00BB04A6" w:rsidRDefault="00CA087D" w:rsidP="00FB6278">
            <w:pPr>
              <w:shd w:val="clear" w:color="auto" w:fill="FFFFFF" w:themeFill="background1"/>
              <w:jc w:val="center"/>
              <w:rPr>
                <w:rFonts w:ascii="Arial" w:hAnsi="Arial"/>
                <w:color w:val="000000" w:themeColor="text1"/>
                <w:sz w:val="22"/>
              </w:rPr>
            </w:pPr>
            <w:r w:rsidRPr="00BB04A6">
              <w:rPr>
                <w:rFonts w:ascii="Arial" w:hAnsi="Arial"/>
                <w:color w:val="000000" w:themeColor="text1"/>
                <w:sz w:val="22"/>
              </w:rPr>
              <w:t xml:space="preserve">≥ 92% </w:t>
            </w:r>
          </w:p>
        </w:tc>
        <w:tc>
          <w:tcPr>
            <w:tcW w:w="1197" w:type="dxa"/>
            <w:tcBorders>
              <w:top w:val="single" w:sz="4" w:space="0" w:color="auto"/>
              <w:left w:val="single" w:sz="4" w:space="0" w:color="auto"/>
              <w:bottom w:val="single" w:sz="4" w:space="0" w:color="auto"/>
              <w:right w:val="single" w:sz="4" w:space="0" w:color="auto"/>
            </w:tcBorders>
          </w:tcPr>
          <w:p w14:paraId="12164F97" w14:textId="2F441378" w:rsidR="00CA087D" w:rsidRPr="00BB04A6" w:rsidRDefault="00CA087D" w:rsidP="00FB6278">
            <w:pPr>
              <w:shd w:val="clear" w:color="auto" w:fill="FFFFFF" w:themeFill="background1"/>
              <w:jc w:val="center"/>
              <w:rPr>
                <w:rFonts w:ascii="Arial" w:hAnsi="Arial"/>
                <w:color w:val="000000" w:themeColor="text1"/>
                <w:sz w:val="22"/>
              </w:rPr>
            </w:pPr>
            <w:r w:rsidRPr="00BB04A6">
              <w:rPr>
                <w:rFonts w:ascii="Arial" w:hAnsi="Arial"/>
                <w:color w:val="000000" w:themeColor="text1"/>
                <w:sz w:val="22"/>
              </w:rPr>
              <w:t>94.1%</w:t>
            </w:r>
          </w:p>
        </w:tc>
        <w:tc>
          <w:tcPr>
            <w:tcW w:w="1197" w:type="dxa"/>
            <w:tcBorders>
              <w:top w:val="single" w:sz="4" w:space="0" w:color="auto"/>
              <w:left w:val="single" w:sz="4" w:space="0" w:color="auto"/>
              <w:bottom w:val="single" w:sz="4" w:space="0" w:color="auto"/>
              <w:right w:val="single" w:sz="4" w:space="0" w:color="auto"/>
            </w:tcBorders>
            <w:vAlign w:val="center"/>
          </w:tcPr>
          <w:p w14:paraId="7CF805C1" w14:textId="77777777" w:rsidR="00CA087D" w:rsidRPr="00BB04A6" w:rsidRDefault="00CA087D" w:rsidP="00FB6278">
            <w:pPr>
              <w:shd w:val="clear" w:color="auto" w:fill="FFFFFF" w:themeFill="background1"/>
              <w:jc w:val="center"/>
              <w:rPr>
                <w:rFonts w:ascii="Arial" w:hAnsi="Arial"/>
                <w:color w:val="000000" w:themeColor="text1"/>
                <w:sz w:val="22"/>
              </w:rPr>
            </w:pPr>
            <w:r w:rsidRPr="00BB04A6">
              <w:rPr>
                <w:rFonts w:ascii="Arial" w:hAnsi="Arial"/>
                <w:color w:val="000000" w:themeColor="text1"/>
                <w:sz w:val="22"/>
              </w:rPr>
              <w:t>59.7%</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1BC44" w14:textId="77777777" w:rsidR="00CA087D" w:rsidRPr="00BB04A6" w:rsidRDefault="00CA087D" w:rsidP="00FB6278">
            <w:pPr>
              <w:shd w:val="clear" w:color="auto" w:fill="FFFFFF" w:themeFill="background1"/>
              <w:jc w:val="center"/>
              <w:rPr>
                <w:rFonts w:ascii="Arial" w:hAnsi="Arial"/>
                <w:color w:val="000000" w:themeColor="text1"/>
                <w:sz w:val="22"/>
              </w:rPr>
            </w:pPr>
            <w:r w:rsidRPr="00183EF9">
              <w:rPr>
                <w:rFonts w:ascii="Arial" w:hAnsi="Arial" w:cs="Arial"/>
                <w:color w:val="000000" w:themeColor="text1"/>
                <w:sz w:val="20"/>
                <w:szCs w:val="20"/>
                <w:lang w:eastAsia="en-GB"/>
              </w:rPr>
              <w:t>78.1%</w:t>
            </w:r>
          </w:p>
        </w:tc>
      </w:tr>
      <w:tr w:rsidR="00CA087D" w:rsidRPr="00183EF9" w14:paraId="1F39FF49" w14:textId="77777777" w:rsidTr="005C232A">
        <w:trPr>
          <w:trHeight w:val="109"/>
        </w:trPr>
        <w:tc>
          <w:tcPr>
            <w:tcW w:w="40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F13DF" w14:textId="77777777" w:rsidR="00CA087D" w:rsidRPr="00BB04A6" w:rsidRDefault="00CA087D" w:rsidP="00FB6278">
            <w:pPr>
              <w:shd w:val="clear" w:color="auto" w:fill="FFFFFF" w:themeFill="background1"/>
              <w:rPr>
                <w:rFonts w:ascii="Arial" w:hAnsi="Arial"/>
                <w:color w:val="000000" w:themeColor="text1"/>
                <w:sz w:val="22"/>
              </w:rPr>
            </w:pPr>
            <w:r w:rsidRPr="00BB04A6">
              <w:rPr>
                <w:rFonts w:ascii="Arial" w:hAnsi="Arial"/>
                <w:color w:val="000000" w:themeColor="text1"/>
                <w:sz w:val="22"/>
              </w:rPr>
              <w:t>18-weeks RTT incomplete – pathways with DTA*</w:t>
            </w:r>
          </w:p>
        </w:tc>
        <w:tc>
          <w:tcPr>
            <w:tcW w:w="992" w:type="dxa"/>
            <w:tcBorders>
              <w:top w:val="nil"/>
              <w:left w:val="nil"/>
              <w:bottom w:val="single" w:sz="4" w:space="0" w:color="auto"/>
              <w:right w:val="single" w:sz="4" w:space="0" w:color="auto"/>
            </w:tcBorders>
            <w:shd w:val="clear" w:color="auto" w:fill="auto"/>
            <w:vAlign w:val="center"/>
            <w:hideMark/>
          </w:tcPr>
          <w:p w14:paraId="61FA3D3B" w14:textId="77777777" w:rsidR="00CA087D" w:rsidRPr="00BB04A6" w:rsidRDefault="00CA087D" w:rsidP="00FB6278">
            <w:pPr>
              <w:shd w:val="clear" w:color="auto" w:fill="FFFFFF" w:themeFill="background1"/>
              <w:jc w:val="center"/>
              <w:rPr>
                <w:rFonts w:ascii="Arial" w:hAnsi="Arial"/>
                <w:color w:val="000000" w:themeColor="text1"/>
                <w:sz w:val="22"/>
              </w:rPr>
            </w:pPr>
            <w:r w:rsidRPr="00BB04A6">
              <w:rPr>
                <w:rFonts w:ascii="Arial" w:hAnsi="Arial"/>
                <w:color w:val="000000" w:themeColor="text1"/>
                <w:sz w:val="22"/>
              </w:rPr>
              <w:t>n/a</w:t>
            </w:r>
          </w:p>
        </w:tc>
        <w:tc>
          <w:tcPr>
            <w:tcW w:w="1197" w:type="dxa"/>
            <w:tcBorders>
              <w:top w:val="single" w:sz="4" w:space="0" w:color="auto"/>
              <w:left w:val="single" w:sz="4" w:space="0" w:color="auto"/>
              <w:bottom w:val="single" w:sz="4" w:space="0" w:color="auto"/>
              <w:right w:val="single" w:sz="4" w:space="0" w:color="auto"/>
            </w:tcBorders>
          </w:tcPr>
          <w:p w14:paraId="580BFDDD" w14:textId="77777777" w:rsidR="00CA087D" w:rsidRPr="00BB04A6" w:rsidRDefault="00CA087D" w:rsidP="00FB6278">
            <w:pPr>
              <w:shd w:val="clear" w:color="auto" w:fill="FFFFFF" w:themeFill="background1"/>
              <w:jc w:val="center"/>
              <w:rPr>
                <w:rFonts w:ascii="Arial" w:hAnsi="Arial"/>
                <w:color w:val="000000" w:themeColor="text1"/>
                <w:sz w:val="22"/>
              </w:rPr>
            </w:pPr>
            <w:r w:rsidRPr="00BB04A6">
              <w:rPr>
                <w:rFonts w:ascii="Arial" w:hAnsi="Arial"/>
                <w:color w:val="000000" w:themeColor="text1"/>
                <w:sz w:val="22"/>
              </w:rPr>
              <w:t>83.9%</w:t>
            </w:r>
          </w:p>
        </w:tc>
        <w:tc>
          <w:tcPr>
            <w:tcW w:w="1197" w:type="dxa"/>
            <w:tcBorders>
              <w:top w:val="single" w:sz="4" w:space="0" w:color="auto"/>
              <w:left w:val="single" w:sz="4" w:space="0" w:color="auto"/>
              <w:bottom w:val="single" w:sz="4" w:space="0" w:color="auto"/>
              <w:right w:val="single" w:sz="4" w:space="0" w:color="auto"/>
            </w:tcBorders>
            <w:vAlign w:val="center"/>
          </w:tcPr>
          <w:p w14:paraId="5F16E3AC" w14:textId="77777777" w:rsidR="00CA087D" w:rsidRPr="00BB04A6" w:rsidRDefault="00CA087D" w:rsidP="00FB6278">
            <w:pPr>
              <w:shd w:val="clear" w:color="auto" w:fill="FFFFFF" w:themeFill="background1"/>
              <w:jc w:val="center"/>
              <w:rPr>
                <w:rFonts w:ascii="Arial" w:hAnsi="Arial"/>
                <w:color w:val="000000" w:themeColor="text1"/>
                <w:sz w:val="22"/>
              </w:rPr>
            </w:pPr>
            <w:r w:rsidRPr="00BB04A6">
              <w:rPr>
                <w:rFonts w:ascii="Arial" w:hAnsi="Arial"/>
                <w:color w:val="000000" w:themeColor="text1"/>
                <w:sz w:val="22"/>
              </w:rPr>
              <w:t>50.9%</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915E7" w14:textId="77777777" w:rsidR="00CA087D" w:rsidRPr="00BB04A6" w:rsidRDefault="00CA087D" w:rsidP="00FB6278">
            <w:pPr>
              <w:shd w:val="clear" w:color="auto" w:fill="FFFFFF" w:themeFill="background1"/>
              <w:jc w:val="center"/>
              <w:rPr>
                <w:rFonts w:ascii="Arial" w:hAnsi="Arial"/>
                <w:color w:val="000000" w:themeColor="text1"/>
                <w:sz w:val="22"/>
              </w:rPr>
            </w:pPr>
            <w:r w:rsidRPr="00183EF9">
              <w:rPr>
                <w:rFonts w:ascii="Arial" w:hAnsi="Arial" w:cs="Arial"/>
                <w:color w:val="000000" w:themeColor="text1"/>
                <w:sz w:val="20"/>
                <w:szCs w:val="20"/>
                <w:lang w:eastAsia="en-GB"/>
              </w:rPr>
              <w:t>71.2%</w:t>
            </w:r>
          </w:p>
        </w:tc>
      </w:tr>
      <w:tr w:rsidR="00CA087D" w:rsidRPr="00183EF9" w14:paraId="69DABE8B" w14:textId="77777777" w:rsidTr="005C232A">
        <w:trPr>
          <w:trHeight w:val="89"/>
        </w:trPr>
        <w:tc>
          <w:tcPr>
            <w:tcW w:w="40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3481F" w14:textId="77777777" w:rsidR="00CA087D" w:rsidRPr="00BB04A6" w:rsidRDefault="00CA087D" w:rsidP="00FB6278">
            <w:pPr>
              <w:shd w:val="clear" w:color="auto" w:fill="FFFFFF" w:themeFill="background1"/>
              <w:rPr>
                <w:rFonts w:ascii="Arial" w:hAnsi="Arial"/>
                <w:color w:val="000000" w:themeColor="text1"/>
                <w:sz w:val="22"/>
              </w:rPr>
            </w:pPr>
            <w:r w:rsidRPr="00BB04A6">
              <w:rPr>
                <w:rFonts w:ascii="Arial" w:hAnsi="Arial"/>
                <w:color w:val="000000" w:themeColor="text1"/>
                <w:sz w:val="22"/>
              </w:rPr>
              <w:t>New RTT periods all patients</w:t>
            </w:r>
          </w:p>
        </w:tc>
        <w:tc>
          <w:tcPr>
            <w:tcW w:w="992" w:type="dxa"/>
            <w:tcBorders>
              <w:top w:val="nil"/>
              <w:left w:val="nil"/>
              <w:bottom w:val="single" w:sz="4" w:space="0" w:color="auto"/>
              <w:right w:val="single" w:sz="4" w:space="0" w:color="auto"/>
            </w:tcBorders>
            <w:shd w:val="clear" w:color="auto" w:fill="auto"/>
            <w:vAlign w:val="center"/>
            <w:hideMark/>
          </w:tcPr>
          <w:p w14:paraId="0BF2945F" w14:textId="77777777" w:rsidR="00CA087D" w:rsidRPr="00BB04A6" w:rsidRDefault="00CA087D" w:rsidP="00FB6278">
            <w:pPr>
              <w:shd w:val="clear" w:color="auto" w:fill="FFFFFF" w:themeFill="background1"/>
              <w:jc w:val="center"/>
              <w:rPr>
                <w:rFonts w:ascii="Arial" w:hAnsi="Arial"/>
                <w:color w:val="000000" w:themeColor="text1"/>
                <w:sz w:val="22"/>
              </w:rPr>
            </w:pPr>
            <w:r w:rsidRPr="00BB04A6">
              <w:rPr>
                <w:rFonts w:ascii="Arial" w:hAnsi="Arial"/>
                <w:color w:val="000000" w:themeColor="text1"/>
                <w:sz w:val="22"/>
              </w:rPr>
              <w:t>n/a</w:t>
            </w:r>
          </w:p>
        </w:tc>
        <w:tc>
          <w:tcPr>
            <w:tcW w:w="1197" w:type="dxa"/>
            <w:tcBorders>
              <w:top w:val="single" w:sz="4" w:space="0" w:color="auto"/>
              <w:left w:val="single" w:sz="4" w:space="0" w:color="auto"/>
              <w:bottom w:val="single" w:sz="4" w:space="0" w:color="auto"/>
              <w:right w:val="single" w:sz="4" w:space="0" w:color="auto"/>
            </w:tcBorders>
          </w:tcPr>
          <w:p w14:paraId="7432C272" w14:textId="77777777" w:rsidR="00CA087D" w:rsidRPr="00BB04A6" w:rsidRDefault="00CA087D" w:rsidP="00FB6278">
            <w:pPr>
              <w:shd w:val="clear" w:color="auto" w:fill="FFFFFF" w:themeFill="background1"/>
              <w:jc w:val="center"/>
              <w:rPr>
                <w:rFonts w:ascii="Arial" w:hAnsi="Arial"/>
                <w:color w:val="000000" w:themeColor="text1"/>
                <w:sz w:val="22"/>
              </w:rPr>
            </w:pPr>
            <w:r w:rsidRPr="00BB04A6">
              <w:rPr>
                <w:rFonts w:ascii="Arial" w:hAnsi="Arial"/>
                <w:color w:val="000000" w:themeColor="text1"/>
                <w:sz w:val="22"/>
              </w:rPr>
              <w:t>144,338</w:t>
            </w:r>
          </w:p>
        </w:tc>
        <w:tc>
          <w:tcPr>
            <w:tcW w:w="1197" w:type="dxa"/>
            <w:tcBorders>
              <w:top w:val="single" w:sz="4" w:space="0" w:color="auto"/>
              <w:left w:val="single" w:sz="4" w:space="0" w:color="auto"/>
              <w:bottom w:val="single" w:sz="4" w:space="0" w:color="auto"/>
              <w:right w:val="single" w:sz="4" w:space="0" w:color="auto"/>
            </w:tcBorders>
            <w:vAlign w:val="center"/>
          </w:tcPr>
          <w:p w14:paraId="5A5A899F" w14:textId="77777777" w:rsidR="00CA087D" w:rsidRPr="00BB04A6" w:rsidRDefault="00CA087D" w:rsidP="00FB6278">
            <w:pPr>
              <w:shd w:val="clear" w:color="auto" w:fill="FFFFFF" w:themeFill="background1"/>
              <w:jc w:val="center"/>
              <w:rPr>
                <w:rFonts w:ascii="Arial" w:hAnsi="Arial"/>
                <w:color w:val="000000" w:themeColor="text1"/>
                <w:sz w:val="22"/>
              </w:rPr>
            </w:pPr>
            <w:r w:rsidRPr="00BB04A6">
              <w:rPr>
                <w:rFonts w:ascii="Arial" w:hAnsi="Arial"/>
                <w:color w:val="000000" w:themeColor="text1"/>
                <w:sz w:val="22"/>
              </w:rPr>
              <w:t>74,001</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E7C7D" w14:textId="77777777" w:rsidR="00CA087D" w:rsidRPr="00BB04A6" w:rsidRDefault="00CA087D" w:rsidP="00FB6278">
            <w:pPr>
              <w:shd w:val="clear" w:color="auto" w:fill="FFFFFF" w:themeFill="background1"/>
              <w:jc w:val="center"/>
              <w:rPr>
                <w:rFonts w:ascii="Arial" w:hAnsi="Arial"/>
                <w:color w:val="000000" w:themeColor="text1"/>
                <w:sz w:val="22"/>
              </w:rPr>
            </w:pPr>
            <w:r w:rsidRPr="00183EF9">
              <w:rPr>
                <w:rFonts w:ascii="Arial" w:hAnsi="Arial" w:cs="Arial"/>
                <w:color w:val="000000" w:themeColor="text1"/>
                <w:sz w:val="20"/>
                <w:szCs w:val="20"/>
                <w:lang w:eastAsia="en-GB"/>
              </w:rPr>
              <w:t>123,954</w:t>
            </w:r>
          </w:p>
        </w:tc>
      </w:tr>
    </w:tbl>
    <w:p w14:paraId="07CCD35C" w14:textId="77777777" w:rsidR="00CA087D" w:rsidRPr="00CD4F89" w:rsidRDefault="00CA087D" w:rsidP="00FB6278">
      <w:pPr>
        <w:keepNext/>
        <w:keepLines/>
        <w:numPr>
          <w:ilvl w:val="2"/>
          <w:numId w:val="0"/>
        </w:numPr>
        <w:shd w:val="clear" w:color="auto" w:fill="FFFFFF" w:themeFill="background1"/>
        <w:spacing w:before="200" w:after="240"/>
        <w:outlineLvl w:val="2"/>
        <w:rPr>
          <w:rFonts w:ascii="Arial" w:hAnsi="Arial"/>
          <w:b/>
          <w:iCs/>
          <w:color w:val="000000" w:themeColor="text1"/>
          <w:sz w:val="22"/>
          <w:szCs w:val="22"/>
        </w:rPr>
      </w:pPr>
      <w:r w:rsidRPr="00CD4F89">
        <w:rPr>
          <w:rFonts w:ascii="Arial" w:hAnsi="Arial"/>
          <w:b/>
          <w:iCs/>
          <w:color w:val="000000" w:themeColor="text1"/>
          <w:sz w:val="22"/>
          <w:szCs w:val="22"/>
        </w:rPr>
        <w:t>*</w:t>
      </w:r>
      <w:proofErr w:type="gramStart"/>
      <w:r w:rsidRPr="00CD4F89">
        <w:rPr>
          <w:rFonts w:ascii="Arial" w:hAnsi="Arial"/>
          <w:b/>
          <w:iCs/>
          <w:color w:val="000000" w:themeColor="text1"/>
          <w:sz w:val="22"/>
          <w:szCs w:val="22"/>
        </w:rPr>
        <w:t>decision</w:t>
      </w:r>
      <w:proofErr w:type="gramEnd"/>
      <w:r w:rsidRPr="00CD4F89">
        <w:rPr>
          <w:rFonts w:ascii="Arial" w:hAnsi="Arial"/>
          <w:b/>
          <w:iCs/>
          <w:color w:val="000000" w:themeColor="text1"/>
          <w:sz w:val="22"/>
          <w:szCs w:val="22"/>
        </w:rPr>
        <w:t xml:space="preserve"> to admit</w:t>
      </w:r>
    </w:p>
    <w:p w14:paraId="01E95510" w14:textId="095DF132" w:rsidR="006E1D36" w:rsidRPr="00BF493F" w:rsidRDefault="00CA087D" w:rsidP="00FB6278">
      <w:pPr>
        <w:shd w:val="clear" w:color="auto" w:fill="FFFFFF" w:themeFill="background1"/>
        <w:ind w:left="-567" w:right="-613"/>
        <w:jc w:val="both"/>
        <w:rPr>
          <w:rFonts w:ascii="Arial" w:hAnsi="Arial"/>
          <w:color w:val="000000" w:themeColor="text1"/>
          <w:sz w:val="22"/>
        </w:rPr>
      </w:pPr>
      <w:r w:rsidRPr="00BB04A6">
        <w:rPr>
          <w:rFonts w:ascii="Arial" w:hAnsi="Arial"/>
          <w:color w:val="000000" w:themeColor="text1"/>
          <w:sz w:val="22"/>
        </w:rPr>
        <w:t xml:space="preserve">Performance for the measure retained as the primary key performance indicator (18-weeks referral to treatment incomplete) has improved on the previous year’s position but has yet to return to pre-pandemic levels and remains below the annual target of 92%.   </w:t>
      </w:r>
    </w:p>
    <w:p w14:paraId="395E78A1" w14:textId="77777777" w:rsidR="006E1D36" w:rsidRDefault="006E1D36" w:rsidP="00FB6278">
      <w:pPr>
        <w:shd w:val="clear" w:color="auto" w:fill="FFFFFF" w:themeFill="background1"/>
        <w:ind w:left="-567" w:right="-613"/>
        <w:jc w:val="both"/>
        <w:rPr>
          <w:rFonts w:ascii="Arial" w:hAnsi="Arial"/>
          <w:b/>
          <w:sz w:val="22"/>
        </w:rPr>
      </w:pPr>
    </w:p>
    <w:p w14:paraId="58DE6DAC" w14:textId="1C9C75C3" w:rsidR="00CA087D" w:rsidRPr="00BB04A6" w:rsidRDefault="00CA087D" w:rsidP="00FB6278">
      <w:pPr>
        <w:shd w:val="clear" w:color="auto" w:fill="FFFFFF" w:themeFill="background1"/>
        <w:ind w:left="-567" w:right="-613"/>
        <w:jc w:val="both"/>
        <w:rPr>
          <w:rFonts w:ascii="Arial" w:hAnsi="Arial"/>
          <w:b/>
          <w:sz w:val="22"/>
        </w:rPr>
      </w:pPr>
      <w:r w:rsidRPr="00BB04A6">
        <w:rPr>
          <w:rFonts w:ascii="Arial" w:hAnsi="Arial"/>
          <w:b/>
          <w:sz w:val="22"/>
        </w:rPr>
        <w:t>A&amp;E</w:t>
      </w:r>
    </w:p>
    <w:p w14:paraId="682243E3" w14:textId="77777777" w:rsidR="00CA087D" w:rsidRPr="00BB04A6" w:rsidRDefault="00CA087D" w:rsidP="00FB6278">
      <w:pPr>
        <w:shd w:val="clear" w:color="auto" w:fill="FFFFFF" w:themeFill="background1"/>
        <w:ind w:left="-567" w:right="-613"/>
        <w:jc w:val="both"/>
        <w:rPr>
          <w:rFonts w:ascii="Arial" w:hAnsi="Arial"/>
          <w:b/>
          <w:sz w:val="22"/>
        </w:rPr>
      </w:pPr>
    </w:p>
    <w:tbl>
      <w:tblPr>
        <w:tblW w:w="9060" w:type="dxa"/>
        <w:tblInd w:w="108" w:type="dxa"/>
        <w:tblLook w:val="04A0" w:firstRow="1" w:lastRow="0" w:firstColumn="1" w:lastColumn="0" w:noHBand="0" w:noVBand="1"/>
      </w:tblPr>
      <w:tblGrid>
        <w:gridCol w:w="3380"/>
        <w:gridCol w:w="1420"/>
        <w:gridCol w:w="1420"/>
        <w:gridCol w:w="1420"/>
        <w:gridCol w:w="1420"/>
      </w:tblGrid>
      <w:tr w:rsidR="00CA087D" w:rsidRPr="00B33DCD" w14:paraId="4A915105" w14:textId="77777777" w:rsidTr="00CD4F89">
        <w:trPr>
          <w:trHeight w:val="315"/>
        </w:trPr>
        <w:tc>
          <w:tcPr>
            <w:tcW w:w="33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934498" w14:textId="77777777" w:rsidR="00CA087D" w:rsidRPr="00BB04A6" w:rsidRDefault="00CA087D" w:rsidP="00FB6278">
            <w:pPr>
              <w:shd w:val="clear" w:color="auto" w:fill="FFFFFF" w:themeFill="background1"/>
              <w:rPr>
                <w:rFonts w:ascii="Arial" w:hAnsi="Arial"/>
                <w:b/>
                <w:sz w:val="22"/>
              </w:rPr>
            </w:pPr>
            <w:r w:rsidRPr="00BB04A6">
              <w:rPr>
                <w:rFonts w:ascii="Arial" w:hAnsi="Arial"/>
                <w:b/>
                <w:sz w:val="22"/>
              </w:rPr>
              <w:t>Indicator</w:t>
            </w:r>
          </w:p>
        </w:tc>
        <w:tc>
          <w:tcPr>
            <w:tcW w:w="1420" w:type="dxa"/>
            <w:tcBorders>
              <w:top w:val="single" w:sz="8" w:space="0" w:color="auto"/>
              <w:left w:val="nil"/>
              <w:bottom w:val="single" w:sz="8" w:space="0" w:color="auto"/>
              <w:right w:val="single" w:sz="4" w:space="0" w:color="auto"/>
            </w:tcBorders>
            <w:shd w:val="clear" w:color="auto" w:fill="auto"/>
            <w:vAlign w:val="center"/>
            <w:hideMark/>
          </w:tcPr>
          <w:p w14:paraId="7DBB289F" w14:textId="77777777" w:rsidR="00CA087D" w:rsidRPr="00BB04A6" w:rsidRDefault="00CA087D" w:rsidP="00FB6278">
            <w:pPr>
              <w:shd w:val="clear" w:color="auto" w:fill="FFFFFF" w:themeFill="background1"/>
              <w:jc w:val="center"/>
              <w:rPr>
                <w:rFonts w:ascii="Arial" w:hAnsi="Arial"/>
                <w:b/>
                <w:sz w:val="22"/>
              </w:rPr>
            </w:pPr>
            <w:r w:rsidRPr="00BB04A6">
              <w:rPr>
                <w:rFonts w:ascii="Arial" w:hAnsi="Arial"/>
                <w:b/>
                <w:sz w:val="22"/>
              </w:rPr>
              <w:t>Target</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10125ED1" w14:textId="77777777" w:rsidR="00CA087D" w:rsidRPr="00BB04A6" w:rsidRDefault="00CA087D" w:rsidP="00FB6278">
            <w:pPr>
              <w:shd w:val="clear" w:color="auto" w:fill="FFFFFF" w:themeFill="background1"/>
              <w:jc w:val="center"/>
              <w:rPr>
                <w:rFonts w:ascii="Arial" w:hAnsi="Arial"/>
                <w:b/>
                <w:sz w:val="22"/>
              </w:rPr>
            </w:pPr>
            <w:r w:rsidRPr="00BB04A6">
              <w:rPr>
                <w:rFonts w:ascii="Arial" w:hAnsi="Arial"/>
                <w:b/>
                <w:sz w:val="22"/>
              </w:rPr>
              <w:t>2019/20</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2BCC1F90" w14:textId="77777777" w:rsidR="00CA087D" w:rsidRPr="00BB04A6" w:rsidRDefault="00CA087D" w:rsidP="00FB6278">
            <w:pPr>
              <w:shd w:val="clear" w:color="auto" w:fill="FFFFFF" w:themeFill="background1"/>
              <w:jc w:val="center"/>
              <w:rPr>
                <w:rFonts w:ascii="Arial" w:hAnsi="Arial"/>
                <w:b/>
                <w:sz w:val="22"/>
              </w:rPr>
            </w:pPr>
            <w:r w:rsidRPr="00BB04A6">
              <w:rPr>
                <w:rFonts w:ascii="Arial" w:hAnsi="Arial"/>
                <w:b/>
                <w:sz w:val="22"/>
              </w:rPr>
              <w:t>2020/21</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3B486" w14:textId="6B0B81F0" w:rsidR="00CA087D" w:rsidRPr="00BB04A6" w:rsidRDefault="00CA087D" w:rsidP="00FB6278">
            <w:pPr>
              <w:shd w:val="clear" w:color="auto" w:fill="FFFFFF" w:themeFill="background1"/>
              <w:jc w:val="center"/>
              <w:rPr>
                <w:rFonts w:ascii="Arial" w:hAnsi="Arial"/>
                <w:b/>
                <w:sz w:val="22"/>
              </w:rPr>
            </w:pPr>
            <w:r w:rsidRPr="00BB04A6">
              <w:rPr>
                <w:rFonts w:ascii="Arial" w:hAnsi="Arial"/>
                <w:b/>
                <w:sz w:val="22"/>
              </w:rPr>
              <w:t>202</w:t>
            </w:r>
            <w:r w:rsidR="000A6436">
              <w:rPr>
                <w:rFonts w:ascii="Arial" w:hAnsi="Arial"/>
                <w:b/>
                <w:sz w:val="22"/>
              </w:rPr>
              <w:t>1</w:t>
            </w:r>
            <w:r w:rsidRPr="00BB04A6">
              <w:rPr>
                <w:rFonts w:ascii="Arial" w:hAnsi="Arial"/>
                <w:b/>
                <w:sz w:val="22"/>
              </w:rPr>
              <w:t>/2</w:t>
            </w:r>
            <w:r w:rsidR="000A6436">
              <w:rPr>
                <w:rFonts w:ascii="Arial" w:hAnsi="Arial"/>
                <w:b/>
                <w:sz w:val="22"/>
              </w:rPr>
              <w:t>2</w:t>
            </w:r>
          </w:p>
        </w:tc>
      </w:tr>
      <w:tr w:rsidR="00CA087D" w:rsidRPr="00B33DCD" w14:paraId="448A244B" w14:textId="77777777" w:rsidTr="005C232A">
        <w:trPr>
          <w:trHeight w:val="315"/>
        </w:trPr>
        <w:tc>
          <w:tcPr>
            <w:tcW w:w="3380" w:type="dxa"/>
            <w:tcBorders>
              <w:top w:val="nil"/>
              <w:left w:val="single" w:sz="8" w:space="0" w:color="auto"/>
              <w:bottom w:val="single" w:sz="8" w:space="0" w:color="auto"/>
              <w:right w:val="single" w:sz="8" w:space="0" w:color="auto"/>
            </w:tcBorders>
            <w:shd w:val="clear" w:color="auto" w:fill="auto"/>
            <w:noWrap/>
            <w:vAlign w:val="center"/>
            <w:hideMark/>
          </w:tcPr>
          <w:p w14:paraId="43DE0C93" w14:textId="77777777" w:rsidR="00CA087D" w:rsidRPr="00BB04A6" w:rsidRDefault="00CA087D" w:rsidP="00FB6278">
            <w:pPr>
              <w:shd w:val="clear" w:color="auto" w:fill="FFFFFF" w:themeFill="background1"/>
              <w:rPr>
                <w:rFonts w:ascii="Arial" w:hAnsi="Arial"/>
                <w:sz w:val="22"/>
              </w:rPr>
            </w:pPr>
            <w:r w:rsidRPr="00BB04A6">
              <w:rPr>
                <w:rFonts w:ascii="Arial" w:hAnsi="Arial"/>
                <w:sz w:val="22"/>
              </w:rPr>
              <w:t>A&amp;E four-hour performance</w:t>
            </w:r>
          </w:p>
        </w:tc>
        <w:tc>
          <w:tcPr>
            <w:tcW w:w="1420" w:type="dxa"/>
            <w:tcBorders>
              <w:top w:val="nil"/>
              <w:left w:val="nil"/>
              <w:bottom w:val="single" w:sz="8" w:space="0" w:color="auto"/>
              <w:right w:val="single" w:sz="4" w:space="0" w:color="auto"/>
            </w:tcBorders>
            <w:shd w:val="clear" w:color="auto" w:fill="auto"/>
            <w:noWrap/>
            <w:vAlign w:val="center"/>
            <w:hideMark/>
          </w:tcPr>
          <w:p w14:paraId="3895427D" w14:textId="77777777" w:rsidR="00CA087D" w:rsidRPr="00BB04A6" w:rsidRDefault="00CA087D" w:rsidP="00FB6278">
            <w:pPr>
              <w:shd w:val="clear" w:color="auto" w:fill="FFFFFF" w:themeFill="background1"/>
              <w:jc w:val="center"/>
              <w:rPr>
                <w:rFonts w:ascii="Arial" w:hAnsi="Arial"/>
                <w:sz w:val="22"/>
              </w:rPr>
            </w:pPr>
            <w:r w:rsidRPr="00BB04A6">
              <w:rPr>
                <w:rFonts w:ascii="Arial" w:hAnsi="Arial"/>
                <w:sz w:val="22"/>
              </w:rPr>
              <w:t xml:space="preserve">≥ 95% </w:t>
            </w:r>
          </w:p>
        </w:tc>
        <w:tc>
          <w:tcPr>
            <w:tcW w:w="1420" w:type="dxa"/>
            <w:tcBorders>
              <w:top w:val="single" w:sz="4" w:space="0" w:color="auto"/>
              <w:left w:val="single" w:sz="4" w:space="0" w:color="auto"/>
              <w:bottom w:val="single" w:sz="4" w:space="0" w:color="auto"/>
              <w:right w:val="single" w:sz="4" w:space="0" w:color="auto"/>
            </w:tcBorders>
            <w:vAlign w:val="center"/>
          </w:tcPr>
          <w:p w14:paraId="51247C24" w14:textId="77777777" w:rsidR="00CA087D" w:rsidRPr="00BB04A6" w:rsidRDefault="00CA087D" w:rsidP="00FB6278">
            <w:pPr>
              <w:shd w:val="clear" w:color="auto" w:fill="FFFFFF" w:themeFill="background1"/>
              <w:jc w:val="center"/>
              <w:rPr>
                <w:rFonts w:ascii="Arial" w:hAnsi="Arial"/>
                <w:sz w:val="22"/>
              </w:rPr>
            </w:pPr>
            <w:r w:rsidRPr="00BB04A6">
              <w:rPr>
                <w:rFonts w:ascii="Arial" w:hAnsi="Arial"/>
                <w:sz w:val="22"/>
              </w:rPr>
              <w:t>98.50%</w:t>
            </w:r>
          </w:p>
        </w:tc>
        <w:tc>
          <w:tcPr>
            <w:tcW w:w="1420" w:type="dxa"/>
            <w:tcBorders>
              <w:top w:val="single" w:sz="4" w:space="0" w:color="auto"/>
              <w:left w:val="single" w:sz="4" w:space="0" w:color="auto"/>
              <w:bottom w:val="single" w:sz="4" w:space="0" w:color="auto"/>
              <w:right w:val="single" w:sz="4" w:space="0" w:color="auto"/>
            </w:tcBorders>
            <w:vAlign w:val="center"/>
          </w:tcPr>
          <w:p w14:paraId="7FBB5CE5" w14:textId="77777777" w:rsidR="00CA087D" w:rsidRPr="00BB04A6" w:rsidRDefault="00CA087D" w:rsidP="00FB6278">
            <w:pPr>
              <w:shd w:val="clear" w:color="auto" w:fill="FFFFFF" w:themeFill="background1"/>
              <w:jc w:val="center"/>
              <w:rPr>
                <w:rFonts w:ascii="Arial" w:hAnsi="Arial"/>
                <w:sz w:val="22"/>
              </w:rPr>
            </w:pPr>
            <w:r w:rsidRPr="00BB04A6">
              <w:rPr>
                <w:rFonts w:ascii="Arial" w:hAnsi="Arial"/>
                <w:sz w:val="22"/>
              </w:rPr>
              <w:t>99.98%</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51E7CC01" w14:textId="77777777" w:rsidR="00CA087D" w:rsidRPr="00BB04A6" w:rsidRDefault="00CA087D" w:rsidP="00FB6278">
            <w:pPr>
              <w:shd w:val="clear" w:color="auto" w:fill="FFFFFF" w:themeFill="background1"/>
              <w:jc w:val="center"/>
              <w:rPr>
                <w:rFonts w:ascii="Arial" w:hAnsi="Arial"/>
                <w:sz w:val="22"/>
              </w:rPr>
            </w:pPr>
            <w:r w:rsidRPr="00BB04A6">
              <w:rPr>
                <w:rFonts w:ascii="Arial" w:hAnsi="Arial"/>
                <w:sz w:val="22"/>
              </w:rPr>
              <w:t>99.9%</w:t>
            </w:r>
          </w:p>
        </w:tc>
      </w:tr>
      <w:tr w:rsidR="00CA087D" w:rsidRPr="00B33DCD" w14:paraId="56701683" w14:textId="77777777" w:rsidTr="005C232A">
        <w:trPr>
          <w:trHeight w:val="31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029F3A99" w14:textId="77777777" w:rsidR="00CA087D" w:rsidRPr="00BB04A6" w:rsidRDefault="00CA087D" w:rsidP="00FB6278">
            <w:pPr>
              <w:shd w:val="clear" w:color="auto" w:fill="FFFFFF" w:themeFill="background1"/>
              <w:rPr>
                <w:rFonts w:ascii="Arial" w:hAnsi="Arial"/>
                <w:sz w:val="22"/>
              </w:rPr>
            </w:pPr>
            <w:r w:rsidRPr="00BB04A6">
              <w:rPr>
                <w:rFonts w:ascii="Arial" w:hAnsi="Arial"/>
                <w:sz w:val="22"/>
              </w:rPr>
              <w:t>Total number of arrivals in A&amp;E</w:t>
            </w:r>
          </w:p>
        </w:tc>
        <w:tc>
          <w:tcPr>
            <w:tcW w:w="1420" w:type="dxa"/>
            <w:tcBorders>
              <w:top w:val="nil"/>
              <w:left w:val="nil"/>
              <w:bottom w:val="single" w:sz="8" w:space="0" w:color="auto"/>
              <w:right w:val="single" w:sz="4" w:space="0" w:color="auto"/>
            </w:tcBorders>
            <w:shd w:val="clear" w:color="auto" w:fill="auto"/>
            <w:noWrap/>
            <w:vAlign w:val="center"/>
            <w:hideMark/>
          </w:tcPr>
          <w:p w14:paraId="3197C1E5" w14:textId="77777777" w:rsidR="00CA087D" w:rsidRPr="00BB04A6" w:rsidRDefault="00CA087D" w:rsidP="00FB6278">
            <w:pPr>
              <w:shd w:val="clear" w:color="auto" w:fill="FFFFFF" w:themeFill="background1"/>
              <w:jc w:val="center"/>
              <w:rPr>
                <w:rFonts w:ascii="Arial" w:hAnsi="Arial"/>
                <w:sz w:val="22"/>
              </w:rPr>
            </w:pPr>
            <w:r w:rsidRPr="00BB04A6">
              <w:rPr>
                <w:rFonts w:ascii="Arial" w:hAnsi="Arial"/>
                <w:sz w:val="22"/>
              </w:rPr>
              <w:t>N/A</w:t>
            </w:r>
          </w:p>
        </w:tc>
        <w:tc>
          <w:tcPr>
            <w:tcW w:w="1420" w:type="dxa"/>
            <w:tcBorders>
              <w:top w:val="single" w:sz="4" w:space="0" w:color="auto"/>
              <w:left w:val="single" w:sz="4" w:space="0" w:color="auto"/>
              <w:bottom w:val="single" w:sz="4" w:space="0" w:color="auto"/>
              <w:right w:val="single" w:sz="4" w:space="0" w:color="auto"/>
            </w:tcBorders>
            <w:vAlign w:val="center"/>
          </w:tcPr>
          <w:p w14:paraId="25F63E85" w14:textId="77777777" w:rsidR="00CA087D" w:rsidRPr="00BB04A6" w:rsidRDefault="00CA087D" w:rsidP="00FB6278">
            <w:pPr>
              <w:shd w:val="clear" w:color="auto" w:fill="FFFFFF" w:themeFill="background1"/>
              <w:jc w:val="center"/>
              <w:rPr>
                <w:rFonts w:ascii="Arial" w:hAnsi="Arial"/>
                <w:sz w:val="22"/>
              </w:rPr>
            </w:pPr>
            <w:r w:rsidRPr="00BB04A6">
              <w:rPr>
                <w:rFonts w:ascii="Arial" w:hAnsi="Arial"/>
                <w:sz w:val="22"/>
              </w:rPr>
              <w:t>95,523</w:t>
            </w:r>
          </w:p>
        </w:tc>
        <w:tc>
          <w:tcPr>
            <w:tcW w:w="1420" w:type="dxa"/>
            <w:tcBorders>
              <w:top w:val="single" w:sz="4" w:space="0" w:color="auto"/>
              <w:left w:val="single" w:sz="4" w:space="0" w:color="auto"/>
              <w:bottom w:val="single" w:sz="4" w:space="0" w:color="auto"/>
              <w:right w:val="single" w:sz="4" w:space="0" w:color="auto"/>
            </w:tcBorders>
            <w:vAlign w:val="center"/>
          </w:tcPr>
          <w:p w14:paraId="72C93401" w14:textId="77777777" w:rsidR="00CA087D" w:rsidRPr="00BB04A6" w:rsidRDefault="00CA087D" w:rsidP="00FB6278">
            <w:pPr>
              <w:shd w:val="clear" w:color="auto" w:fill="FFFFFF" w:themeFill="background1"/>
              <w:jc w:val="center"/>
              <w:rPr>
                <w:rFonts w:ascii="Arial" w:hAnsi="Arial"/>
                <w:sz w:val="22"/>
              </w:rPr>
            </w:pPr>
            <w:r w:rsidRPr="00BB04A6">
              <w:rPr>
                <w:rFonts w:ascii="Arial" w:hAnsi="Arial"/>
                <w:sz w:val="22"/>
              </w:rPr>
              <w:t>61,173</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2BDCF357" w14:textId="77777777" w:rsidR="00CA087D" w:rsidRPr="00BB04A6" w:rsidRDefault="00CA087D" w:rsidP="00FB6278">
            <w:pPr>
              <w:shd w:val="clear" w:color="auto" w:fill="FFFFFF" w:themeFill="background1"/>
              <w:jc w:val="center"/>
              <w:rPr>
                <w:rFonts w:ascii="Arial" w:hAnsi="Arial"/>
                <w:sz w:val="22"/>
              </w:rPr>
            </w:pPr>
            <w:r w:rsidRPr="00BB04A6">
              <w:rPr>
                <w:rFonts w:ascii="Arial" w:hAnsi="Arial"/>
                <w:sz w:val="22"/>
              </w:rPr>
              <w:t>61,404</w:t>
            </w:r>
          </w:p>
        </w:tc>
      </w:tr>
      <w:tr w:rsidR="00CA087D" w:rsidRPr="00B33DCD" w14:paraId="40EE244B" w14:textId="77777777" w:rsidTr="005C232A">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251C8B7D" w14:textId="77777777" w:rsidR="00CA087D" w:rsidRPr="00BB04A6" w:rsidRDefault="00CA087D" w:rsidP="00FB6278">
            <w:pPr>
              <w:shd w:val="clear" w:color="auto" w:fill="FFFFFF" w:themeFill="background1"/>
              <w:rPr>
                <w:rFonts w:ascii="Arial" w:hAnsi="Arial"/>
                <w:sz w:val="22"/>
              </w:rPr>
            </w:pPr>
            <w:r w:rsidRPr="00BB04A6">
              <w:rPr>
                <w:rFonts w:ascii="Arial" w:hAnsi="Arial"/>
                <w:sz w:val="22"/>
              </w:rPr>
              <w:t>Time to treatment in A&amp;E department – median</w:t>
            </w:r>
          </w:p>
        </w:tc>
        <w:tc>
          <w:tcPr>
            <w:tcW w:w="1420" w:type="dxa"/>
            <w:tcBorders>
              <w:top w:val="nil"/>
              <w:left w:val="nil"/>
              <w:bottom w:val="single" w:sz="8" w:space="0" w:color="auto"/>
              <w:right w:val="single" w:sz="4" w:space="0" w:color="auto"/>
            </w:tcBorders>
            <w:shd w:val="clear" w:color="auto" w:fill="auto"/>
            <w:noWrap/>
            <w:vAlign w:val="center"/>
            <w:hideMark/>
          </w:tcPr>
          <w:p w14:paraId="53200377" w14:textId="77777777" w:rsidR="00CA087D" w:rsidRPr="00BB04A6" w:rsidRDefault="00CA087D" w:rsidP="00FB6278">
            <w:pPr>
              <w:shd w:val="clear" w:color="auto" w:fill="FFFFFF" w:themeFill="background1"/>
              <w:jc w:val="center"/>
              <w:rPr>
                <w:rFonts w:ascii="Arial" w:hAnsi="Arial"/>
                <w:sz w:val="22"/>
              </w:rPr>
            </w:pPr>
            <w:r w:rsidRPr="00BB04A6">
              <w:rPr>
                <w:rFonts w:ascii="Arial" w:hAnsi="Arial"/>
                <w:sz w:val="22"/>
              </w:rPr>
              <w:t>≤ 60 mins</w:t>
            </w:r>
          </w:p>
        </w:tc>
        <w:tc>
          <w:tcPr>
            <w:tcW w:w="1420" w:type="dxa"/>
            <w:tcBorders>
              <w:top w:val="single" w:sz="4" w:space="0" w:color="auto"/>
              <w:left w:val="single" w:sz="4" w:space="0" w:color="auto"/>
              <w:bottom w:val="single" w:sz="4" w:space="0" w:color="auto"/>
              <w:right w:val="single" w:sz="4" w:space="0" w:color="auto"/>
            </w:tcBorders>
            <w:vAlign w:val="center"/>
          </w:tcPr>
          <w:p w14:paraId="0E31C9E5" w14:textId="77777777" w:rsidR="00CA087D" w:rsidRPr="00BB04A6" w:rsidRDefault="00CA087D" w:rsidP="00FB6278">
            <w:pPr>
              <w:shd w:val="clear" w:color="auto" w:fill="FFFFFF" w:themeFill="background1"/>
              <w:jc w:val="center"/>
              <w:rPr>
                <w:rFonts w:ascii="Arial" w:hAnsi="Arial"/>
                <w:sz w:val="22"/>
              </w:rPr>
            </w:pPr>
            <w:r w:rsidRPr="00BB04A6">
              <w:rPr>
                <w:rFonts w:ascii="Arial" w:hAnsi="Arial"/>
                <w:sz w:val="22"/>
              </w:rPr>
              <w:t>126</w:t>
            </w:r>
          </w:p>
        </w:tc>
        <w:tc>
          <w:tcPr>
            <w:tcW w:w="1420" w:type="dxa"/>
            <w:tcBorders>
              <w:top w:val="single" w:sz="4" w:space="0" w:color="auto"/>
              <w:left w:val="single" w:sz="4" w:space="0" w:color="auto"/>
              <w:bottom w:val="single" w:sz="4" w:space="0" w:color="auto"/>
              <w:right w:val="single" w:sz="4" w:space="0" w:color="auto"/>
            </w:tcBorders>
            <w:vAlign w:val="center"/>
          </w:tcPr>
          <w:p w14:paraId="271B0B9E" w14:textId="77777777" w:rsidR="00CA087D" w:rsidRPr="00BB04A6" w:rsidRDefault="00CA087D" w:rsidP="00FB6278">
            <w:pPr>
              <w:shd w:val="clear" w:color="auto" w:fill="FFFFFF" w:themeFill="background1"/>
              <w:jc w:val="center"/>
              <w:rPr>
                <w:rFonts w:ascii="Arial" w:hAnsi="Arial"/>
                <w:sz w:val="22"/>
              </w:rPr>
            </w:pPr>
            <w:r w:rsidRPr="00BB04A6">
              <w:rPr>
                <w:rFonts w:ascii="Arial" w:hAnsi="Arial"/>
                <w:sz w:val="22"/>
              </w:rPr>
              <w:t>85</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5399736E" w14:textId="77777777" w:rsidR="00CA087D" w:rsidRPr="00BB04A6" w:rsidRDefault="00CA087D" w:rsidP="00FB6278">
            <w:pPr>
              <w:shd w:val="clear" w:color="auto" w:fill="FFFFFF" w:themeFill="background1"/>
              <w:jc w:val="center"/>
              <w:rPr>
                <w:rFonts w:ascii="Arial" w:hAnsi="Arial"/>
                <w:sz w:val="22"/>
              </w:rPr>
            </w:pPr>
            <w:r w:rsidRPr="00BB04A6">
              <w:rPr>
                <w:rFonts w:ascii="Arial" w:hAnsi="Arial"/>
                <w:sz w:val="22"/>
              </w:rPr>
              <w:t>87</w:t>
            </w:r>
          </w:p>
        </w:tc>
      </w:tr>
      <w:tr w:rsidR="00CA087D" w:rsidRPr="00B33DCD" w14:paraId="611677B6" w14:textId="77777777" w:rsidTr="005C232A">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0AF32937" w14:textId="77777777" w:rsidR="00CA087D" w:rsidRPr="00BB04A6" w:rsidRDefault="00CA087D" w:rsidP="00FB6278">
            <w:pPr>
              <w:shd w:val="clear" w:color="auto" w:fill="FFFFFF" w:themeFill="background1"/>
              <w:rPr>
                <w:rFonts w:ascii="Arial" w:hAnsi="Arial"/>
                <w:sz w:val="22"/>
              </w:rPr>
            </w:pPr>
            <w:r w:rsidRPr="00BB04A6">
              <w:rPr>
                <w:rFonts w:ascii="Arial" w:hAnsi="Arial"/>
                <w:sz w:val="22"/>
              </w:rPr>
              <w:t>Time to assessment in A&amp;E department – median</w:t>
            </w:r>
          </w:p>
        </w:tc>
        <w:tc>
          <w:tcPr>
            <w:tcW w:w="1420" w:type="dxa"/>
            <w:tcBorders>
              <w:top w:val="nil"/>
              <w:left w:val="nil"/>
              <w:bottom w:val="single" w:sz="8" w:space="0" w:color="auto"/>
              <w:right w:val="single" w:sz="4" w:space="0" w:color="auto"/>
            </w:tcBorders>
            <w:shd w:val="clear" w:color="auto" w:fill="auto"/>
            <w:noWrap/>
            <w:vAlign w:val="center"/>
            <w:hideMark/>
          </w:tcPr>
          <w:p w14:paraId="2D80DFE6" w14:textId="77777777" w:rsidR="00CA087D" w:rsidRPr="00BB04A6" w:rsidRDefault="00CA087D" w:rsidP="00FB6278">
            <w:pPr>
              <w:shd w:val="clear" w:color="auto" w:fill="FFFFFF" w:themeFill="background1"/>
              <w:jc w:val="center"/>
              <w:rPr>
                <w:rFonts w:ascii="Arial" w:hAnsi="Arial"/>
                <w:sz w:val="22"/>
              </w:rPr>
            </w:pPr>
            <w:r w:rsidRPr="00BB04A6">
              <w:rPr>
                <w:rFonts w:ascii="Arial" w:hAnsi="Arial"/>
                <w:sz w:val="22"/>
              </w:rPr>
              <w:t>≤ 15mins</w:t>
            </w:r>
          </w:p>
        </w:tc>
        <w:tc>
          <w:tcPr>
            <w:tcW w:w="1420" w:type="dxa"/>
            <w:tcBorders>
              <w:top w:val="single" w:sz="4" w:space="0" w:color="auto"/>
              <w:left w:val="single" w:sz="4" w:space="0" w:color="auto"/>
              <w:bottom w:val="single" w:sz="4" w:space="0" w:color="auto"/>
              <w:right w:val="single" w:sz="4" w:space="0" w:color="auto"/>
            </w:tcBorders>
            <w:vAlign w:val="center"/>
          </w:tcPr>
          <w:p w14:paraId="441A47E1" w14:textId="77777777" w:rsidR="00CA087D" w:rsidRPr="00BB04A6" w:rsidRDefault="00CA087D" w:rsidP="00FB6278">
            <w:pPr>
              <w:shd w:val="clear" w:color="auto" w:fill="FFFFFF" w:themeFill="background1"/>
              <w:jc w:val="center"/>
              <w:rPr>
                <w:rFonts w:ascii="Arial" w:hAnsi="Arial"/>
                <w:sz w:val="22"/>
              </w:rPr>
            </w:pPr>
            <w:r w:rsidRPr="00BB04A6">
              <w:rPr>
                <w:rFonts w:ascii="Arial" w:hAnsi="Arial"/>
                <w:sz w:val="22"/>
              </w:rPr>
              <w:t>18</w:t>
            </w:r>
          </w:p>
        </w:tc>
        <w:tc>
          <w:tcPr>
            <w:tcW w:w="1420" w:type="dxa"/>
            <w:tcBorders>
              <w:top w:val="single" w:sz="4" w:space="0" w:color="auto"/>
              <w:left w:val="single" w:sz="4" w:space="0" w:color="auto"/>
              <w:bottom w:val="single" w:sz="4" w:space="0" w:color="auto"/>
              <w:right w:val="single" w:sz="4" w:space="0" w:color="auto"/>
            </w:tcBorders>
            <w:vAlign w:val="center"/>
          </w:tcPr>
          <w:p w14:paraId="3F446DF6" w14:textId="77777777" w:rsidR="00CA087D" w:rsidRPr="00BB04A6" w:rsidRDefault="00CA087D" w:rsidP="00FB6278">
            <w:pPr>
              <w:shd w:val="clear" w:color="auto" w:fill="FFFFFF" w:themeFill="background1"/>
              <w:jc w:val="center"/>
              <w:rPr>
                <w:rFonts w:ascii="Arial" w:hAnsi="Arial"/>
                <w:sz w:val="22"/>
              </w:rPr>
            </w:pPr>
            <w:r w:rsidRPr="00BB04A6">
              <w:rPr>
                <w:rFonts w:ascii="Arial" w:hAnsi="Arial"/>
                <w:sz w:val="22"/>
              </w:rPr>
              <w:t>10</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3F3B4D6F" w14:textId="77777777" w:rsidR="00CA087D" w:rsidRPr="00BB04A6" w:rsidRDefault="00CA087D" w:rsidP="00FB6278">
            <w:pPr>
              <w:shd w:val="clear" w:color="auto" w:fill="FFFFFF" w:themeFill="background1"/>
              <w:jc w:val="center"/>
              <w:rPr>
                <w:rFonts w:ascii="Arial" w:hAnsi="Arial"/>
                <w:sz w:val="22"/>
              </w:rPr>
            </w:pPr>
            <w:r w:rsidRPr="00BB04A6">
              <w:rPr>
                <w:rFonts w:ascii="Arial" w:hAnsi="Arial"/>
                <w:sz w:val="22"/>
              </w:rPr>
              <w:t>18</w:t>
            </w:r>
          </w:p>
        </w:tc>
      </w:tr>
    </w:tbl>
    <w:p w14:paraId="35FB5989" w14:textId="77777777" w:rsidR="00CA087D" w:rsidRPr="00BB04A6" w:rsidRDefault="00CA087D" w:rsidP="00FB6278">
      <w:pPr>
        <w:shd w:val="clear" w:color="auto" w:fill="FFFFFF" w:themeFill="background1"/>
        <w:ind w:left="-567" w:right="-613"/>
        <w:jc w:val="both"/>
        <w:rPr>
          <w:rFonts w:ascii="Arial" w:hAnsi="Arial"/>
          <w:b/>
          <w:sz w:val="22"/>
        </w:rPr>
      </w:pPr>
    </w:p>
    <w:p w14:paraId="06A69D23" w14:textId="77777777" w:rsidR="00CA087D" w:rsidRPr="00BB04A6" w:rsidRDefault="00CA087D" w:rsidP="00FB6278">
      <w:pPr>
        <w:shd w:val="clear" w:color="auto" w:fill="FFFFFF" w:themeFill="background1"/>
        <w:ind w:left="-567" w:right="-613"/>
        <w:jc w:val="both"/>
        <w:rPr>
          <w:rFonts w:ascii="Arial" w:hAnsi="Arial"/>
          <w:sz w:val="22"/>
        </w:rPr>
      </w:pPr>
      <w:r w:rsidRPr="00BB04A6">
        <w:rPr>
          <w:rFonts w:ascii="Arial" w:hAnsi="Arial"/>
          <w:sz w:val="22"/>
        </w:rPr>
        <w:t xml:space="preserve">The national requirement is to report the proportion of attendances lasting fewer than four hours from arrival to admission, </w:t>
      </w:r>
      <w:proofErr w:type="gramStart"/>
      <w:r w:rsidRPr="00BB04A6">
        <w:rPr>
          <w:rFonts w:ascii="Arial" w:hAnsi="Arial"/>
          <w:sz w:val="22"/>
        </w:rPr>
        <w:t>transfer</w:t>
      </w:r>
      <w:proofErr w:type="gramEnd"/>
      <w:r w:rsidRPr="00BB04A6">
        <w:rPr>
          <w:rFonts w:ascii="Arial" w:hAnsi="Arial"/>
          <w:sz w:val="22"/>
        </w:rPr>
        <w:t xml:space="preserve"> or discharge in A&amp;E. This has a minimum target of 95% which we have consistently exceeded and improved upon – in the total of 61,404 patients only 31 exceeded the four-hour threshold.</w:t>
      </w:r>
    </w:p>
    <w:p w14:paraId="40E6FC51" w14:textId="77777777" w:rsidR="00CA087D" w:rsidRPr="00BB04A6" w:rsidRDefault="00CA087D" w:rsidP="00FB6278">
      <w:pPr>
        <w:shd w:val="clear" w:color="auto" w:fill="FFFFFF" w:themeFill="background1"/>
        <w:ind w:left="-567" w:right="-613"/>
        <w:jc w:val="both"/>
        <w:rPr>
          <w:rFonts w:ascii="Arial" w:hAnsi="Arial"/>
          <w:b/>
          <w:sz w:val="22"/>
        </w:rPr>
      </w:pPr>
    </w:p>
    <w:p w14:paraId="786A7688" w14:textId="77777777" w:rsidR="00CA087D" w:rsidRPr="00BB04A6" w:rsidRDefault="00CA087D" w:rsidP="00FB6278">
      <w:pPr>
        <w:shd w:val="clear" w:color="auto" w:fill="FFFFFF" w:themeFill="background1"/>
        <w:ind w:left="-567" w:right="-613"/>
        <w:jc w:val="both"/>
        <w:rPr>
          <w:rFonts w:ascii="Arial" w:hAnsi="Arial"/>
          <w:b/>
          <w:sz w:val="22"/>
        </w:rPr>
      </w:pPr>
      <w:r w:rsidRPr="00BB04A6">
        <w:rPr>
          <w:rFonts w:ascii="Arial" w:hAnsi="Arial"/>
          <w:b/>
          <w:sz w:val="22"/>
        </w:rPr>
        <w:t>Cancer waiting times</w:t>
      </w:r>
    </w:p>
    <w:p w14:paraId="275227B5" w14:textId="77777777" w:rsidR="00CA087D" w:rsidRPr="00BB04A6" w:rsidRDefault="00CA087D" w:rsidP="00FB6278">
      <w:pPr>
        <w:shd w:val="clear" w:color="auto" w:fill="FFFFFF" w:themeFill="background1"/>
        <w:ind w:left="-567" w:right="-613"/>
        <w:jc w:val="both"/>
        <w:rPr>
          <w:rFonts w:ascii="Arial" w:hAnsi="Arial"/>
          <w:b/>
          <w:sz w:val="22"/>
        </w:rPr>
      </w:pPr>
    </w:p>
    <w:tbl>
      <w:tblPr>
        <w:tblW w:w="9356" w:type="dxa"/>
        <w:tblInd w:w="-10" w:type="dxa"/>
        <w:tblLook w:val="04A0" w:firstRow="1" w:lastRow="0" w:firstColumn="1" w:lastColumn="0" w:noHBand="0" w:noVBand="1"/>
      </w:tblPr>
      <w:tblGrid>
        <w:gridCol w:w="5340"/>
        <w:gridCol w:w="889"/>
        <w:gridCol w:w="1018"/>
        <w:gridCol w:w="1012"/>
        <w:gridCol w:w="1097"/>
      </w:tblGrid>
      <w:tr w:rsidR="00CA087D" w:rsidRPr="00116D74" w14:paraId="53BA8D48" w14:textId="77777777" w:rsidTr="00CD4F89">
        <w:trPr>
          <w:trHeight w:val="315"/>
        </w:trPr>
        <w:tc>
          <w:tcPr>
            <w:tcW w:w="5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CA1E9A" w14:textId="77777777" w:rsidR="00CA087D" w:rsidRPr="00BB04A6" w:rsidRDefault="00CA087D" w:rsidP="00FB6278">
            <w:pPr>
              <w:shd w:val="clear" w:color="auto" w:fill="FFFFFF" w:themeFill="background1"/>
              <w:rPr>
                <w:rFonts w:ascii="Arial" w:hAnsi="Arial"/>
                <w:b/>
                <w:sz w:val="22"/>
              </w:rPr>
            </w:pPr>
            <w:r w:rsidRPr="00BB04A6">
              <w:rPr>
                <w:rFonts w:ascii="Arial" w:hAnsi="Arial"/>
                <w:b/>
                <w:sz w:val="22"/>
              </w:rPr>
              <w:t>Indicator</w:t>
            </w:r>
          </w:p>
        </w:tc>
        <w:tc>
          <w:tcPr>
            <w:tcW w:w="820" w:type="dxa"/>
            <w:tcBorders>
              <w:top w:val="single" w:sz="8" w:space="0" w:color="auto"/>
              <w:left w:val="nil"/>
              <w:bottom w:val="single" w:sz="8" w:space="0" w:color="auto"/>
              <w:right w:val="single" w:sz="8" w:space="0" w:color="auto"/>
            </w:tcBorders>
            <w:shd w:val="clear" w:color="auto" w:fill="auto"/>
            <w:vAlign w:val="center"/>
            <w:hideMark/>
          </w:tcPr>
          <w:p w14:paraId="0604B73E" w14:textId="77777777" w:rsidR="00CA087D" w:rsidRPr="00BB04A6" w:rsidRDefault="00CA087D" w:rsidP="00FB6278">
            <w:pPr>
              <w:shd w:val="clear" w:color="auto" w:fill="FFFFFF" w:themeFill="background1"/>
              <w:jc w:val="center"/>
              <w:rPr>
                <w:rFonts w:ascii="Arial" w:hAnsi="Arial"/>
                <w:b/>
                <w:sz w:val="22"/>
              </w:rPr>
            </w:pPr>
            <w:r w:rsidRPr="00BB04A6">
              <w:rPr>
                <w:rFonts w:ascii="Arial" w:hAnsi="Arial"/>
                <w:b/>
                <w:sz w:val="22"/>
              </w:rPr>
              <w:t>Target</w:t>
            </w:r>
          </w:p>
        </w:tc>
        <w:tc>
          <w:tcPr>
            <w:tcW w:w="1218" w:type="dxa"/>
            <w:tcBorders>
              <w:top w:val="single" w:sz="8" w:space="0" w:color="auto"/>
              <w:left w:val="nil"/>
              <w:bottom w:val="single" w:sz="8" w:space="0" w:color="auto"/>
              <w:right w:val="single" w:sz="8" w:space="0" w:color="auto"/>
            </w:tcBorders>
            <w:shd w:val="clear" w:color="auto" w:fill="auto"/>
            <w:vAlign w:val="center"/>
            <w:hideMark/>
          </w:tcPr>
          <w:p w14:paraId="7DF668F6" w14:textId="77777777" w:rsidR="00CA087D" w:rsidRPr="00BB04A6" w:rsidRDefault="00CA087D" w:rsidP="00FB6278">
            <w:pPr>
              <w:shd w:val="clear" w:color="auto" w:fill="FFFFFF" w:themeFill="background1"/>
              <w:jc w:val="center"/>
              <w:rPr>
                <w:rFonts w:ascii="Arial" w:hAnsi="Arial"/>
                <w:b/>
                <w:sz w:val="22"/>
              </w:rPr>
            </w:pPr>
            <w:r w:rsidRPr="00BB04A6">
              <w:rPr>
                <w:rFonts w:ascii="Arial" w:hAnsi="Arial"/>
                <w:b/>
                <w:sz w:val="22"/>
              </w:rPr>
              <w:t>2019/20</w:t>
            </w:r>
          </w:p>
        </w:tc>
        <w:tc>
          <w:tcPr>
            <w:tcW w:w="1018" w:type="dxa"/>
            <w:tcBorders>
              <w:top w:val="single" w:sz="8" w:space="0" w:color="auto"/>
              <w:left w:val="nil"/>
              <w:bottom w:val="single" w:sz="8" w:space="0" w:color="auto"/>
              <w:right w:val="single" w:sz="8" w:space="0" w:color="auto"/>
            </w:tcBorders>
            <w:shd w:val="clear" w:color="auto" w:fill="auto"/>
            <w:vAlign w:val="center"/>
            <w:hideMark/>
          </w:tcPr>
          <w:p w14:paraId="7125A258" w14:textId="77777777" w:rsidR="00CA087D" w:rsidRPr="00BB04A6" w:rsidRDefault="00CA087D" w:rsidP="00FB6278">
            <w:pPr>
              <w:shd w:val="clear" w:color="auto" w:fill="FFFFFF" w:themeFill="background1"/>
              <w:jc w:val="center"/>
              <w:rPr>
                <w:rFonts w:ascii="Arial" w:hAnsi="Arial"/>
                <w:b/>
                <w:sz w:val="22"/>
              </w:rPr>
            </w:pPr>
            <w:r w:rsidRPr="00BB04A6">
              <w:rPr>
                <w:rFonts w:ascii="Arial" w:hAnsi="Arial"/>
                <w:b/>
                <w:sz w:val="22"/>
              </w:rPr>
              <w:t>2020/21</w:t>
            </w:r>
          </w:p>
        </w:tc>
        <w:tc>
          <w:tcPr>
            <w:tcW w:w="960" w:type="dxa"/>
            <w:tcBorders>
              <w:top w:val="single" w:sz="8" w:space="0" w:color="auto"/>
              <w:left w:val="nil"/>
              <w:bottom w:val="single" w:sz="8" w:space="0" w:color="auto"/>
              <w:right w:val="single" w:sz="8" w:space="0" w:color="auto"/>
            </w:tcBorders>
            <w:shd w:val="clear" w:color="auto" w:fill="auto"/>
          </w:tcPr>
          <w:p w14:paraId="4BD20946" w14:textId="77777777" w:rsidR="00CA087D" w:rsidRPr="00BB04A6" w:rsidRDefault="00CA087D" w:rsidP="00FB6278">
            <w:pPr>
              <w:shd w:val="clear" w:color="auto" w:fill="FFFFFF" w:themeFill="background1"/>
              <w:jc w:val="center"/>
              <w:rPr>
                <w:rFonts w:ascii="Arial" w:hAnsi="Arial"/>
                <w:b/>
                <w:sz w:val="22"/>
              </w:rPr>
            </w:pPr>
            <w:r w:rsidRPr="00BB04A6">
              <w:rPr>
                <w:rFonts w:ascii="Arial" w:hAnsi="Arial"/>
                <w:b/>
                <w:sz w:val="22"/>
              </w:rPr>
              <w:t>2021/22*</w:t>
            </w:r>
          </w:p>
        </w:tc>
      </w:tr>
      <w:tr w:rsidR="00CA087D" w:rsidRPr="00116D74" w14:paraId="59B93172" w14:textId="77777777" w:rsidTr="005C232A">
        <w:trPr>
          <w:trHeight w:val="585"/>
        </w:trPr>
        <w:tc>
          <w:tcPr>
            <w:tcW w:w="5340" w:type="dxa"/>
            <w:tcBorders>
              <w:top w:val="nil"/>
              <w:left w:val="single" w:sz="8" w:space="0" w:color="auto"/>
              <w:bottom w:val="single" w:sz="8" w:space="0" w:color="auto"/>
              <w:right w:val="single" w:sz="8" w:space="0" w:color="auto"/>
            </w:tcBorders>
            <w:shd w:val="clear" w:color="auto" w:fill="auto"/>
            <w:vAlign w:val="center"/>
            <w:hideMark/>
          </w:tcPr>
          <w:p w14:paraId="36CAEE9B" w14:textId="77777777" w:rsidR="00CA087D" w:rsidRPr="00BB04A6" w:rsidRDefault="00CA087D" w:rsidP="00FB6278">
            <w:pPr>
              <w:shd w:val="clear" w:color="auto" w:fill="FFFFFF" w:themeFill="background1"/>
              <w:rPr>
                <w:rFonts w:ascii="Arial" w:hAnsi="Arial"/>
                <w:sz w:val="22"/>
              </w:rPr>
            </w:pPr>
            <w:r w:rsidRPr="00BB04A6">
              <w:rPr>
                <w:rFonts w:ascii="Arial" w:hAnsi="Arial"/>
                <w:sz w:val="22"/>
              </w:rPr>
              <w:t>Cancer two week waits – first appointment urgent GP referral</w:t>
            </w:r>
          </w:p>
        </w:tc>
        <w:tc>
          <w:tcPr>
            <w:tcW w:w="820" w:type="dxa"/>
            <w:tcBorders>
              <w:top w:val="nil"/>
              <w:left w:val="nil"/>
              <w:bottom w:val="single" w:sz="8" w:space="0" w:color="auto"/>
              <w:right w:val="single" w:sz="8" w:space="0" w:color="auto"/>
            </w:tcBorders>
            <w:shd w:val="clear" w:color="auto" w:fill="auto"/>
            <w:noWrap/>
            <w:vAlign w:val="center"/>
            <w:hideMark/>
          </w:tcPr>
          <w:p w14:paraId="223075EB" w14:textId="77777777" w:rsidR="00CA087D" w:rsidRPr="00BB04A6" w:rsidRDefault="00CA087D" w:rsidP="00FB6278">
            <w:pPr>
              <w:shd w:val="clear" w:color="auto" w:fill="FFFFFF" w:themeFill="background1"/>
              <w:jc w:val="center"/>
              <w:rPr>
                <w:rFonts w:ascii="Arial" w:hAnsi="Arial"/>
                <w:sz w:val="22"/>
              </w:rPr>
            </w:pPr>
            <w:r w:rsidRPr="00BB04A6">
              <w:rPr>
                <w:rFonts w:ascii="Arial" w:hAnsi="Arial"/>
                <w:sz w:val="22"/>
              </w:rPr>
              <w:t>≥ 93%</w:t>
            </w:r>
          </w:p>
        </w:tc>
        <w:tc>
          <w:tcPr>
            <w:tcW w:w="1218" w:type="dxa"/>
            <w:tcBorders>
              <w:top w:val="nil"/>
              <w:left w:val="nil"/>
              <w:bottom w:val="single" w:sz="8" w:space="0" w:color="auto"/>
              <w:right w:val="single" w:sz="8" w:space="0" w:color="auto"/>
            </w:tcBorders>
            <w:shd w:val="clear" w:color="000000" w:fill="FFFFFF"/>
            <w:vAlign w:val="center"/>
            <w:hideMark/>
          </w:tcPr>
          <w:p w14:paraId="38288865" w14:textId="77777777" w:rsidR="00CA087D" w:rsidRPr="00BB04A6" w:rsidRDefault="00CA087D" w:rsidP="00FB6278">
            <w:pPr>
              <w:shd w:val="clear" w:color="auto" w:fill="FFFFFF" w:themeFill="background1"/>
              <w:jc w:val="center"/>
              <w:rPr>
                <w:rFonts w:ascii="Arial" w:hAnsi="Arial"/>
                <w:sz w:val="22"/>
              </w:rPr>
            </w:pPr>
            <w:r w:rsidRPr="00BB04A6">
              <w:rPr>
                <w:rFonts w:ascii="Arial" w:hAnsi="Arial"/>
                <w:sz w:val="22"/>
              </w:rPr>
              <w:t>96.40%</w:t>
            </w:r>
          </w:p>
        </w:tc>
        <w:tc>
          <w:tcPr>
            <w:tcW w:w="1018" w:type="dxa"/>
            <w:tcBorders>
              <w:top w:val="nil"/>
              <w:left w:val="nil"/>
              <w:bottom w:val="single" w:sz="8" w:space="0" w:color="auto"/>
              <w:right w:val="single" w:sz="8" w:space="0" w:color="auto"/>
            </w:tcBorders>
            <w:shd w:val="clear" w:color="000000" w:fill="FFFFFF"/>
            <w:vAlign w:val="center"/>
            <w:hideMark/>
          </w:tcPr>
          <w:p w14:paraId="0605643C" w14:textId="77777777" w:rsidR="00CA087D" w:rsidRPr="00BB04A6" w:rsidRDefault="00CA087D" w:rsidP="00FB6278">
            <w:pPr>
              <w:shd w:val="clear" w:color="auto" w:fill="FFFFFF" w:themeFill="background1"/>
              <w:jc w:val="center"/>
              <w:rPr>
                <w:rFonts w:ascii="Arial" w:hAnsi="Arial"/>
                <w:sz w:val="22"/>
              </w:rPr>
            </w:pPr>
            <w:r w:rsidRPr="00BB04A6">
              <w:rPr>
                <w:rFonts w:ascii="Arial" w:hAnsi="Arial"/>
                <w:sz w:val="22"/>
              </w:rPr>
              <w:t>97.80%</w:t>
            </w:r>
          </w:p>
        </w:tc>
        <w:tc>
          <w:tcPr>
            <w:tcW w:w="960" w:type="dxa"/>
            <w:tcBorders>
              <w:top w:val="nil"/>
              <w:left w:val="nil"/>
              <w:bottom w:val="single" w:sz="8" w:space="0" w:color="auto"/>
              <w:right w:val="single" w:sz="8" w:space="0" w:color="auto"/>
            </w:tcBorders>
            <w:shd w:val="clear" w:color="000000" w:fill="FFFFFF"/>
          </w:tcPr>
          <w:p w14:paraId="17E30799" w14:textId="77777777" w:rsidR="00CA087D" w:rsidRPr="00BB04A6" w:rsidRDefault="00CA087D" w:rsidP="00FB6278">
            <w:pPr>
              <w:shd w:val="clear" w:color="auto" w:fill="FFFFFF" w:themeFill="background1"/>
              <w:jc w:val="center"/>
              <w:rPr>
                <w:rFonts w:ascii="Arial" w:hAnsi="Arial"/>
                <w:sz w:val="22"/>
              </w:rPr>
            </w:pPr>
          </w:p>
          <w:p w14:paraId="7BA73C17" w14:textId="77777777" w:rsidR="00CA087D" w:rsidRPr="00BB04A6" w:rsidRDefault="00CA087D" w:rsidP="00FB6278">
            <w:pPr>
              <w:shd w:val="clear" w:color="auto" w:fill="FFFFFF" w:themeFill="background1"/>
              <w:jc w:val="center"/>
              <w:rPr>
                <w:rFonts w:ascii="Arial" w:hAnsi="Arial"/>
                <w:sz w:val="22"/>
              </w:rPr>
            </w:pPr>
            <w:r w:rsidRPr="00BB04A6">
              <w:rPr>
                <w:rFonts w:ascii="Arial" w:hAnsi="Arial"/>
                <w:sz w:val="22"/>
              </w:rPr>
              <w:t>98.5%</w:t>
            </w:r>
          </w:p>
        </w:tc>
      </w:tr>
      <w:tr w:rsidR="00CA087D" w:rsidRPr="00116D74" w14:paraId="42D9F92E" w14:textId="77777777" w:rsidTr="00CD4F89">
        <w:trPr>
          <w:trHeight w:val="585"/>
        </w:trPr>
        <w:tc>
          <w:tcPr>
            <w:tcW w:w="5340" w:type="dxa"/>
            <w:tcBorders>
              <w:top w:val="nil"/>
              <w:left w:val="single" w:sz="8" w:space="0" w:color="auto"/>
              <w:bottom w:val="single" w:sz="8" w:space="0" w:color="auto"/>
              <w:right w:val="single" w:sz="8" w:space="0" w:color="auto"/>
            </w:tcBorders>
            <w:shd w:val="clear" w:color="auto" w:fill="auto"/>
            <w:vAlign w:val="center"/>
            <w:hideMark/>
          </w:tcPr>
          <w:p w14:paraId="30AABC41" w14:textId="77777777" w:rsidR="00CA087D" w:rsidRPr="00BB04A6" w:rsidRDefault="00CA087D" w:rsidP="00FB6278">
            <w:pPr>
              <w:shd w:val="clear" w:color="auto" w:fill="FFFFFF" w:themeFill="background1"/>
              <w:rPr>
                <w:rFonts w:ascii="Arial" w:hAnsi="Arial"/>
                <w:sz w:val="22"/>
              </w:rPr>
            </w:pPr>
            <w:r w:rsidRPr="00BB04A6">
              <w:rPr>
                <w:rFonts w:ascii="Arial" w:hAnsi="Arial"/>
                <w:sz w:val="22"/>
              </w:rPr>
              <w:t xml:space="preserve">% </w:t>
            </w:r>
            <w:proofErr w:type="gramStart"/>
            <w:r w:rsidRPr="00BB04A6">
              <w:rPr>
                <w:rFonts w:ascii="Arial" w:hAnsi="Arial"/>
                <w:sz w:val="22"/>
              </w:rPr>
              <w:t>cancer</w:t>
            </w:r>
            <w:proofErr w:type="gramEnd"/>
            <w:r w:rsidRPr="00BB04A6">
              <w:rPr>
                <w:rFonts w:ascii="Arial" w:hAnsi="Arial"/>
                <w:sz w:val="22"/>
              </w:rPr>
              <w:t xml:space="preserve"> 14-day target – NHS England referrals (ocular oncology)</w:t>
            </w:r>
          </w:p>
        </w:tc>
        <w:tc>
          <w:tcPr>
            <w:tcW w:w="820" w:type="dxa"/>
            <w:tcBorders>
              <w:top w:val="nil"/>
              <w:left w:val="nil"/>
              <w:bottom w:val="single" w:sz="8" w:space="0" w:color="auto"/>
              <w:right w:val="single" w:sz="8" w:space="0" w:color="auto"/>
            </w:tcBorders>
            <w:shd w:val="clear" w:color="auto" w:fill="auto"/>
            <w:noWrap/>
            <w:vAlign w:val="center"/>
            <w:hideMark/>
          </w:tcPr>
          <w:p w14:paraId="2104DB4A" w14:textId="77777777" w:rsidR="00CA087D" w:rsidRPr="00BB04A6" w:rsidRDefault="00CA087D" w:rsidP="00FB6278">
            <w:pPr>
              <w:shd w:val="clear" w:color="auto" w:fill="FFFFFF" w:themeFill="background1"/>
              <w:jc w:val="center"/>
              <w:rPr>
                <w:rFonts w:ascii="Arial" w:hAnsi="Arial"/>
                <w:sz w:val="22"/>
              </w:rPr>
            </w:pPr>
            <w:r w:rsidRPr="00BB04A6">
              <w:rPr>
                <w:rFonts w:ascii="Arial" w:hAnsi="Arial"/>
                <w:sz w:val="22"/>
              </w:rPr>
              <w:t>≥ 93%</w:t>
            </w:r>
          </w:p>
        </w:tc>
        <w:tc>
          <w:tcPr>
            <w:tcW w:w="1218" w:type="dxa"/>
            <w:tcBorders>
              <w:top w:val="nil"/>
              <w:left w:val="nil"/>
              <w:bottom w:val="single" w:sz="8" w:space="0" w:color="auto"/>
              <w:right w:val="single" w:sz="8" w:space="0" w:color="auto"/>
            </w:tcBorders>
            <w:shd w:val="clear" w:color="000000" w:fill="FFFFFF"/>
            <w:vAlign w:val="center"/>
            <w:hideMark/>
          </w:tcPr>
          <w:p w14:paraId="525D58E8" w14:textId="77777777" w:rsidR="00CA087D" w:rsidRPr="00BB04A6" w:rsidRDefault="00CA087D" w:rsidP="00FB6278">
            <w:pPr>
              <w:shd w:val="clear" w:color="auto" w:fill="FFFFFF" w:themeFill="background1"/>
              <w:jc w:val="center"/>
              <w:rPr>
                <w:rFonts w:ascii="Arial" w:hAnsi="Arial"/>
                <w:sz w:val="22"/>
              </w:rPr>
            </w:pPr>
            <w:r w:rsidRPr="00BB04A6">
              <w:rPr>
                <w:rFonts w:ascii="Arial" w:hAnsi="Arial"/>
                <w:sz w:val="22"/>
              </w:rPr>
              <w:t>91.10%</w:t>
            </w:r>
          </w:p>
        </w:tc>
        <w:tc>
          <w:tcPr>
            <w:tcW w:w="1018" w:type="dxa"/>
            <w:tcBorders>
              <w:top w:val="nil"/>
              <w:left w:val="nil"/>
              <w:bottom w:val="single" w:sz="8" w:space="0" w:color="auto"/>
              <w:right w:val="single" w:sz="8" w:space="0" w:color="auto"/>
            </w:tcBorders>
            <w:shd w:val="clear" w:color="000000" w:fill="FFFFFF"/>
            <w:vAlign w:val="center"/>
            <w:hideMark/>
          </w:tcPr>
          <w:p w14:paraId="6228B0DE" w14:textId="77777777" w:rsidR="00CA087D" w:rsidRPr="00BB04A6" w:rsidRDefault="00CA087D" w:rsidP="00FB6278">
            <w:pPr>
              <w:shd w:val="clear" w:color="auto" w:fill="FFFFFF" w:themeFill="background1"/>
              <w:jc w:val="center"/>
              <w:rPr>
                <w:rFonts w:ascii="Arial" w:hAnsi="Arial"/>
                <w:sz w:val="22"/>
              </w:rPr>
            </w:pPr>
            <w:r w:rsidRPr="00BB04A6">
              <w:rPr>
                <w:rFonts w:ascii="Arial" w:hAnsi="Arial"/>
                <w:sz w:val="22"/>
              </w:rPr>
              <w:t>94.50%</w:t>
            </w:r>
          </w:p>
        </w:tc>
        <w:tc>
          <w:tcPr>
            <w:tcW w:w="960" w:type="dxa"/>
            <w:tcBorders>
              <w:top w:val="nil"/>
              <w:left w:val="nil"/>
              <w:bottom w:val="single" w:sz="8" w:space="0" w:color="auto"/>
              <w:right w:val="single" w:sz="8" w:space="0" w:color="auto"/>
            </w:tcBorders>
            <w:shd w:val="clear" w:color="000000" w:fill="FFFFFF"/>
            <w:vAlign w:val="center"/>
          </w:tcPr>
          <w:p w14:paraId="4E1626C4" w14:textId="77777777" w:rsidR="00CA087D" w:rsidRPr="00BB04A6" w:rsidRDefault="00CA087D" w:rsidP="00FB6278">
            <w:pPr>
              <w:shd w:val="clear" w:color="auto" w:fill="FFFFFF" w:themeFill="background1"/>
              <w:jc w:val="center"/>
              <w:rPr>
                <w:rFonts w:ascii="Arial" w:hAnsi="Arial"/>
                <w:sz w:val="22"/>
              </w:rPr>
            </w:pPr>
            <w:r w:rsidRPr="00BB04A6">
              <w:rPr>
                <w:rFonts w:ascii="Arial" w:hAnsi="Arial"/>
                <w:sz w:val="22"/>
              </w:rPr>
              <w:t>97.8%</w:t>
            </w:r>
          </w:p>
        </w:tc>
      </w:tr>
      <w:tr w:rsidR="00CA087D" w:rsidRPr="00116D74" w14:paraId="538ECBBF" w14:textId="77777777" w:rsidTr="00CD4F89">
        <w:trPr>
          <w:trHeight w:val="510"/>
        </w:trPr>
        <w:tc>
          <w:tcPr>
            <w:tcW w:w="5340" w:type="dxa"/>
            <w:tcBorders>
              <w:top w:val="nil"/>
              <w:left w:val="single" w:sz="8" w:space="0" w:color="auto"/>
              <w:bottom w:val="single" w:sz="8" w:space="0" w:color="auto"/>
              <w:right w:val="single" w:sz="8" w:space="0" w:color="auto"/>
            </w:tcBorders>
            <w:shd w:val="clear" w:color="auto" w:fill="auto"/>
            <w:vAlign w:val="center"/>
            <w:hideMark/>
          </w:tcPr>
          <w:p w14:paraId="3F393A98" w14:textId="77777777" w:rsidR="00CA087D" w:rsidRPr="00BB04A6" w:rsidRDefault="00CA087D" w:rsidP="00FB6278">
            <w:pPr>
              <w:shd w:val="clear" w:color="auto" w:fill="FFFFFF" w:themeFill="background1"/>
              <w:rPr>
                <w:rFonts w:ascii="Arial" w:hAnsi="Arial"/>
                <w:sz w:val="22"/>
              </w:rPr>
            </w:pPr>
            <w:r w:rsidRPr="00BB04A6">
              <w:rPr>
                <w:rFonts w:ascii="Arial" w:hAnsi="Arial"/>
                <w:sz w:val="22"/>
              </w:rPr>
              <w:t>Cancer 31-day waits – diagnosis to first appointment</w:t>
            </w:r>
          </w:p>
        </w:tc>
        <w:tc>
          <w:tcPr>
            <w:tcW w:w="820" w:type="dxa"/>
            <w:tcBorders>
              <w:top w:val="nil"/>
              <w:left w:val="nil"/>
              <w:bottom w:val="single" w:sz="8" w:space="0" w:color="auto"/>
              <w:right w:val="single" w:sz="8" w:space="0" w:color="auto"/>
            </w:tcBorders>
            <w:shd w:val="clear" w:color="auto" w:fill="auto"/>
            <w:noWrap/>
            <w:vAlign w:val="center"/>
            <w:hideMark/>
          </w:tcPr>
          <w:p w14:paraId="1189ADBE" w14:textId="77777777" w:rsidR="00CA087D" w:rsidRPr="00BB04A6" w:rsidRDefault="00CA087D" w:rsidP="00FB6278">
            <w:pPr>
              <w:shd w:val="clear" w:color="auto" w:fill="FFFFFF" w:themeFill="background1"/>
              <w:jc w:val="center"/>
              <w:rPr>
                <w:rFonts w:ascii="Arial" w:hAnsi="Arial"/>
                <w:sz w:val="22"/>
              </w:rPr>
            </w:pPr>
            <w:r w:rsidRPr="00BB04A6">
              <w:rPr>
                <w:rFonts w:ascii="Arial" w:hAnsi="Arial"/>
                <w:sz w:val="22"/>
              </w:rPr>
              <w:t>≥ 96%</w:t>
            </w:r>
          </w:p>
        </w:tc>
        <w:tc>
          <w:tcPr>
            <w:tcW w:w="1218" w:type="dxa"/>
            <w:tcBorders>
              <w:top w:val="nil"/>
              <w:left w:val="nil"/>
              <w:bottom w:val="single" w:sz="8" w:space="0" w:color="auto"/>
              <w:right w:val="single" w:sz="8" w:space="0" w:color="auto"/>
            </w:tcBorders>
            <w:shd w:val="clear" w:color="000000" w:fill="FFFFFF"/>
            <w:vAlign w:val="center"/>
            <w:hideMark/>
          </w:tcPr>
          <w:p w14:paraId="69DB014D" w14:textId="77777777" w:rsidR="00CA087D" w:rsidRPr="00BB04A6" w:rsidRDefault="00CA087D" w:rsidP="00FB6278">
            <w:pPr>
              <w:shd w:val="clear" w:color="auto" w:fill="FFFFFF" w:themeFill="background1"/>
              <w:jc w:val="center"/>
              <w:rPr>
                <w:rFonts w:ascii="Arial" w:hAnsi="Arial"/>
                <w:sz w:val="22"/>
              </w:rPr>
            </w:pPr>
            <w:r w:rsidRPr="00BB04A6">
              <w:rPr>
                <w:rFonts w:ascii="Arial" w:hAnsi="Arial"/>
                <w:sz w:val="22"/>
              </w:rPr>
              <w:t>99.20%</w:t>
            </w:r>
          </w:p>
        </w:tc>
        <w:tc>
          <w:tcPr>
            <w:tcW w:w="1018" w:type="dxa"/>
            <w:tcBorders>
              <w:top w:val="nil"/>
              <w:left w:val="nil"/>
              <w:bottom w:val="single" w:sz="8" w:space="0" w:color="auto"/>
              <w:right w:val="single" w:sz="8" w:space="0" w:color="auto"/>
            </w:tcBorders>
            <w:shd w:val="clear" w:color="000000" w:fill="FFFFFF"/>
            <w:vAlign w:val="center"/>
            <w:hideMark/>
          </w:tcPr>
          <w:p w14:paraId="11CDD86B" w14:textId="77777777" w:rsidR="00CA087D" w:rsidRPr="00BB04A6" w:rsidRDefault="00CA087D" w:rsidP="00FB6278">
            <w:pPr>
              <w:shd w:val="clear" w:color="auto" w:fill="FFFFFF" w:themeFill="background1"/>
              <w:jc w:val="center"/>
              <w:rPr>
                <w:rFonts w:ascii="Arial" w:hAnsi="Arial"/>
                <w:sz w:val="22"/>
              </w:rPr>
            </w:pPr>
            <w:r w:rsidRPr="00BB04A6">
              <w:rPr>
                <w:rFonts w:ascii="Arial" w:hAnsi="Arial"/>
                <w:sz w:val="22"/>
              </w:rPr>
              <w:t>100%</w:t>
            </w:r>
          </w:p>
        </w:tc>
        <w:tc>
          <w:tcPr>
            <w:tcW w:w="960" w:type="dxa"/>
            <w:tcBorders>
              <w:top w:val="nil"/>
              <w:left w:val="nil"/>
              <w:bottom w:val="single" w:sz="8" w:space="0" w:color="auto"/>
              <w:right w:val="single" w:sz="8" w:space="0" w:color="auto"/>
            </w:tcBorders>
            <w:shd w:val="clear" w:color="000000" w:fill="FFFFFF"/>
            <w:vAlign w:val="center"/>
          </w:tcPr>
          <w:p w14:paraId="20F43480" w14:textId="393DDB07" w:rsidR="00CA087D" w:rsidRPr="00BB04A6" w:rsidRDefault="00B84C04" w:rsidP="00FB6278">
            <w:pPr>
              <w:shd w:val="clear" w:color="auto" w:fill="FFFFFF" w:themeFill="background1"/>
              <w:rPr>
                <w:rFonts w:ascii="Arial" w:hAnsi="Arial"/>
                <w:sz w:val="22"/>
              </w:rPr>
            </w:pPr>
            <w:r>
              <w:rPr>
                <w:rFonts w:ascii="Arial" w:hAnsi="Arial"/>
                <w:sz w:val="22"/>
              </w:rPr>
              <w:t xml:space="preserve">  </w:t>
            </w:r>
            <w:r w:rsidR="00CA087D" w:rsidRPr="00BB04A6">
              <w:rPr>
                <w:rFonts w:ascii="Arial" w:hAnsi="Arial"/>
                <w:sz w:val="22"/>
              </w:rPr>
              <w:t>99.0%</w:t>
            </w:r>
          </w:p>
        </w:tc>
      </w:tr>
      <w:tr w:rsidR="00CA087D" w:rsidRPr="00116D74" w14:paraId="6DBF49A0" w14:textId="77777777" w:rsidTr="00CD4F89">
        <w:trPr>
          <w:trHeight w:val="510"/>
        </w:trPr>
        <w:tc>
          <w:tcPr>
            <w:tcW w:w="5340" w:type="dxa"/>
            <w:tcBorders>
              <w:top w:val="nil"/>
              <w:left w:val="single" w:sz="8" w:space="0" w:color="auto"/>
              <w:bottom w:val="single" w:sz="8" w:space="0" w:color="auto"/>
              <w:right w:val="single" w:sz="8" w:space="0" w:color="auto"/>
            </w:tcBorders>
            <w:shd w:val="clear" w:color="auto" w:fill="auto"/>
            <w:vAlign w:val="center"/>
            <w:hideMark/>
          </w:tcPr>
          <w:p w14:paraId="282B2F89" w14:textId="77777777" w:rsidR="00CA087D" w:rsidRPr="00BB04A6" w:rsidRDefault="00CA087D" w:rsidP="00FB6278">
            <w:pPr>
              <w:shd w:val="clear" w:color="auto" w:fill="FFFFFF" w:themeFill="background1"/>
              <w:rPr>
                <w:rFonts w:ascii="Arial" w:hAnsi="Arial"/>
                <w:sz w:val="22"/>
              </w:rPr>
            </w:pPr>
            <w:r w:rsidRPr="00BB04A6">
              <w:rPr>
                <w:rFonts w:ascii="Arial" w:hAnsi="Arial"/>
                <w:sz w:val="22"/>
              </w:rPr>
              <w:t>Cancer 31-day waits – subsequent treatment</w:t>
            </w:r>
          </w:p>
        </w:tc>
        <w:tc>
          <w:tcPr>
            <w:tcW w:w="820" w:type="dxa"/>
            <w:tcBorders>
              <w:top w:val="nil"/>
              <w:left w:val="nil"/>
              <w:bottom w:val="single" w:sz="8" w:space="0" w:color="auto"/>
              <w:right w:val="single" w:sz="8" w:space="0" w:color="auto"/>
            </w:tcBorders>
            <w:shd w:val="clear" w:color="auto" w:fill="auto"/>
            <w:noWrap/>
            <w:vAlign w:val="center"/>
            <w:hideMark/>
          </w:tcPr>
          <w:p w14:paraId="1BCB69BF" w14:textId="77777777" w:rsidR="00CA087D" w:rsidRPr="00BB04A6" w:rsidRDefault="00CA087D" w:rsidP="00FB6278">
            <w:pPr>
              <w:shd w:val="clear" w:color="auto" w:fill="FFFFFF" w:themeFill="background1"/>
              <w:jc w:val="center"/>
              <w:rPr>
                <w:rFonts w:ascii="Arial" w:hAnsi="Arial"/>
                <w:sz w:val="22"/>
              </w:rPr>
            </w:pPr>
            <w:r w:rsidRPr="00BB04A6">
              <w:rPr>
                <w:rFonts w:ascii="Arial" w:hAnsi="Arial"/>
                <w:sz w:val="22"/>
              </w:rPr>
              <w:t>≥ 94%</w:t>
            </w:r>
          </w:p>
        </w:tc>
        <w:tc>
          <w:tcPr>
            <w:tcW w:w="1218" w:type="dxa"/>
            <w:tcBorders>
              <w:top w:val="nil"/>
              <w:left w:val="nil"/>
              <w:bottom w:val="single" w:sz="8" w:space="0" w:color="auto"/>
              <w:right w:val="single" w:sz="8" w:space="0" w:color="auto"/>
            </w:tcBorders>
            <w:shd w:val="clear" w:color="000000" w:fill="FFFFFF"/>
            <w:vAlign w:val="center"/>
            <w:hideMark/>
          </w:tcPr>
          <w:p w14:paraId="65A48918" w14:textId="77777777" w:rsidR="00CA087D" w:rsidRPr="00BB04A6" w:rsidRDefault="00CA087D" w:rsidP="00FB6278">
            <w:pPr>
              <w:shd w:val="clear" w:color="auto" w:fill="FFFFFF" w:themeFill="background1"/>
              <w:jc w:val="center"/>
              <w:rPr>
                <w:rFonts w:ascii="Arial" w:hAnsi="Arial"/>
                <w:sz w:val="22"/>
              </w:rPr>
            </w:pPr>
            <w:r w:rsidRPr="00BB04A6">
              <w:rPr>
                <w:rFonts w:ascii="Arial" w:hAnsi="Arial"/>
                <w:sz w:val="22"/>
              </w:rPr>
              <w:t>100%</w:t>
            </w:r>
          </w:p>
        </w:tc>
        <w:tc>
          <w:tcPr>
            <w:tcW w:w="1018" w:type="dxa"/>
            <w:tcBorders>
              <w:top w:val="nil"/>
              <w:left w:val="nil"/>
              <w:bottom w:val="single" w:sz="8" w:space="0" w:color="auto"/>
              <w:right w:val="single" w:sz="8" w:space="0" w:color="auto"/>
            </w:tcBorders>
            <w:shd w:val="clear" w:color="000000" w:fill="FFFFFF"/>
            <w:vAlign w:val="center"/>
            <w:hideMark/>
          </w:tcPr>
          <w:p w14:paraId="742C4D36" w14:textId="77777777" w:rsidR="00CA087D" w:rsidRPr="00BB04A6" w:rsidRDefault="00CA087D" w:rsidP="00FB6278">
            <w:pPr>
              <w:shd w:val="clear" w:color="auto" w:fill="FFFFFF" w:themeFill="background1"/>
              <w:jc w:val="center"/>
              <w:rPr>
                <w:rFonts w:ascii="Arial" w:hAnsi="Arial"/>
                <w:sz w:val="22"/>
              </w:rPr>
            </w:pPr>
            <w:r w:rsidRPr="00BB04A6">
              <w:rPr>
                <w:rFonts w:ascii="Arial" w:hAnsi="Arial"/>
                <w:sz w:val="22"/>
              </w:rPr>
              <w:t>100%</w:t>
            </w:r>
          </w:p>
        </w:tc>
        <w:tc>
          <w:tcPr>
            <w:tcW w:w="960" w:type="dxa"/>
            <w:tcBorders>
              <w:top w:val="nil"/>
              <w:left w:val="nil"/>
              <w:bottom w:val="single" w:sz="8" w:space="0" w:color="auto"/>
              <w:right w:val="single" w:sz="8" w:space="0" w:color="auto"/>
            </w:tcBorders>
            <w:shd w:val="clear" w:color="000000" w:fill="FFFFFF"/>
            <w:vAlign w:val="center"/>
          </w:tcPr>
          <w:p w14:paraId="629AF53E" w14:textId="77777777" w:rsidR="00CA087D" w:rsidRPr="00BB04A6" w:rsidRDefault="00CA087D" w:rsidP="00FB6278">
            <w:pPr>
              <w:shd w:val="clear" w:color="auto" w:fill="FFFFFF" w:themeFill="background1"/>
              <w:jc w:val="center"/>
              <w:rPr>
                <w:rFonts w:ascii="Arial" w:hAnsi="Arial"/>
                <w:sz w:val="22"/>
              </w:rPr>
            </w:pPr>
            <w:r w:rsidRPr="00BB04A6">
              <w:rPr>
                <w:rFonts w:ascii="Arial" w:hAnsi="Arial"/>
                <w:sz w:val="22"/>
              </w:rPr>
              <w:t>100%</w:t>
            </w:r>
          </w:p>
        </w:tc>
      </w:tr>
      <w:tr w:rsidR="00CA087D" w:rsidRPr="00116D74" w14:paraId="77A737D2" w14:textId="77777777" w:rsidTr="00CD4F89">
        <w:trPr>
          <w:trHeight w:val="585"/>
        </w:trPr>
        <w:tc>
          <w:tcPr>
            <w:tcW w:w="5340" w:type="dxa"/>
            <w:tcBorders>
              <w:top w:val="nil"/>
              <w:left w:val="single" w:sz="8" w:space="0" w:color="auto"/>
              <w:bottom w:val="single" w:sz="8" w:space="0" w:color="auto"/>
              <w:right w:val="single" w:sz="8" w:space="0" w:color="auto"/>
            </w:tcBorders>
            <w:shd w:val="clear" w:color="auto" w:fill="auto"/>
            <w:vAlign w:val="center"/>
            <w:hideMark/>
          </w:tcPr>
          <w:p w14:paraId="5E7873DD" w14:textId="77777777" w:rsidR="00CA087D" w:rsidRPr="00BB04A6" w:rsidRDefault="00CA087D" w:rsidP="00FB6278">
            <w:pPr>
              <w:shd w:val="clear" w:color="auto" w:fill="FFFFFF" w:themeFill="background1"/>
              <w:rPr>
                <w:rFonts w:ascii="Arial" w:hAnsi="Arial"/>
                <w:sz w:val="22"/>
              </w:rPr>
            </w:pPr>
            <w:r w:rsidRPr="00BB04A6">
              <w:rPr>
                <w:rFonts w:ascii="Arial" w:hAnsi="Arial"/>
                <w:sz w:val="22"/>
              </w:rPr>
              <w:t>Cancer 62-days from urgent GP referral to first definitive treatment</w:t>
            </w:r>
          </w:p>
        </w:tc>
        <w:tc>
          <w:tcPr>
            <w:tcW w:w="820" w:type="dxa"/>
            <w:tcBorders>
              <w:top w:val="nil"/>
              <w:left w:val="nil"/>
              <w:bottom w:val="single" w:sz="8" w:space="0" w:color="auto"/>
              <w:right w:val="single" w:sz="8" w:space="0" w:color="auto"/>
            </w:tcBorders>
            <w:shd w:val="clear" w:color="auto" w:fill="auto"/>
            <w:noWrap/>
            <w:vAlign w:val="center"/>
            <w:hideMark/>
          </w:tcPr>
          <w:p w14:paraId="4E01BF20" w14:textId="77777777" w:rsidR="00CA087D" w:rsidRPr="00BB04A6" w:rsidRDefault="00CA087D" w:rsidP="00FB6278">
            <w:pPr>
              <w:shd w:val="clear" w:color="auto" w:fill="FFFFFF" w:themeFill="background1"/>
              <w:jc w:val="center"/>
              <w:rPr>
                <w:rFonts w:ascii="Arial" w:hAnsi="Arial"/>
                <w:sz w:val="22"/>
              </w:rPr>
            </w:pPr>
            <w:r w:rsidRPr="00BB04A6">
              <w:rPr>
                <w:rFonts w:ascii="Arial" w:hAnsi="Arial"/>
                <w:sz w:val="22"/>
              </w:rPr>
              <w:t>≥ 85%</w:t>
            </w:r>
          </w:p>
        </w:tc>
        <w:tc>
          <w:tcPr>
            <w:tcW w:w="1218" w:type="dxa"/>
            <w:tcBorders>
              <w:top w:val="nil"/>
              <w:left w:val="nil"/>
              <w:bottom w:val="single" w:sz="8" w:space="0" w:color="auto"/>
              <w:right w:val="single" w:sz="8" w:space="0" w:color="auto"/>
            </w:tcBorders>
            <w:shd w:val="clear" w:color="000000" w:fill="FFFFFF"/>
            <w:vAlign w:val="center"/>
            <w:hideMark/>
          </w:tcPr>
          <w:p w14:paraId="340E004C" w14:textId="77777777" w:rsidR="00CA087D" w:rsidRPr="00BB04A6" w:rsidRDefault="00CA087D" w:rsidP="00FB6278">
            <w:pPr>
              <w:shd w:val="clear" w:color="auto" w:fill="FFFFFF" w:themeFill="background1"/>
              <w:jc w:val="center"/>
              <w:rPr>
                <w:rFonts w:ascii="Arial" w:hAnsi="Arial"/>
                <w:sz w:val="22"/>
              </w:rPr>
            </w:pPr>
            <w:r w:rsidRPr="00BB04A6">
              <w:rPr>
                <w:rFonts w:ascii="Arial" w:hAnsi="Arial"/>
                <w:sz w:val="22"/>
              </w:rPr>
              <w:t>85.70%</w:t>
            </w:r>
          </w:p>
        </w:tc>
        <w:tc>
          <w:tcPr>
            <w:tcW w:w="1018" w:type="dxa"/>
            <w:tcBorders>
              <w:top w:val="nil"/>
              <w:left w:val="nil"/>
              <w:bottom w:val="single" w:sz="8" w:space="0" w:color="auto"/>
              <w:right w:val="single" w:sz="8" w:space="0" w:color="auto"/>
            </w:tcBorders>
            <w:shd w:val="clear" w:color="000000" w:fill="FFFFFF"/>
            <w:vAlign w:val="center"/>
            <w:hideMark/>
          </w:tcPr>
          <w:p w14:paraId="182E3D00" w14:textId="77777777" w:rsidR="00CA087D" w:rsidRPr="00BB04A6" w:rsidRDefault="00CA087D" w:rsidP="00FB6278">
            <w:pPr>
              <w:shd w:val="clear" w:color="auto" w:fill="FFFFFF" w:themeFill="background1"/>
              <w:jc w:val="center"/>
              <w:rPr>
                <w:rFonts w:ascii="Arial" w:hAnsi="Arial"/>
                <w:sz w:val="22"/>
              </w:rPr>
            </w:pPr>
            <w:r w:rsidRPr="00BB04A6">
              <w:rPr>
                <w:rFonts w:ascii="Arial" w:hAnsi="Arial"/>
                <w:sz w:val="22"/>
              </w:rPr>
              <w:t>100%</w:t>
            </w:r>
          </w:p>
        </w:tc>
        <w:tc>
          <w:tcPr>
            <w:tcW w:w="960" w:type="dxa"/>
            <w:tcBorders>
              <w:top w:val="nil"/>
              <w:left w:val="nil"/>
              <w:bottom w:val="single" w:sz="8" w:space="0" w:color="auto"/>
              <w:right w:val="single" w:sz="8" w:space="0" w:color="auto"/>
            </w:tcBorders>
            <w:shd w:val="clear" w:color="000000" w:fill="FFFFFF"/>
            <w:vAlign w:val="center"/>
          </w:tcPr>
          <w:p w14:paraId="40E6F73A" w14:textId="77777777" w:rsidR="00CA087D" w:rsidRPr="00BB04A6" w:rsidRDefault="00CA087D" w:rsidP="00FB6278">
            <w:pPr>
              <w:shd w:val="clear" w:color="auto" w:fill="FFFFFF" w:themeFill="background1"/>
              <w:jc w:val="center"/>
              <w:rPr>
                <w:rFonts w:ascii="Arial" w:hAnsi="Arial"/>
                <w:sz w:val="22"/>
              </w:rPr>
            </w:pPr>
            <w:r w:rsidRPr="00BB04A6">
              <w:rPr>
                <w:rFonts w:ascii="Arial" w:hAnsi="Arial"/>
                <w:sz w:val="22"/>
              </w:rPr>
              <w:t>100%</w:t>
            </w:r>
          </w:p>
        </w:tc>
      </w:tr>
      <w:tr w:rsidR="00CA087D" w:rsidRPr="00116D74" w14:paraId="6DC549A7" w14:textId="77777777" w:rsidTr="00CD4F89">
        <w:trPr>
          <w:trHeight w:val="510"/>
        </w:trPr>
        <w:tc>
          <w:tcPr>
            <w:tcW w:w="5340" w:type="dxa"/>
            <w:tcBorders>
              <w:top w:val="nil"/>
              <w:left w:val="single" w:sz="8" w:space="0" w:color="auto"/>
              <w:bottom w:val="single" w:sz="8" w:space="0" w:color="auto"/>
              <w:right w:val="single" w:sz="8" w:space="0" w:color="auto"/>
            </w:tcBorders>
            <w:shd w:val="clear" w:color="auto" w:fill="auto"/>
            <w:vAlign w:val="center"/>
            <w:hideMark/>
          </w:tcPr>
          <w:p w14:paraId="651565A1" w14:textId="77777777" w:rsidR="00CA087D" w:rsidRPr="00BB04A6" w:rsidRDefault="00CA087D" w:rsidP="00FB6278">
            <w:pPr>
              <w:shd w:val="clear" w:color="auto" w:fill="FFFFFF" w:themeFill="background1"/>
              <w:rPr>
                <w:rFonts w:ascii="Arial" w:hAnsi="Arial"/>
                <w:sz w:val="22"/>
              </w:rPr>
            </w:pPr>
            <w:r w:rsidRPr="00BB04A6">
              <w:rPr>
                <w:rFonts w:ascii="Arial" w:hAnsi="Arial"/>
                <w:sz w:val="22"/>
              </w:rPr>
              <w:t>28-day Faster Diagnosis Standard</w:t>
            </w:r>
          </w:p>
        </w:tc>
        <w:tc>
          <w:tcPr>
            <w:tcW w:w="820" w:type="dxa"/>
            <w:tcBorders>
              <w:top w:val="nil"/>
              <w:left w:val="nil"/>
              <w:bottom w:val="single" w:sz="8" w:space="0" w:color="auto"/>
              <w:right w:val="single" w:sz="8" w:space="0" w:color="auto"/>
            </w:tcBorders>
            <w:shd w:val="clear" w:color="auto" w:fill="auto"/>
            <w:noWrap/>
            <w:vAlign w:val="center"/>
            <w:hideMark/>
          </w:tcPr>
          <w:p w14:paraId="00E8B286" w14:textId="77777777" w:rsidR="00CA087D" w:rsidRPr="00BB04A6" w:rsidRDefault="00CA087D" w:rsidP="00FB6278">
            <w:pPr>
              <w:shd w:val="clear" w:color="auto" w:fill="FFFFFF" w:themeFill="background1"/>
              <w:jc w:val="center"/>
              <w:rPr>
                <w:rFonts w:ascii="Arial" w:hAnsi="Arial"/>
                <w:sz w:val="22"/>
              </w:rPr>
            </w:pPr>
            <w:r w:rsidRPr="00BB04A6">
              <w:rPr>
                <w:rFonts w:ascii="Arial" w:hAnsi="Arial"/>
                <w:sz w:val="22"/>
              </w:rPr>
              <w:t>≥ 85%</w:t>
            </w:r>
          </w:p>
        </w:tc>
        <w:tc>
          <w:tcPr>
            <w:tcW w:w="1218" w:type="dxa"/>
            <w:tcBorders>
              <w:top w:val="nil"/>
              <w:left w:val="nil"/>
              <w:bottom w:val="single" w:sz="8" w:space="0" w:color="auto"/>
              <w:right w:val="single" w:sz="8" w:space="0" w:color="auto"/>
            </w:tcBorders>
            <w:shd w:val="clear" w:color="000000" w:fill="FFFFFF"/>
            <w:vAlign w:val="center"/>
            <w:hideMark/>
          </w:tcPr>
          <w:p w14:paraId="7A157AC5" w14:textId="77777777" w:rsidR="00CA087D" w:rsidRPr="00BB04A6" w:rsidRDefault="00CA087D" w:rsidP="00FB6278">
            <w:pPr>
              <w:shd w:val="clear" w:color="auto" w:fill="FFFFFF" w:themeFill="background1"/>
              <w:jc w:val="center"/>
              <w:rPr>
                <w:rFonts w:ascii="Arial" w:hAnsi="Arial"/>
                <w:sz w:val="22"/>
              </w:rPr>
            </w:pPr>
            <w:r w:rsidRPr="00BB04A6">
              <w:rPr>
                <w:rFonts w:ascii="Arial" w:hAnsi="Arial"/>
                <w:sz w:val="22"/>
              </w:rPr>
              <w:t>n/a</w:t>
            </w:r>
          </w:p>
        </w:tc>
        <w:tc>
          <w:tcPr>
            <w:tcW w:w="1018" w:type="dxa"/>
            <w:tcBorders>
              <w:top w:val="nil"/>
              <w:left w:val="nil"/>
              <w:bottom w:val="single" w:sz="8" w:space="0" w:color="auto"/>
              <w:right w:val="single" w:sz="8" w:space="0" w:color="auto"/>
            </w:tcBorders>
            <w:shd w:val="clear" w:color="000000" w:fill="FFFFFF"/>
            <w:vAlign w:val="center"/>
            <w:hideMark/>
          </w:tcPr>
          <w:p w14:paraId="2513CB55" w14:textId="77777777" w:rsidR="00CA087D" w:rsidRPr="00BB04A6" w:rsidRDefault="00CA087D" w:rsidP="00FB6278">
            <w:pPr>
              <w:shd w:val="clear" w:color="auto" w:fill="FFFFFF" w:themeFill="background1"/>
              <w:jc w:val="center"/>
              <w:rPr>
                <w:rFonts w:ascii="Arial" w:hAnsi="Arial"/>
                <w:sz w:val="22"/>
              </w:rPr>
            </w:pPr>
            <w:r w:rsidRPr="00BB04A6">
              <w:rPr>
                <w:rFonts w:ascii="Arial" w:hAnsi="Arial"/>
                <w:sz w:val="22"/>
              </w:rPr>
              <w:t>87.2%</w:t>
            </w:r>
          </w:p>
        </w:tc>
        <w:tc>
          <w:tcPr>
            <w:tcW w:w="960" w:type="dxa"/>
            <w:tcBorders>
              <w:top w:val="nil"/>
              <w:left w:val="nil"/>
              <w:bottom w:val="single" w:sz="8" w:space="0" w:color="auto"/>
              <w:right w:val="single" w:sz="8" w:space="0" w:color="auto"/>
            </w:tcBorders>
            <w:shd w:val="clear" w:color="000000" w:fill="FFFFFF"/>
            <w:vAlign w:val="center"/>
          </w:tcPr>
          <w:p w14:paraId="036C5353" w14:textId="77777777" w:rsidR="00CA087D" w:rsidRPr="00BB04A6" w:rsidRDefault="00CA087D" w:rsidP="00FB6278">
            <w:pPr>
              <w:shd w:val="clear" w:color="auto" w:fill="FFFFFF" w:themeFill="background1"/>
              <w:jc w:val="center"/>
              <w:rPr>
                <w:rFonts w:ascii="Arial" w:hAnsi="Arial"/>
                <w:sz w:val="22"/>
              </w:rPr>
            </w:pPr>
            <w:r w:rsidRPr="00BB04A6">
              <w:rPr>
                <w:rFonts w:ascii="Arial" w:hAnsi="Arial"/>
                <w:sz w:val="22"/>
              </w:rPr>
              <w:t>91.9%</w:t>
            </w:r>
          </w:p>
        </w:tc>
      </w:tr>
    </w:tbl>
    <w:p w14:paraId="3627FB8F" w14:textId="77777777" w:rsidR="006E1D36" w:rsidRDefault="006E1D36" w:rsidP="00FB6278">
      <w:pPr>
        <w:shd w:val="clear" w:color="auto" w:fill="FFFFFF" w:themeFill="background1"/>
        <w:ind w:right="-613"/>
        <w:jc w:val="both"/>
        <w:rPr>
          <w:rFonts w:ascii="Arial" w:hAnsi="Arial"/>
          <w:b/>
          <w:iCs/>
          <w:sz w:val="22"/>
        </w:rPr>
      </w:pPr>
    </w:p>
    <w:p w14:paraId="44A775D7" w14:textId="5D3D0182" w:rsidR="00CA087D" w:rsidRPr="00CD4F89" w:rsidRDefault="00CA087D" w:rsidP="00FB6278">
      <w:pPr>
        <w:shd w:val="clear" w:color="auto" w:fill="FFFFFF" w:themeFill="background1"/>
        <w:ind w:right="-613"/>
        <w:jc w:val="both"/>
        <w:rPr>
          <w:rFonts w:ascii="Arial" w:hAnsi="Arial"/>
          <w:b/>
          <w:iCs/>
          <w:sz w:val="22"/>
        </w:rPr>
      </w:pPr>
      <w:r w:rsidRPr="00CD4F89">
        <w:rPr>
          <w:rFonts w:ascii="Arial" w:hAnsi="Arial"/>
          <w:b/>
          <w:iCs/>
          <w:sz w:val="22"/>
        </w:rPr>
        <w:t>*2021/22 data reflects April</w:t>
      </w:r>
      <w:r w:rsidR="006E1D36">
        <w:rPr>
          <w:rFonts w:ascii="Arial" w:hAnsi="Arial"/>
          <w:b/>
          <w:iCs/>
          <w:sz w:val="22"/>
        </w:rPr>
        <w:t xml:space="preserve"> – </w:t>
      </w:r>
      <w:r w:rsidRPr="00CD4F89">
        <w:rPr>
          <w:rFonts w:ascii="Arial" w:hAnsi="Arial"/>
          <w:b/>
          <w:iCs/>
          <w:sz w:val="22"/>
        </w:rPr>
        <w:t>February data</w:t>
      </w:r>
    </w:p>
    <w:p w14:paraId="6760A1C7" w14:textId="77777777" w:rsidR="00CA087D" w:rsidRPr="00BB04A6" w:rsidRDefault="00CA087D" w:rsidP="00FB6278">
      <w:pPr>
        <w:shd w:val="clear" w:color="auto" w:fill="FFFFFF" w:themeFill="background1"/>
        <w:ind w:left="-567" w:right="-613"/>
        <w:jc w:val="both"/>
        <w:rPr>
          <w:rFonts w:ascii="Arial" w:hAnsi="Arial"/>
          <w:b/>
          <w:i/>
          <w:sz w:val="22"/>
        </w:rPr>
      </w:pPr>
    </w:p>
    <w:p w14:paraId="012B45FC" w14:textId="086FC939" w:rsidR="00CA087D" w:rsidRPr="00BB04A6" w:rsidRDefault="00CA087D" w:rsidP="00FB6278">
      <w:pPr>
        <w:shd w:val="clear" w:color="auto" w:fill="FFFFFF" w:themeFill="background1"/>
        <w:ind w:left="-567" w:right="-613"/>
        <w:jc w:val="both"/>
        <w:rPr>
          <w:rFonts w:ascii="Arial" w:hAnsi="Arial"/>
          <w:sz w:val="22"/>
        </w:rPr>
      </w:pPr>
      <w:r w:rsidRPr="00BB04A6">
        <w:rPr>
          <w:rFonts w:ascii="Arial" w:hAnsi="Arial"/>
          <w:sz w:val="22"/>
        </w:rPr>
        <w:t xml:space="preserve">Cancer waiting times performance has seen all measures maintain their high levels this year and the national targets for these metrics have been exceeded. This includes the ’28-day’ Faster Diagnosis Standard, which requires patients to be informed about their diagnosis within 28 days </w:t>
      </w:r>
      <w:r w:rsidR="00D50908" w:rsidRPr="00BB04A6">
        <w:rPr>
          <w:rFonts w:ascii="Arial" w:hAnsi="Arial"/>
          <w:sz w:val="22"/>
        </w:rPr>
        <w:t xml:space="preserve">of </w:t>
      </w:r>
      <w:r w:rsidRPr="00BB04A6">
        <w:rPr>
          <w:rFonts w:ascii="Arial" w:hAnsi="Arial"/>
          <w:sz w:val="22"/>
        </w:rPr>
        <w:t xml:space="preserve">urgent GP referral </w:t>
      </w:r>
      <w:r w:rsidRPr="00BB04A6">
        <w:rPr>
          <w:rFonts w:ascii="Arial" w:hAnsi="Arial"/>
          <w:sz w:val="22"/>
        </w:rPr>
        <w:lastRenderedPageBreak/>
        <w:t xml:space="preserve">for suspected cancer. For this metric </w:t>
      </w:r>
      <w:r w:rsidR="006E1D36">
        <w:rPr>
          <w:rFonts w:ascii="Arial" w:hAnsi="Arial"/>
          <w:sz w:val="22"/>
        </w:rPr>
        <w:t>we</w:t>
      </w:r>
      <w:r w:rsidRPr="00BB04A6">
        <w:rPr>
          <w:rFonts w:ascii="Arial" w:hAnsi="Arial"/>
          <w:sz w:val="22"/>
        </w:rPr>
        <w:t xml:space="preserve"> adopted a ‘stretch’ target of 85% rather than the national target of 75% and it is pleasing to note that this has been achieved. </w:t>
      </w:r>
    </w:p>
    <w:p w14:paraId="74287D3B" w14:textId="77777777" w:rsidR="00CA087D" w:rsidRPr="00BB04A6" w:rsidRDefault="00CA087D" w:rsidP="00FB6278">
      <w:pPr>
        <w:shd w:val="clear" w:color="auto" w:fill="FFFFFF" w:themeFill="background1"/>
        <w:jc w:val="both"/>
        <w:rPr>
          <w:rFonts w:ascii="Arial" w:hAnsi="Arial"/>
          <w:color w:val="FF0000"/>
          <w:sz w:val="22"/>
        </w:rPr>
      </w:pPr>
    </w:p>
    <w:p w14:paraId="2F5E81FE" w14:textId="438F728C" w:rsidR="008271DB" w:rsidRPr="00BF493F" w:rsidRDefault="00CA087D" w:rsidP="00FB6278">
      <w:pPr>
        <w:shd w:val="clear" w:color="auto" w:fill="FFFFFF" w:themeFill="background1"/>
        <w:ind w:left="-567" w:right="-613"/>
        <w:jc w:val="both"/>
        <w:rPr>
          <w:rFonts w:ascii="Arial" w:hAnsi="Arial"/>
          <w:sz w:val="22"/>
        </w:rPr>
      </w:pPr>
      <w:r w:rsidRPr="00BB04A6">
        <w:rPr>
          <w:rFonts w:ascii="Arial" w:hAnsi="Arial"/>
          <w:sz w:val="22"/>
        </w:rPr>
        <w:t xml:space="preserve">Cancer targets are </w:t>
      </w:r>
      <w:proofErr w:type="gramStart"/>
      <w:r w:rsidRPr="00BB04A6">
        <w:rPr>
          <w:rFonts w:ascii="Arial" w:hAnsi="Arial"/>
          <w:sz w:val="22"/>
        </w:rPr>
        <w:t>challenging</w:t>
      </w:r>
      <w:proofErr w:type="gramEnd"/>
      <w:r w:rsidRPr="00BB04A6">
        <w:rPr>
          <w:rFonts w:ascii="Arial" w:hAnsi="Arial"/>
          <w:sz w:val="22"/>
        </w:rPr>
        <w:t xml:space="preserve"> and the relatively low number of patients makes performance percentages fluctuate. Performance can be influenced by patient choice or the fitness of the patient to undergo surgery, much of which is outside of the control of the trust. Despite this and </w:t>
      </w:r>
      <w:r w:rsidR="00846B3B">
        <w:rPr>
          <w:rFonts w:ascii="Arial" w:hAnsi="Arial"/>
          <w:sz w:val="22"/>
        </w:rPr>
        <w:t>patents’ reluctance to seek medication assistance due to their Covid-19 infection concerns</w:t>
      </w:r>
      <w:r w:rsidRPr="005D1AFE">
        <w:rPr>
          <w:rFonts w:ascii="Arial" w:hAnsi="Arial"/>
          <w:sz w:val="22"/>
        </w:rPr>
        <w:t xml:space="preserve">, the trust has continued to ensure that cancer patients receive exceptional service. </w:t>
      </w:r>
    </w:p>
    <w:p w14:paraId="50FC229A" w14:textId="77777777" w:rsidR="00CA087D" w:rsidRPr="005D1AFE" w:rsidRDefault="00CA087D" w:rsidP="00FB6278">
      <w:pPr>
        <w:shd w:val="clear" w:color="auto" w:fill="FFFFFF" w:themeFill="background1"/>
        <w:ind w:left="-567" w:right="-613"/>
        <w:jc w:val="both"/>
        <w:rPr>
          <w:rFonts w:ascii="Arial" w:hAnsi="Arial"/>
          <w:color w:val="FF0000"/>
          <w:sz w:val="22"/>
        </w:rPr>
      </w:pPr>
    </w:p>
    <w:p w14:paraId="73C8539F" w14:textId="77777777" w:rsidR="00CA087D" w:rsidRPr="005D1AFE" w:rsidRDefault="00CA087D" w:rsidP="00FB6278">
      <w:pPr>
        <w:shd w:val="clear" w:color="auto" w:fill="FFFFFF" w:themeFill="background1"/>
        <w:ind w:left="-567" w:right="-613"/>
        <w:jc w:val="both"/>
        <w:rPr>
          <w:rFonts w:ascii="Arial" w:hAnsi="Arial"/>
          <w:b/>
          <w:color w:val="000000" w:themeColor="text1"/>
          <w:sz w:val="22"/>
        </w:rPr>
      </w:pPr>
      <w:r w:rsidRPr="005D1AFE">
        <w:rPr>
          <w:rFonts w:ascii="Arial" w:hAnsi="Arial"/>
          <w:b/>
          <w:color w:val="000000" w:themeColor="text1"/>
          <w:sz w:val="22"/>
        </w:rPr>
        <w:t>Access</w:t>
      </w:r>
    </w:p>
    <w:p w14:paraId="673CE741" w14:textId="77777777" w:rsidR="00CA087D" w:rsidRPr="005D1AFE" w:rsidRDefault="00CA087D" w:rsidP="00FB6278">
      <w:pPr>
        <w:shd w:val="clear" w:color="auto" w:fill="FFFFFF" w:themeFill="background1"/>
        <w:ind w:left="-567" w:right="-613"/>
        <w:jc w:val="both"/>
        <w:rPr>
          <w:rFonts w:ascii="Arial" w:hAnsi="Arial"/>
          <w:i/>
          <w:color w:val="FF0000"/>
          <w:sz w:val="22"/>
        </w:rPr>
      </w:pPr>
    </w:p>
    <w:tbl>
      <w:tblPr>
        <w:tblW w:w="8923" w:type="dxa"/>
        <w:tblInd w:w="93" w:type="dxa"/>
        <w:tblLook w:val="04A0" w:firstRow="1" w:lastRow="0" w:firstColumn="1" w:lastColumn="0" w:noHBand="0" w:noVBand="1"/>
      </w:tblPr>
      <w:tblGrid>
        <w:gridCol w:w="4268"/>
        <w:gridCol w:w="1445"/>
        <w:gridCol w:w="1109"/>
        <w:gridCol w:w="1089"/>
        <w:gridCol w:w="1012"/>
      </w:tblGrid>
      <w:tr w:rsidR="00CA087D" w:rsidRPr="007B7BE1" w14:paraId="10C855E5" w14:textId="77777777" w:rsidTr="00CD4F89">
        <w:trPr>
          <w:trHeight w:val="692"/>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0A96B" w14:textId="77777777" w:rsidR="00CA087D" w:rsidRPr="005D1AFE" w:rsidRDefault="00CA087D" w:rsidP="00FB6278">
            <w:pPr>
              <w:shd w:val="clear" w:color="auto" w:fill="FFFFFF" w:themeFill="background1"/>
              <w:rPr>
                <w:rFonts w:ascii="Arial" w:hAnsi="Arial"/>
                <w:b/>
                <w:color w:val="000000" w:themeColor="text1"/>
                <w:sz w:val="22"/>
              </w:rPr>
            </w:pPr>
            <w:r w:rsidRPr="005D1AFE">
              <w:rPr>
                <w:rFonts w:ascii="Arial" w:hAnsi="Arial"/>
                <w:b/>
                <w:color w:val="000000" w:themeColor="text1"/>
                <w:sz w:val="22"/>
              </w:rPr>
              <w:t>Indicator</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14:paraId="30F02A90" w14:textId="77777777" w:rsidR="00CA087D" w:rsidRPr="005D1AFE" w:rsidRDefault="00CA087D" w:rsidP="00FB6278">
            <w:pPr>
              <w:shd w:val="clear" w:color="auto" w:fill="FFFFFF" w:themeFill="background1"/>
              <w:jc w:val="center"/>
              <w:rPr>
                <w:rFonts w:ascii="Arial" w:hAnsi="Arial"/>
                <w:b/>
                <w:color w:val="000000" w:themeColor="text1"/>
                <w:sz w:val="22"/>
              </w:rPr>
            </w:pPr>
            <w:r w:rsidRPr="005D1AFE">
              <w:rPr>
                <w:rFonts w:ascii="Arial" w:hAnsi="Arial"/>
                <w:b/>
                <w:color w:val="000000" w:themeColor="text1"/>
                <w:sz w:val="22"/>
              </w:rPr>
              <w:t>Target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89DB51A" w14:textId="77777777" w:rsidR="00CA087D" w:rsidRPr="005D1AFE" w:rsidRDefault="00CA087D" w:rsidP="00FB6278">
            <w:pPr>
              <w:shd w:val="clear" w:color="auto" w:fill="FFFFFF" w:themeFill="background1"/>
              <w:jc w:val="center"/>
              <w:rPr>
                <w:rFonts w:ascii="Arial" w:hAnsi="Arial"/>
                <w:b/>
                <w:color w:val="000000" w:themeColor="text1"/>
                <w:sz w:val="22"/>
              </w:rPr>
            </w:pPr>
            <w:r w:rsidRPr="005D1AFE">
              <w:rPr>
                <w:rFonts w:ascii="Arial" w:hAnsi="Arial"/>
                <w:b/>
                <w:color w:val="000000" w:themeColor="text1"/>
                <w:sz w:val="22"/>
              </w:rPr>
              <w:t>2019/20</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2539514E" w14:textId="77777777" w:rsidR="00CA087D" w:rsidRPr="005D1AFE" w:rsidRDefault="00CA087D" w:rsidP="00FB6278">
            <w:pPr>
              <w:shd w:val="clear" w:color="auto" w:fill="FFFFFF" w:themeFill="background1"/>
              <w:jc w:val="center"/>
              <w:rPr>
                <w:rFonts w:ascii="Arial" w:hAnsi="Arial"/>
                <w:b/>
                <w:color w:val="000000" w:themeColor="text1"/>
                <w:sz w:val="22"/>
              </w:rPr>
            </w:pPr>
            <w:r w:rsidRPr="005D1AFE">
              <w:rPr>
                <w:rFonts w:ascii="Arial" w:hAnsi="Arial"/>
                <w:b/>
                <w:color w:val="000000" w:themeColor="text1"/>
                <w:sz w:val="22"/>
              </w:rPr>
              <w:t>2020/21</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22F0F348" w14:textId="77777777" w:rsidR="00CA087D" w:rsidRPr="005D1AFE" w:rsidRDefault="00CA087D" w:rsidP="00FB6278">
            <w:pPr>
              <w:shd w:val="clear" w:color="auto" w:fill="FFFFFF" w:themeFill="background1"/>
              <w:jc w:val="center"/>
              <w:rPr>
                <w:rFonts w:ascii="Arial" w:hAnsi="Arial"/>
                <w:b/>
                <w:color w:val="000000" w:themeColor="text1"/>
                <w:sz w:val="22"/>
              </w:rPr>
            </w:pPr>
          </w:p>
          <w:p w14:paraId="10B1D1BF" w14:textId="77777777" w:rsidR="00CA087D" w:rsidRPr="005D1AFE" w:rsidRDefault="00CA087D" w:rsidP="00FB6278">
            <w:pPr>
              <w:shd w:val="clear" w:color="auto" w:fill="FFFFFF" w:themeFill="background1"/>
              <w:jc w:val="center"/>
              <w:rPr>
                <w:rFonts w:ascii="Arial" w:hAnsi="Arial"/>
                <w:b/>
                <w:color w:val="000000" w:themeColor="text1"/>
                <w:sz w:val="22"/>
              </w:rPr>
            </w:pPr>
            <w:r w:rsidRPr="005D1AFE">
              <w:rPr>
                <w:rFonts w:ascii="Arial" w:hAnsi="Arial"/>
                <w:b/>
                <w:color w:val="000000" w:themeColor="text1"/>
                <w:sz w:val="22"/>
              </w:rPr>
              <w:t>2021/22</w:t>
            </w:r>
          </w:p>
        </w:tc>
      </w:tr>
      <w:tr w:rsidR="00CA087D" w:rsidRPr="002D117E" w14:paraId="187D3C56" w14:textId="77777777" w:rsidTr="00CD4F89">
        <w:trPr>
          <w:trHeight w:val="481"/>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3ECEF" w14:textId="77777777" w:rsidR="00CA087D" w:rsidRPr="00E727AF" w:rsidRDefault="00CA087D" w:rsidP="00FB6278">
            <w:pPr>
              <w:shd w:val="clear" w:color="auto" w:fill="FFFFFF" w:themeFill="background1"/>
              <w:rPr>
                <w:rFonts w:ascii="Arial" w:hAnsi="Arial"/>
                <w:color w:val="000000" w:themeColor="text1"/>
                <w:sz w:val="22"/>
              </w:rPr>
            </w:pPr>
            <w:r w:rsidRPr="00E727AF">
              <w:rPr>
                <w:rFonts w:ascii="Arial" w:hAnsi="Arial"/>
                <w:color w:val="000000" w:themeColor="text1"/>
                <w:sz w:val="22"/>
              </w:rPr>
              <w:t>Diagnostic waiting times – six weeks</w:t>
            </w:r>
          </w:p>
        </w:tc>
        <w:tc>
          <w:tcPr>
            <w:tcW w:w="1458" w:type="dxa"/>
            <w:tcBorders>
              <w:top w:val="nil"/>
              <w:left w:val="nil"/>
              <w:bottom w:val="single" w:sz="4" w:space="0" w:color="auto"/>
              <w:right w:val="single" w:sz="4" w:space="0" w:color="auto"/>
            </w:tcBorders>
            <w:shd w:val="clear" w:color="auto" w:fill="auto"/>
            <w:vAlign w:val="center"/>
            <w:hideMark/>
          </w:tcPr>
          <w:p w14:paraId="75F5763F" w14:textId="77777777" w:rsidR="00CA087D" w:rsidRPr="00E727AF" w:rsidRDefault="00CA087D" w:rsidP="00FB6278">
            <w:pPr>
              <w:shd w:val="clear" w:color="auto" w:fill="FFFFFF" w:themeFill="background1"/>
              <w:jc w:val="center"/>
              <w:rPr>
                <w:rFonts w:ascii="Arial" w:hAnsi="Arial"/>
                <w:color w:val="000000" w:themeColor="text1"/>
                <w:sz w:val="22"/>
              </w:rPr>
            </w:pPr>
            <w:r w:rsidRPr="00E727AF">
              <w:rPr>
                <w:rFonts w:ascii="Arial" w:hAnsi="Arial"/>
                <w:color w:val="000000" w:themeColor="text1"/>
                <w:sz w:val="22"/>
              </w:rPr>
              <w:t>≥ 99%</w:t>
            </w:r>
          </w:p>
        </w:tc>
        <w:tc>
          <w:tcPr>
            <w:tcW w:w="1109" w:type="dxa"/>
            <w:tcBorders>
              <w:top w:val="nil"/>
              <w:left w:val="single" w:sz="4" w:space="0" w:color="auto"/>
              <w:bottom w:val="single" w:sz="4" w:space="0" w:color="auto"/>
              <w:right w:val="single" w:sz="4" w:space="0" w:color="auto"/>
            </w:tcBorders>
            <w:shd w:val="clear" w:color="auto" w:fill="FFFFFF" w:themeFill="background1"/>
            <w:noWrap/>
            <w:vAlign w:val="center"/>
          </w:tcPr>
          <w:p w14:paraId="64C63E9A" w14:textId="77777777" w:rsidR="00CA087D" w:rsidRPr="00E727AF" w:rsidRDefault="00CA087D" w:rsidP="00FB6278">
            <w:pPr>
              <w:shd w:val="clear" w:color="auto" w:fill="FFFFFF" w:themeFill="background1"/>
              <w:jc w:val="center"/>
              <w:rPr>
                <w:rFonts w:ascii="Arial" w:hAnsi="Arial"/>
                <w:color w:val="000000" w:themeColor="text1"/>
                <w:sz w:val="22"/>
              </w:rPr>
            </w:pPr>
            <w:r w:rsidRPr="00E727AF">
              <w:rPr>
                <w:rFonts w:ascii="Arial" w:hAnsi="Arial"/>
                <w:color w:val="000000" w:themeColor="text1"/>
                <w:sz w:val="22"/>
              </w:rPr>
              <w:t>100%</w:t>
            </w:r>
          </w:p>
        </w:tc>
        <w:tc>
          <w:tcPr>
            <w:tcW w:w="1091" w:type="dxa"/>
            <w:tcBorders>
              <w:top w:val="nil"/>
              <w:left w:val="single" w:sz="4" w:space="0" w:color="auto"/>
              <w:bottom w:val="single" w:sz="4" w:space="0" w:color="auto"/>
              <w:right w:val="single" w:sz="4" w:space="0" w:color="auto"/>
            </w:tcBorders>
            <w:shd w:val="clear" w:color="auto" w:fill="FFFFFF" w:themeFill="background1"/>
            <w:vAlign w:val="center"/>
          </w:tcPr>
          <w:p w14:paraId="245C938E" w14:textId="77777777" w:rsidR="00CA087D" w:rsidRPr="00E727AF" w:rsidRDefault="00CA087D" w:rsidP="00FB6278">
            <w:pPr>
              <w:shd w:val="clear" w:color="auto" w:fill="FFFFFF" w:themeFill="background1"/>
              <w:jc w:val="center"/>
              <w:rPr>
                <w:rFonts w:ascii="Arial" w:hAnsi="Arial"/>
                <w:color w:val="000000" w:themeColor="text1"/>
                <w:sz w:val="22"/>
              </w:rPr>
            </w:pPr>
            <w:r w:rsidRPr="00E727AF">
              <w:rPr>
                <w:rFonts w:ascii="Arial" w:hAnsi="Arial"/>
                <w:color w:val="000000" w:themeColor="text1"/>
                <w:sz w:val="22"/>
              </w:rPr>
              <w:t>64.4%</w:t>
            </w:r>
          </w:p>
        </w:tc>
        <w:tc>
          <w:tcPr>
            <w:tcW w:w="997" w:type="dxa"/>
            <w:tcBorders>
              <w:top w:val="nil"/>
              <w:left w:val="single" w:sz="4" w:space="0" w:color="auto"/>
              <w:bottom w:val="single" w:sz="4" w:space="0" w:color="auto"/>
              <w:right w:val="single" w:sz="4" w:space="0" w:color="auto"/>
            </w:tcBorders>
            <w:shd w:val="clear" w:color="auto" w:fill="FFFFFF" w:themeFill="background1"/>
            <w:vAlign w:val="center"/>
          </w:tcPr>
          <w:p w14:paraId="0E9580DC" w14:textId="77777777" w:rsidR="00CA087D" w:rsidRPr="00E727AF" w:rsidRDefault="00CA087D" w:rsidP="00FB6278">
            <w:pPr>
              <w:shd w:val="clear" w:color="auto" w:fill="FFFFFF" w:themeFill="background1"/>
              <w:jc w:val="center"/>
              <w:rPr>
                <w:rFonts w:ascii="Arial" w:hAnsi="Arial"/>
                <w:color w:val="000000" w:themeColor="text1"/>
                <w:sz w:val="22"/>
              </w:rPr>
            </w:pPr>
            <w:r w:rsidRPr="00E727AF">
              <w:rPr>
                <w:rFonts w:ascii="Arial" w:hAnsi="Arial"/>
                <w:color w:val="000000" w:themeColor="text1"/>
                <w:sz w:val="22"/>
              </w:rPr>
              <w:t>99.0%</w:t>
            </w:r>
          </w:p>
        </w:tc>
      </w:tr>
      <w:tr w:rsidR="00CA087D" w:rsidRPr="007B7BE1" w14:paraId="3F9EC81D" w14:textId="77777777" w:rsidTr="00CD4F89">
        <w:trPr>
          <w:trHeight w:val="123"/>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14:paraId="17805C80" w14:textId="77777777" w:rsidR="00CA087D" w:rsidRPr="00E727AF" w:rsidRDefault="00CA087D" w:rsidP="00FB6278">
            <w:pPr>
              <w:shd w:val="clear" w:color="auto" w:fill="FFFFFF" w:themeFill="background1"/>
              <w:rPr>
                <w:rFonts w:ascii="Arial" w:hAnsi="Arial"/>
                <w:color w:val="000000" w:themeColor="text1"/>
                <w:sz w:val="22"/>
              </w:rPr>
            </w:pPr>
            <w:r w:rsidRPr="00E727AF">
              <w:rPr>
                <w:rFonts w:ascii="Arial" w:hAnsi="Arial"/>
                <w:color w:val="000000" w:themeColor="text1"/>
                <w:sz w:val="22"/>
              </w:rPr>
              <w:t>Percentage of GP referrals from electronic booking</w:t>
            </w:r>
          </w:p>
        </w:tc>
        <w:tc>
          <w:tcPr>
            <w:tcW w:w="1458" w:type="dxa"/>
            <w:tcBorders>
              <w:top w:val="nil"/>
              <w:left w:val="nil"/>
              <w:bottom w:val="single" w:sz="4" w:space="0" w:color="auto"/>
              <w:right w:val="single" w:sz="4" w:space="0" w:color="auto"/>
            </w:tcBorders>
            <w:shd w:val="clear" w:color="auto" w:fill="auto"/>
            <w:vAlign w:val="center"/>
          </w:tcPr>
          <w:p w14:paraId="32696940" w14:textId="77777777" w:rsidR="00CA087D" w:rsidRPr="00E727AF" w:rsidRDefault="00CA087D" w:rsidP="00FB6278">
            <w:pPr>
              <w:shd w:val="clear" w:color="auto" w:fill="FFFFFF" w:themeFill="background1"/>
              <w:jc w:val="center"/>
              <w:rPr>
                <w:rFonts w:ascii="Arial" w:hAnsi="Arial"/>
                <w:color w:val="000000" w:themeColor="text1"/>
                <w:sz w:val="22"/>
              </w:rPr>
            </w:pPr>
            <w:r w:rsidRPr="00E727AF">
              <w:rPr>
                <w:rFonts w:ascii="Arial" w:hAnsi="Arial"/>
                <w:color w:val="000000" w:themeColor="text1"/>
                <w:sz w:val="22"/>
              </w:rPr>
              <w:t>100%</w:t>
            </w:r>
          </w:p>
        </w:tc>
        <w:tc>
          <w:tcPr>
            <w:tcW w:w="1109" w:type="dxa"/>
            <w:tcBorders>
              <w:top w:val="nil"/>
              <w:left w:val="single" w:sz="4" w:space="0" w:color="auto"/>
              <w:bottom w:val="single" w:sz="4" w:space="0" w:color="auto"/>
              <w:right w:val="single" w:sz="4" w:space="0" w:color="auto"/>
            </w:tcBorders>
            <w:shd w:val="clear" w:color="auto" w:fill="FFFFFF" w:themeFill="background1"/>
            <w:noWrap/>
            <w:vAlign w:val="center"/>
          </w:tcPr>
          <w:p w14:paraId="10F7926C" w14:textId="77777777" w:rsidR="00CA087D" w:rsidRPr="00E727AF" w:rsidRDefault="00CA087D" w:rsidP="00FB6278">
            <w:pPr>
              <w:shd w:val="clear" w:color="auto" w:fill="FFFFFF" w:themeFill="background1"/>
              <w:jc w:val="center"/>
              <w:rPr>
                <w:rFonts w:ascii="Arial" w:hAnsi="Arial"/>
                <w:color w:val="000000" w:themeColor="text1"/>
                <w:sz w:val="22"/>
              </w:rPr>
            </w:pPr>
            <w:r w:rsidRPr="00E727AF">
              <w:rPr>
                <w:rFonts w:ascii="Arial" w:hAnsi="Arial"/>
                <w:color w:val="000000" w:themeColor="text1"/>
                <w:sz w:val="22"/>
              </w:rPr>
              <w:t>97.3%</w:t>
            </w:r>
          </w:p>
        </w:tc>
        <w:tc>
          <w:tcPr>
            <w:tcW w:w="1091" w:type="dxa"/>
            <w:tcBorders>
              <w:top w:val="nil"/>
              <w:left w:val="single" w:sz="4" w:space="0" w:color="auto"/>
              <w:bottom w:val="single" w:sz="4" w:space="0" w:color="auto"/>
              <w:right w:val="single" w:sz="4" w:space="0" w:color="auto"/>
            </w:tcBorders>
            <w:shd w:val="clear" w:color="auto" w:fill="auto"/>
            <w:vAlign w:val="center"/>
          </w:tcPr>
          <w:p w14:paraId="04B8E85E" w14:textId="77777777" w:rsidR="00CA087D" w:rsidRPr="00E727AF" w:rsidRDefault="00CA087D" w:rsidP="00FB6278">
            <w:pPr>
              <w:shd w:val="clear" w:color="auto" w:fill="FFFFFF" w:themeFill="background1"/>
              <w:jc w:val="center"/>
              <w:rPr>
                <w:rFonts w:ascii="Arial" w:hAnsi="Arial"/>
                <w:color w:val="000000" w:themeColor="text1"/>
                <w:sz w:val="22"/>
              </w:rPr>
            </w:pPr>
            <w:r w:rsidRPr="00E727AF">
              <w:rPr>
                <w:rFonts w:ascii="Arial" w:hAnsi="Arial"/>
                <w:color w:val="000000" w:themeColor="text1"/>
                <w:sz w:val="22"/>
              </w:rPr>
              <w:t>96.2%</w:t>
            </w:r>
          </w:p>
        </w:tc>
        <w:tc>
          <w:tcPr>
            <w:tcW w:w="997" w:type="dxa"/>
            <w:tcBorders>
              <w:top w:val="nil"/>
              <w:left w:val="single" w:sz="4" w:space="0" w:color="auto"/>
              <w:bottom w:val="single" w:sz="4" w:space="0" w:color="auto"/>
              <w:right w:val="single" w:sz="4" w:space="0" w:color="auto"/>
            </w:tcBorders>
            <w:vAlign w:val="center"/>
          </w:tcPr>
          <w:p w14:paraId="44B71B4A" w14:textId="77777777" w:rsidR="00CA087D" w:rsidRPr="00E727AF" w:rsidRDefault="00CA087D" w:rsidP="00FB6278">
            <w:pPr>
              <w:shd w:val="clear" w:color="auto" w:fill="FFFFFF" w:themeFill="background1"/>
              <w:jc w:val="center"/>
              <w:rPr>
                <w:rFonts w:ascii="Arial" w:hAnsi="Arial"/>
                <w:color w:val="000000" w:themeColor="text1"/>
                <w:sz w:val="22"/>
              </w:rPr>
            </w:pPr>
            <w:r w:rsidRPr="00E727AF">
              <w:rPr>
                <w:rFonts w:ascii="Arial" w:hAnsi="Arial"/>
                <w:color w:val="000000" w:themeColor="text1"/>
                <w:sz w:val="22"/>
              </w:rPr>
              <w:t>98.0%</w:t>
            </w:r>
          </w:p>
        </w:tc>
      </w:tr>
    </w:tbl>
    <w:p w14:paraId="496FDF65" w14:textId="77777777" w:rsidR="00CA087D" w:rsidRPr="00E727AF" w:rsidRDefault="00CA087D" w:rsidP="00FB6278">
      <w:pPr>
        <w:shd w:val="clear" w:color="auto" w:fill="FFFFFF" w:themeFill="background1"/>
        <w:ind w:left="-567" w:right="-613"/>
        <w:jc w:val="both"/>
        <w:rPr>
          <w:rFonts w:ascii="Arial" w:hAnsi="Arial"/>
          <w:color w:val="FF0000"/>
          <w:sz w:val="22"/>
        </w:rPr>
      </w:pPr>
    </w:p>
    <w:p w14:paraId="63D9FDE1" w14:textId="77777777" w:rsidR="00CA087D" w:rsidRPr="00E727AF" w:rsidRDefault="00CA087D" w:rsidP="00FB6278">
      <w:pPr>
        <w:shd w:val="clear" w:color="auto" w:fill="FFFFFF" w:themeFill="background1"/>
        <w:ind w:left="-567" w:right="-613"/>
        <w:jc w:val="both"/>
        <w:rPr>
          <w:rFonts w:ascii="Arial" w:hAnsi="Arial"/>
          <w:color w:val="000000" w:themeColor="text1"/>
          <w:sz w:val="22"/>
        </w:rPr>
      </w:pPr>
      <w:r w:rsidRPr="00E727AF">
        <w:rPr>
          <w:rFonts w:ascii="Arial" w:hAnsi="Arial"/>
          <w:color w:val="000000" w:themeColor="text1"/>
          <w:sz w:val="22"/>
        </w:rPr>
        <w:t xml:space="preserve">Diagnostic waiting times have returned close to their pre-pandemic level. The electronic GP referral is short of target but reflects the trust’s commitment to patient safety whereby patients are not disadvantaged if their referral comes via an alternative, non-electronic route. </w:t>
      </w:r>
    </w:p>
    <w:p w14:paraId="3CED98EC" w14:textId="77777777" w:rsidR="00CA087D" w:rsidRPr="00E727AF" w:rsidRDefault="00CA087D" w:rsidP="00FB6278">
      <w:pPr>
        <w:shd w:val="clear" w:color="auto" w:fill="FFFFFF" w:themeFill="background1"/>
        <w:ind w:left="-567" w:right="-613"/>
        <w:jc w:val="both"/>
        <w:rPr>
          <w:rFonts w:ascii="Arial" w:hAnsi="Arial"/>
          <w:color w:val="FF0000"/>
          <w:sz w:val="22"/>
        </w:rPr>
      </w:pPr>
    </w:p>
    <w:p w14:paraId="02107D11" w14:textId="77777777" w:rsidR="00CA087D" w:rsidRPr="00E727AF" w:rsidRDefault="00CA087D" w:rsidP="00FB6278">
      <w:pPr>
        <w:shd w:val="clear" w:color="auto" w:fill="FFFFFF" w:themeFill="background1"/>
        <w:ind w:left="-567" w:right="-613"/>
        <w:jc w:val="both"/>
        <w:rPr>
          <w:rFonts w:ascii="Arial" w:hAnsi="Arial"/>
          <w:b/>
          <w:color w:val="000000" w:themeColor="text1"/>
          <w:sz w:val="22"/>
        </w:rPr>
      </w:pPr>
      <w:r w:rsidRPr="00E727AF">
        <w:rPr>
          <w:rFonts w:ascii="Arial" w:hAnsi="Arial"/>
          <w:b/>
          <w:color w:val="000000" w:themeColor="text1"/>
          <w:sz w:val="22"/>
        </w:rPr>
        <w:t>Outpatient activity</w:t>
      </w:r>
    </w:p>
    <w:p w14:paraId="4D9A94CC" w14:textId="77777777" w:rsidR="00CA087D" w:rsidRPr="00E727AF" w:rsidRDefault="00CA087D" w:rsidP="00FB6278">
      <w:pPr>
        <w:shd w:val="clear" w:color="auto" w:fill="FFFFFF" w:themeFill="background1"/>
        <w:ind w:left="-567" w:right="-613"/>
        <w:jc w:val="both"/>
        <w:rPr>
          <w:rFonts w:ascii="Arial" w:hAnsi="Arial"/>
          <w:b/>
          <w:color w:val="FF0000"/>
          <w:sz w:val="22"/>
        </w:rPr>
      </w:pPr>
      <w:r w:rsidRPr="00E727AF">
        <w:rPr>
          <w:rFonts w:ascii="Arial" w:hAnsi="Arial"/>
          <w:noProof/>
          <w:color w:val="FF0000"/>
          <w:sz w:val="22"/>
        </w:rPr>
        <w:drawing>
          <wp:anchor distT="0" distB="0" distL="114300" distR="114300" simplePos="0" relativeHeight="251840512" behindDoc="0" locked="0" layoutInCell="1" allowOverlap="1" wp14:anchorId="46B88BB5" wp14:editId="30D480D6">
            <wp:simplePos x="0" y="0"/>
            <wp:positionH relativeFrom="margin">
              <wp:posOffset>-67310</wp:posOffset>
            </wp:positionH>
            <wp:positionV relativeFrom="paragraph">
              <wp:posOffset>289560</wp:posOffset>
            </wp:positionV>
            <wp:extent cx="6104890" cy="25146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4890" cy="2514600"/>
                    </a:xfrm>
                    <a:prstGeom prst="rect">
                      <a:avLst/>
                    </a:prstGeom>
                    <a:noFill/>
                  </pic:spPr>
                </pic:pic>
              </a:graphicData>
            </a:graphic>
            <wp14:sizeRelH relativeFrom="margin">
              <wp14:pctWidth>0</wp14:pctWidth>
            </wp14:sizeRelH>
            <wp14:sizeRelV relativeFrom="margin">
              <wp14:pctHeight>0</wp14:pctHeight>
            </wp14:sizeRelV>
          </wp:anchor>
        </w:drawing>
      </w:r>
    </w:p>
    <w:p w14:paraId="1D0D716E" w14:textId="77777777" w:rsidR="00CA087D" w:rsidRPr="00E727AF" w:rsidRDefault="00CA087D" w:rsidP="00FB6278">
      <w:pPr>
        <w:shd w:val="clear" w:color="auto" w:fill="FFFFFF" w:themeFill="background1"/>
        <w:ind w:left="-567"/>
        <w:rPr>
          <w:rFonts w:ascii="Arial" w:hAnsi="Arial"/>
          <w:color w:val="FF0000"/>
          <w:sz w:val="22"/>
        </w:rPr>
      </w:pPr>
    </w:p>
    <w:p w14:paraId="1EB03B23" w14:textId="77777777" w:rsidR="00BF493F" w:rsidRDefault="00BF493F" w:rsidP="00FB6278">
      <w:pPr>
        <w:shd w:val="clear" w:color="auto" w:fill="FFFFFF" w:themeFill="background1"/>
        <w:ind w:left="-567"/>
        <w:rPr>
          <w:rFonts w:ascii="Arial" w:hAnsi="Arial"/>
          <w:sz w:val="22"/>
        </w:rPr>
      </w:pPr>
    </w:p>
    <w:p w14:paraId="55F64981" w14:textId="77777777" w:rsidR="00BF493F" w:rsidRDefault="00BF493F" w:rsidP="00FB6278">
      <w:pPr>
        <w:shd w:val="clear" w:color="auto" w:fill="FFFFFF" w:themeFill="background1"/>
        <w:ind w:left="-567"/>
        <w:rPr>
          <w:rFonts w:ascii="Arial" w:hAnsi="Arial"/>
          <w:sz w:val="22"/>
        </w:rPr>
      </w:pPr>
    </w:p>
    <w:p w14:paraId="058396FB" w14:textId="77777777" w:rsidR="00BF493F" w:rsidRDefault="00BF493F" w:rsidP="00FB6278">
      <w:pPr>
        <w:shd w:val="clear" w:color="auto" w:fill="FFFFFF" w:themeFill="background1"/>
        <w:ind w:left="-567"/>
        <w:rPr>
          <w:rFonts w:ascii="Arial" w:hAnsi="Arial"/>
          <w:sz w:val="22"/>
        </w:rPr>
      </w:pPr>
    </w:p>
    <w:p w14:paraId="58C37669" w14:textId="77777777" w:rsidR="00BF493F" w:rsidRDefault="00BF493F" w:rsidP="00FB6278">
      <w:pPr>
        <w:shd w:val="clear" w:color="auto" w:fill="FFFFFF" w:themeFill="background1"/>
        <w:ind w:left="-567"/>
        <w:rPr>
          <w:rFonts w:ascii="Arial" w:hAnsi="Arial"/>
          <w:sz w:val="22"/>
        </w:rPr>
      </w:pPr>
    </w:p>
    <w:p w14:paraId="3CFA9433" w14:textId="77777777" w:rsidR="00BF493F" w:rsidRDefault="00BF493F" w:rsidP="00FB6278">
      <w:pPr>
        <w:shd w:val="clear" w:color="auto" w:fill="FFFFFF" w:themeFill="background1"/>
        <w:ind w:left="-567"/>
        <w:rPr>
          <w:rFonts w:ascii="Arial" w:hAnsi="Arial"/>
          <w:sz w:val="22"/>
        </w:rPr>
      </w:pPr>
    </w:p>
    <w:p w14:paraId="4A25CC18" w14:textId="77777777" w:rsidR="00BF493F" w:rsidRDefault="00BF493F" w:rsidP="00FB6278">
      <w:pPr>
        <w:shd w:val="clear" w:color="auto" w:fill="FFFFFF" w:themeFill="background1"/>
        <w:ind w:left="-567"/>
        <w:rPr>
          <w:rFonts w:ascii="Arial" w:hAnsi="Arial"/>
          <w:sz w:val="22"/>
        </w:rPr>
      </w:pPr>
    </w:p>
    <w:p w14:paraId="3400593E" w14:textId="77777777" w:rsidR="00BF493F" w:rsidRDefault="00BF493F" w:rsidP="00FB6278">
      <w:pPr>
        <w:shd w:val="clear" w:color="auto" w:fill="FFFFFF" w:themeFill="background1"/>
        <w:ind w:left="-567"/>
        <w:rPr>
          <w:rFonts w:ascii="Arial" w:hAnsi="Arial"/>
          <w:sz w:val="22"/>
        </w:rPr>
      </w:pPr>
    </w:p>
    <w:p w14:paraId="3872F6B7" w14:textId="77777777" w:rsidR="00BF493F" w:rsidRDefault="00BF493F" w:rsidP="00FB6278">
      <w:pPr>
        <w:shd w:val="clear" w:color="auto" w:fill="FFFFFF" w:themeFill="background1"/>
        <w:ind w:left="-567"/>
        <w:rPr>
          <w:rFonts w:ascii="Arial" w:hAnsi="Arial"/>
          <w:sz w:val="22"/>
        </w:rPr>
      </w:pPr>
    </w:p>
    <w:p w14:paraId="302AA203" w14:textId="77777777" w:rsidR="00BF493F" w:rsidRDefault="00BF493F" w:rsidP="00FB6278">
      <w:pPr>
        <w:shd w:val="clear" w:color="auto" w:fill="FFFFFF" w:themeFill="background1"/>
        <w:ind w:left="-567"/>
        <w:rPr>
          <w:rFonts w:ascii="Arial" w:hAnsi="Arial"/>
          <w:sz w:val="22"/>
        </w:rPr>
      </w:pPr>
    </w:p>
    <w:p w14:paraId="1052164B" w14:textId="77777777" w:rsidR="00BF493F" w:rsidRDefault="00BF493F" w:rsidP="00FB6278">
      <w:pPr>
        <w:shd w:val="clear" w:color="auto" w:fill="FFFFFF" w:themeFill="background1"/>
        <w:ind w:left="-567"/>
        <w:rPr>
          <w:rFonts w:ascii="Arial" w:hAnsi="Arial"/>
          <w:sz w:val="22"/>
        </w:rPr>
      </w:pPr>
    </w:p>
    <w:p w14:paraId="55AA7B30" w14:textId="77777777" w:rsidR="00BF493F" w:rsidRDefault="00BF493F" w:rsidP="00FB6278">
      <w:pPr>
        <w:shd w:val="clear" w:color="auto" w:fill="FFFFFF" w:themeFill="background1"/>
        <w:ind w:left="-567"/>
        <w:rPr>
          <w:rFonts w:ascii="Arial" w:hAnsi="Arial"/>
          <w:sz w:val="22"/>
        </w:rPr>
      </w:pPr>
    </w:p>
    <w:p w14:paraId="512C3622" w14:textId="77777777" w:rsidR="00BF493F" w:rsidRDefault="00BF493F" w:rsidP="00FB6278">
      <w:pPr>
        <w:shd w:val="clear" w:color="auto" w:fill="FFFFFF" w:themeFill="background1"/>
        <w:ind w:left="-567"/>
        <w:rPr>
          <w:rFonts w:ascii="Arial" w:hAnsi="Arial"/>
          <w:sz w:val="22"/>
        </w:rPr>
      </w:pPr>
    </w:p>
    <w:p w14:paraId="47835228" w14:textId="77777777" w:rsidR="00BF493F" w:rsidRDefault="00BF493F" w:rsidP="00FB6278">
      <w:pPr>
        <w:shd w:val="clear" w:color="auto" w:fill="FFFFFF" w:themeFill="background1"/>
        <w:ind w:left="-567"/>
        <w:rPr>
          <w:rFonts w:ascii="Arial" w:hAnsi="Arial"/>
          <w:sz w:val="22"/>
        </w:rPr>
      </w:pPr>
    </w:p>
    <w:p w14:paraId="06919234" w14:textId="77777777" w:rsidR="00BF493F" w:rsidRDefault="00BF493F" w:rsidP="00FB6278">
      <w:pPr>
        <w:shd w:val="clear" w:color="auto" w:fill="FFFFFF" w:themeFill="background1"/>
        <w:ind w:left="-567"/>
        <w:rPr>
          <w:rFonts w:ascii="Arial" w:hAnsi="Arial"/>
          <w:sz w:val="22"/>
        </w:rPr>
      </w:pPr>
    </w:p>
    <w:p w14:paraId="27C53BB0" w14:textId="13F3AF1C" w:rsidR="00CA087D" w:rsidRPr="00E727AF" w:rsidRDefault="00CA087D" w:rsidP="00FB6278">
      <w:pPr>
        <w:shd w:val="clear" w:color="auto" w:fill="FFFFFF" w:themeFill="background1"/>
        <w:ind w:left="-567"/>
        <w:rPr>
          <w:rFonts w:ascii="Arial" w:hAnsi="Arial"/>
          <w:sz w:val="22"/>
        </w:rPr>
      </w:pPr>
      <w:r w:rsidRPr="00E727AF">
        <w:rPr>
          <w:rFonts w:ascii="Arial" w:hAnsi="Arial"/>
          <w:sz w:val="22"/>
        </w:rPr>
        <w:lastRenderedPageBreak/>
        <w:t xml:space="preserve">This table shows all activity for Moorfields systems </w:t>
      </w:r>
      <w:r w:rsidRPr="00E727AF">
        <w:rPr>
          <w:rFonts w:ascii="Arial" w:hAnsi="Arial"/>
          <w:i/>
          <w:sz w:val="22"/>
        </w:rPr>
        <w:t>(not including Bedford).</w:t>
      </w:r>
    </w:p>
    <w:p w14:paraId="548FA7A7" w14:textId="77777777" w:rsidR="00CA087D" w:rsidRPr="00E727AF" w:rsidRDefault="00CA087D" w:rsidP="00FB6278">
      <w:pPr>
        <w:shd w:val="clear" w:color="auto" w:fill="FFFFFF" w:themeFill="background1"/>
        <w:ind w:left="-567" w:right="-613"/>
        <w:jc w:val="both"/>
        <w:rPr>
          <w:rFonts w:ascii="Arial" w:hAnsi="Arial"/>
          <w:b/>
          <w:sz w:val="22"/>
        </w:rPr>
      </w:pPr>
    </w:p>
    <w:tbl>
      <w:tblPr>
        <w:tblW w:w="8731" w:type="dxa"/>
        <w:tblInd w:w="93" w:type="dxa"/>
        <w:tblLook w:val="04A0" w:firstRow="1" w:lastRow="0" w:firstColumn="1" w:lastColumn="0" w:noHBand="0" w:noVBand="1"/>
      </w:tblPr>
      <w:tblGrid>
        <w:gridCol w:w="5118"/>
        <w:gridCol w:w="1345"/>
        <w:gridCol w:w="1134"/>
        <w:gridCol w:w="1134"/>
      </w:tblGrid>
      <w:tr w:rsidR="00CA087D" w:rsidRPr="00593AFE" w14:paraId="13EA325E" w14:textId="77777777" w:rsidTr="00CD4F89">
        <w:trPr>
          <w:trHeight w:val="159"/>
        </w:trPr>
        <w:tc>
          <w:tcPr>
            <w:tcW w:w="5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F8DE8" w14:textId="77777777" w:rsidR="00CA087D" w:rsidRPr="00E727AF" w:rsidRDefault="00CA087D" w:rsidP="00FB6278">
            <w:pPr>
              <w:shd w:val="clear" w:color="auto" w:fill="FFFFFF" w:themeFill="background1"/>
              <w:rPr>
                <w:rFonts w:ascii="Arial" w:hAnsi="Arial"/>
                <w:b/>
                <w:sz w:val="22"/>
              </w:rPr>
            </w:pPr>
            <w:r w:rsidRPr="00E727AF">
              <w:rPr>
                <w:rFonts w:ascii="Arial" w:hAnsi="Arial"/>
                <w:b/>
                <w:sz w:val="22"/>
              </w:rPr>
              <w:t>Indicator</w:t>
            </w: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93C7C3" w14:textId="77777777" w:rsidR="00CA087D" w:rsidRPr="00E727AF" w:rsidRDefault="00CA087D" w:rsidP="00FB6278">
            <w:pPr>
              <w:shd w:val="clear" w:color="auto" w:fill="FFFFFF" w:themeFill="background1"/>
              <w:jc w:val="center"/>
              <w:rPr>
                <w:rFonts w:ascii="Arial" w:hAnsi="Arial"/>
                <w:b/>
                <w:sz w:val="22"/>
              </w:rPr>
            </w:pPr>
          </w:p>
          <w:p w14:paraId="77634C71" w14:textId="77777777" w:rsidR="00CA087D" w:rsidRPr="00E727AF" w:rsidRDefault="00CA087D" w:rsidP="00FB6278">
            <w:pPr>
              <w:shd w:val="clear" w:color="auto" w:fill="FFFFFF" w:themeFill="background1"/>
              <w:jc w:val="center"/>
              <w:rPr>
                <w:rFonts w:ascii="Arial" w:hAnsi="Arial"/>
                <w:b/>
                <w:sz w:val="22"/>
              </w:rPr>
            </w:pPr>
            <w:r w:rsidRPr="00E727AF">
              <w:rPr>
                <w:rFonts w:ascii="Arial" w:hAnsi="Arial"/>
                <w:b/>
                <w:sz w:val="22"/>
              </w:rPr>
              <w:t>2019/20</w:t>
            </w:r>
          </w:p>
          <w:p w14:paraId="37788BA1" w14:textId="77777777" w:rsidR="00CA087D" w:rsidRPr="00E727AF" w:rsidRDefault="00CA087D" w:rsidP="00FB6278">
            <w:pPr>
              <w:shd w:val="clear" w:color="auto" w:fill="FFFFFF" w:themeFill="background1"/>
              <w:jc w:val="center"/>
              <w:rPr>
                <w:rFonts w:ascii="Arial" w:hAnsi="Arial"/>
                <w:b/>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916DA4" w14:textId="77777777" w:rsidR="00CA087D" w:rsidRPr="00E727AF" w:rsidRDefault="00CA087D" w:rsidP="00FB6278">
            <w:pPr>
              <w:shd w:val="clear" w:color="auto" w:fill="FFFFFF" w:themeFill="background1"/>
              <w:jc w:val="center"/>
              <w:rPr>
                <w:rFonts w:ascii="Arial" w:hAnsi="Arial"/>
                <w:b/>
                <w:sz w:val="22"/>
              </w:rPr>
            </w:pPr>
          </w:p>
          <w:p w14:paraId="3427F15D" w14:textId="77777777" w:rsidR="00CA087D" w:rsidRPr="00E727AF" w:rsidRDefault="00CA087D" w:rsidP="00FB6278">
            <w:pPr>
              <w:shd w:val="clear" w:color="auto" w:fill="FFFFFF" w:themeFill="background1"/>
              <w:jc w:val="center"/>
              <w:rPr>
                <w:rFonts w:ascii="Arial" w:hAnsi="Arial"/>
                <w:b/>
                <w:sz w:val="22"/>
              </w:rPr>
            </w:pPr>
            <w:r w:rsidRPr="00E727AF">
              <w:rPr>
                <w:rFonts w:ascii="Arial" w:hAnsi="Arial"/>
                <w:b/>
                <w:sz w:val="22"/>
              </w:rPr>
              <w:t>2020/21</w:t>
            </w:r>
          </w:p>
          <w:p w14:paraId="7B634CE1" w14:textId="77777777" w:rsidR="00CA087D" w:rsidRPr="00E727AF" w:rsidRDefault="00CA087D" w:rsidP="00FB6278">
            <w:pPr>
              <w:shd w:val="clear" w:color="auto" w:fill="FFFFFF" w:themeFill="background1"/>
              <w:jc w:val="center"/>
              <w:rPr>
                <w:rFonts w:ascii="Arial" w:hAnsi="Arial"/>
                <w:b/>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895A9C" w14:textId="77777777" w:rsidR="00CA087D" w:rsidRPr="00E727AF" w:rsidRDefault="00CA087D" w:rsidP="00FB6278">
            <w:pPr>
              <w:shd w:val="clear" w:color="auto" w:fill="FFFFFF" w:themeFill="background1"/>
              <w:jc w:val="center"/>
              <w:rPr>
                <w:rFonts w:ascii="Arial" w:hAnsi="Arial"/>
                <w:b/>
                <w:sz w:val="22"/>
              </w:rPr>
            </w:pPr>
          </w:p>
          <w:p w14:paraId="4F65EAB6" w14:textId="77777777" w:rsidR="00CA087D" w:rsidRPr="00E727AF" w:rsidRDefault="00CA087D" w:rsidP="00FB6278">
            <w:pPr>
              <w:shd w:val="clear" w:color="auto" w:fill="FFFFFF" w:themeFill="background1"/>
              <w:jc w:val="center"/>
              <w:rPr>
                <w:rFonts w:ascii="Arial" w:hAnsi="Arial"/>
                <w:b/>
                <w:sz w:val="22"/>
              </w:rPr>
            </w:pPr>
            <w:r w:rsidRPr="00E727AF">
              <w:rPr>
                <w:rFonts w:ascii="Arial" w:hAnsi="Arial"/>
                <w:b/>
                <w:sz w:val="22"/>
              </w:rPr>
              <w:t>2021/22</w:t>
            </w:r>
          </w:p>
        </w:tc>
      </w:tr>
      <w:tr w:rsidR="00CA087D" w:rsidRPr="00593AFE" w14:paraId="770E8D7A" w14:textId="77777777" w:rsidTr="00CD4F89">
        <w:trPr>
          <w:trHeight w:val="105"/>
        </w:trPr>
        <w:tc>
          <w:tcPr>
            <w:tcW w:w="5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B095B" w14:textId="77777777" w:rsidR="00CA087D" w:rsidRPr="00E727AF" w:rsidRDefault="00CA087D" w:rsidP="00FB6278">
            <w:pPr>
              <w:shd w:val="clear" w:color="auto" w:fill="FFFFFF" w:themeFill="background1"/>
              <w:rPr>
                <w:rFonts w:ascii="Arial" w:hAnsi="Arial"/>
                <w:sz w:val="22"/>
              </w:rPr>
            </w:pPr>
            <w:r w:rsidRPr="00E727AF">
              <w:rPr>
                <w:rFonts w:ascii="Arial" w:hAnsi="Arial"/>
                <w:sz w:val="22"/>
              </w:rPr>
              <w:t>Outpatient total attendances – first appointment</w:t>
            </w:r>
          </w:p>
        </w:tc>
        <w:tc>
          <w:tcPr>
            <w:tcW w:w="1345" w:type="dxa"/>
            <w:tcBorders>
              <w:top w:val="nil"/>
              <w:left w:val="single" w:sz="4" w:space="0" w:color="auto"/>
              <w:bottom w:val="single" w:sz="4" w:space="0" w:color="auto"/>
              <w:right w:val="single" w:sz="4" w:space="0" w:color="auto"/>
            </w:tcBorders>
            <w:shd w:val="clear" w:color="auto" w:fill="FFFFFF" w:themeFill="background1"/>
            <w:noWrap/>
            <w:vAlign w:val="center"/>
          </w:tcPr>
          <w:p w14:paraId="48C2AD4B" w14:textId="77777777" w:rsidR="00CA087D" w:rsidRPr="00E727AF" w:rsidRDefault="00CA087D" w:rsidP="00FB6278">
            <w:pPr>
              <w:shd w:val="clear" w:color="auto" w:fill="FFFFFF" w:themeFill="background1"/>
              <w:jc w:val="center"/>
              <w:rPr>
                <w:rFonts w:ascii="Arial" w:hAnsi="Arial"/>
                <w:sz w:val="22"/>
              </w:rPr>
            </w:pPr>
            <w:r w:rsidRPr="00E727AF">
              <w:rPr>
                <w:rFonts w:ascii="Arial" w:hAnsi="Arial"/>
                <w:sz w:val="22"/>
              </w:rPr>
              <w:t>132,821</w:t>
            </w:r>
          </w:p>
        </w:tc>
        <w:tc>
          <w:tcPr>
            <w:tcW w:w="1134" w:type="dxa"/>
            <w:tcBorders>
              <w:top w:val="nil"/>
              <w:left w:val="single" w:sz="4" w:space="0" w:color="auto"/>
              <w:bottom w:val="single" w:sz="4" w:space="0" w:color="auto"/>
              <w:right w:val="single" w:sz="4" w:space="0" w:color="auto"/>
            </w:tcBorders>
            <w:shd w:val="clear" w:color="auto" w:fill="auto"/>
            <w:vAlign w:val="center"/>
          </w:tcPr>
          <w:p w14:paraId="6F7EE9CA" w14:textId="77777777" w:rsidR="00CA087D" w:rsidRPr="00E727AF" w:rsidRDefault="00CA087D" w:rsidP="00FB6278">
            <w:pPr>
              <w:shd w:val="clear" w:color="auto" w:fill="FFFFFF" w:themeFill="background1"/>
              <w:jc w:val="center"/>
              <w:rPr>
                <w:rFonts w:ascii="Arial" w:hAnsi="Arial"/>
                <w:sz w:val="22"/>
              </w:rPr>
            </w:pPr>
            <w:r w:rsidRPr="00E727AF">
              <w:rPr>
                <w:rFonts w:ascii="Arial" w:hAnsi="Arial"/>
                <w:sz w:val="22"/>
              </w:rPr>
              <w:t>67,421</w:t>
            </w:r>
          </w:p>
        </w:tc>
        <w:tc>
          <w:tcPr>
            <w:tcW w:w="1134" w:type="dxa"/>
            <w:tcBorders>
              <w:top w:val="nil"/>
              <w:left w:val="single" w:sz="4" w:space="0" w:color="auto"/>
              <w:bottom w:val="single" w:sz="4" w:space="0" w:color="auto"/>
              <w:right w:val="single" w:sz="4" w:space="0" w:color="auto"/>
            </w:tcBorders>
            <w:vAlign w:val="center"/>
          </w:tcPr>
          <w:p w14:paraId="72DBD886" w14:textId="77777777" w:rsidR="00CA087D" w:rsidRPr="00E727AF" w:rsidRDefault="00CA087D" w:rsidP="00FB6278">
            <w:pPr>
              <w:shd w:val="clear" w:color="auto" w:fill="FFFFFF" w:themeFill="background1"/>
              <w:jc w:val="center"/>
              <w:rPr>
                <w:rFonts w:ascii="Arial" w:hAnsi="Arial"/>
                <w:sz w:val="22"/>
              </w:rPr>
            </w:pPr>
            <w:r w:rsidRPr="00E727AF">
              <w:rPr>
                <w:rFonts w:ascii="Arial" w:hAnsi="Arial"/>
                <w:sz w:val="22"/>
              </w:rPr>
              <w:t>125,351</w:t>
            </w:r>
          </w:p>
        </w:tc>
      </w:tr>
      <w:tr w:rsidR="00CA087D" w:rsidRPr="00593AFE" w14:paraId="3605990E" w14:textId="77777777" w:rsidTr="00CD4F89">
        <w:trPr>
          <w:trHeight w:val="365"/>
        </w:trPr>
        <w:tc>
          <w:tcPr>
            <w:tcW w:w="5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68AD1" w14:textId="77777777" w:rsidR="00CA087D" w:rsidRPr="00E727AF" w:rsidRDefault="00CA087D" w:rsidP="00FB6278">
            <w:pPr>
              <w:shd w:val="clear" w:color="auto" w:fill="FFFFFF" w:themeFill="background1"/>
              <w:rPr>
                <w:rFonts w:ascii="Arial" w:hAnsi="Arial"/>
                <w:sz w:val="22"/>
              </w:rPr>
            </w:pPr>
            <w:r w:rsidRPr="00E727AF">
              <w:rPr>
                <w:rFonts w:ascii="Arial" w:hAnsi="Arial"/>
                <w:sz w:val="22"/>
              </w:rPr>
              <w:t>Outpatient total attendances – follow up appointments</w:t>
            </w:r>
          </w:p>
        </w:tc>
        <w:tc>
          <w:tcPr>
            <w:tcW w:w="1345" w:type="dxa"/>
            <w:tcBorders>
              <w:top w:val="nil"/>
              <w:left w:val="single" w:sz="4" w:space="0" w:color="auto"/>
              <w:bottom w:val="single" w:sz="4" w:space="0" w:color="auto"/>
              <w:right w:val="single" w:sz="4" w:space="0" w:color="auto"/>
            </w:tcBorders>
            <w:shd w:val="clear" w:color="auto" w:fill="FFFFFF" w:themeFill="background1"/>
            <w:noWrap/>
            <w:vAlign w:val="center"/>
          </w:tcPr>
          <w:p w14:paraId="07183365" w14:textId="77777777" w:rsidR="00CA087D" w:rsidRPr="00E727AF" w:rsidRDefault="00CA087D" w:rsidP="00FB6278">
            <w:pPr>
              <w:shd w:val="clear" w:color="auto" w:fill="FFFFFF" w:themeFill="background1"/>
              <w:jc w:val="center"/>
              <w:rPr>
                <w:rFonts w:ascii="Arial" w:hAnsi="Arial"/>
                <w:sz w:val="22"/>
              </w:rPr>
            </w:pPr>
            <w:r w:rsidRPr="00E727AF">
              <w:rPr>
                <w:rFonts w:ascii="Arial" w:hAnsi="Arial"/>
                <w:sz w:val="22"/>
              </w:rPr>
              <w:t>467,400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46785766" w14:textId="77777777" w:rsidR="00CA087D" w:rsidRPr="00E727AF" w:rsidRDefault="00CA087D" w:rsidP="00FB6278">
            <w:pPr>
              <w:shd w:val="clear" w:color="auto" w:fill="FFFFFF" w:themeFill="background1"/>
              <w:jc w:val="center"/>
              <w:rPr>
                <w:rFonts w:ascii="Arial" w:hAnsi="Arial"/>
                <w:sz w:val="22"/>
              </w:rPr>
            </w:pPr>
            <w:r w:rsidRPr="00E727AF">
              <w:rPr>
                <w:rFonts w:ascii="Arial" w:hAnsi="Arial"/>
                <w:sz w:val="22"/>
              </w:rPr>
              <w:t>278,644</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11BDB641" w14:textId="77777777" w:rsidR="00CA087D" w:rsidRPr="00E727AF" w:rsidRDefault="00CA087D" w:rsidP="00FB6278">
            <w:pPr>
              <w:shd w:val="clear" w:color="auto" w:fill="FFFFFF" w:themeFill="background1"/>
              <w:jc w:val="center"/>
              <w:rPr>
                <w:rFonts w:ascii="Arial" w:hAnsi="Arial"/>
                <w:sz w:val="22"/>
              </w:rPr>
            </w:pPr>
            <w:r w:rsidRPr="00E727AF">
              <w:rPr>
                <w:rFonts w:ascii="Arial" w:hAnsi="Arial"/>
                <w:sz w:val="22"/>
              </w:rPr>
              <w:t>442,245</w:t>
            </w:r>
          </w:p>
        </w:tc>
      </w:tr>
      <w:tr w:rsidR="00CA087D" w:rsidRPr="00593AFE" w14:paraId="2B5913DB" w14:textId="77777777" w:rsidTr="00CD4F89">
        <w:trPr>
          <w:trHeight w:val="139"/>
        </w:trPr>
        <w:tc>
          <w:tcPr>
            <w:tcW w:w="5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D85D5" w14:textId="77777777" w:rsidR="00CA087D" w:rsidRPr="00E727AF" w:rsidRDefault="00CA087D" w:rsidP="00FB6278">
            <w:pPr>
              <w:shd w:val="clear" w:color="auto" w:fill="FFFFFF" w:themeFill="background1"/>
              <w:rPr>
                <w:rFonts w:ascii="Arial" w:hAnsi="Arial"/>
                <w:sz w:val="22"/>
              </w:rPr>
            </w:pPr>
            <w:r w:rsidRPr="00E727AF">
              <w:rPr>
                <w:rFonts w:ascii="Arial" w:hAnsi="Arial"/>
                <w:sz w:val="22"/>
              </w:rPr>
              <w:t xml:space="preserve">Outpatient cancellations (hospital cancellations) </w:t>
            </w:r>
          </w:p>
        </w:tc>
        <w:tc>
          <w:tcPr>
            <w:tcW w:w="1345" w:type="dxa"/>
            <w:tcBorders>
              <w:top w:val="nil"/>
              <w:left w:val="single" w:sz="4" w:space="0" w:color="auto"/>
              <w:bottom w:val="single" w:sz="4" w:space="0" w:color="auto"/>
              <w:right w:val="single" w:sz="4" w:space="0" w:color="auto"/>
            </w:tcBorders>
            <w:shd w:val="clear" w:color="auto" w:fill="FFFFFF" w:themeFill="background1"/>
            <w:noWrap/>
            <w:vAlign w:val="center"/>
          </w:tcPr>
          <w:p w14:paraId="5A93E464" w14:textId="77777777" w:rsidR="00CA087D" w:rsidRPr="00E727AF" w:rsidRDefault="00CA087D" w:rsidP="00FB6278">
            <w:pPr>
              <w:shd w:val="clear" w:color="auto" w:fill="FFFFFF" w:themeFill="background1"/>
              <w:jc w:val="center"/>
              <w:rPr>
                <w:rFonts w:ascii="Arial" w:hAnsi="Arial"/>
                <w:sz w:val="22"/>
              </w:rPr>
            </w:pPr>
            <w:r w:rsidRPr="00E727AF">
              <w:rPr>
                <w:rFonts w:ascii="Arial" w:hAnsi="Arial"/>
                <w:sz w:val="22"/>
              </w:rPr>
              <w:t>4.6%</w:t>
            </w:r>
          </w:p>
        </w:tc>
        <w:tc>
          <w:tcPr>
            <w:tcW w:w="1134" w:type="dxa"/>
            <w:tcBorders>
              <w:top w:val="nil"/>
              <w:left w:val="single" w:sz="4" w:space="0" w:color="auto"/>
              <w:bottom w:val="single" w:sz="4" w:space="0" w:color="auto"/>
              <w:right w:val="single" w:sz="4" w:space="0" w:color="auto"/>
            </w:tcBorders>
            <w:shd w:val="clear" w:color="auto" w:fill="auto"/>
            <w:vAlign w:val="center"/>
          </w:tcPr>
          <w:p w14:paraId="76ADAA04" w14:textId="77777777" w:rsidR="00CA087D" w:rsidRPr="00E727AF" w:rsidRDefault="00CA087D" w:rsidP="00FB6278">
            <w:pPr>
              <w:shd w:val="clear" w:color="auto" w:fill="FFFFFF" w:themeFill="background1"/>
              <w:jc w:val="center"/>
              <w:rPr>
                <w:rFonts w:ascii="Arial" w:hAnsi="Arial"/>
                <w:sz w:val="22"/>
              </w:rPr>
            </w:pPr>
            <w:r w:rsidRPr="00E727AF">
              <w:rPr>
                <w:rFonts w:ascii="Arial" w:hAnsi="Arial"/>
                <w:sz w:val="22"/>
              </w:rPr>
              <w:t>28.4%</w:t>
            </w:r>
          </w:p>
        </w:tc>
        <w:tc>
          <w:tcPr>
            <w:tcW w:w="1134" w:type="dxa"/>
            <w:tcBorders>
              <w:top w:val="nil"/>
              <w:left w:val="single" w:sz="4" w:space="0" w:color="auto"/>
              <w:bottom w:val="single" w:sz="4" w:space="0" w:color="auto"/>
              <w:right w:val="single" w:sz="4" w:space="0" w:color="auto"/>
            </w:tcBorders>
            <w:vAlign w:val="center"/>
          </w:tcPr>
          <w:p w14:paraId="7F60458C" w14:textId="77777777" w:rsidR="00CA087D" w:rsidRPr="00E727AF" w:rsidRDefault="00CA087D" w:rsidP="00FB6278">
            <w:pPr>
              <w:shd w:val="clear" w:color="auto" w:fill="FFFFFF" w:themeFill="background1"/>
              <w:jc w:val="center"/>
              <w:rPr>
                <w:rFonts w:ascii="Arial" w:hAnsi="Arial"/>
                <w:sz w:val="22"/>
              </w:rPr>
            </w:pPr>
            <w:r w:rsidRPr="00E727AF">
              <w:rPr>
                <w:rFonts w:ascii="Arial" w:hAnsi="Arial"/>
                <w:sz w:val="22"/>
              </w:rPr>
              <w:t>4.0%</w:t>
            </w:r>
          </w:p>
        </w:tc>
      </w:tr>
      <w:tr w:rsidR="00CA087D" w:rsidRPr="00593AFE" w14:paraId="16B3E575" w14:textId="77777777" w:rsidTr="00CD4F89">
        <w:trPr>
          <w:trHeight w:val="85"/>
        </w:trPr>
        <w:tc>
          <w:tcPr>
            <w:tcW w:w="5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B861D" w14:textId="77777777" w:rsidR="00CA087D" w:rsidRPr="00E727AF" w:rsidRDefault="00CA087D" w:rsidP="00FB6278">
            <w:pPr>
              <w:shd w:val="clear" w:color="auto" w:fill="FFFFFF" w:themeFill="background1"/>
              <w:rPr>
                <w:rFonts w:ascii="Arial" w:hAnsi="Arial"/>
                <w:sz w:val="22"/>
              </w:rPr>
            </w:pPr>
            <w:r w:rsidRPr="00E727AF">
              <w:rPr>
                <w:rFonts w:ascii="Arial" w:hAnsi="Arial"/>
                <w:sz w:val="22"/>
              </w:rPr>
              <w:t>Outpatient DNA* rate – first appointment</w:t>
            </w:r>
          </w:p>
        </w:tc>
        <w:tc>
          <w:tcPr>
            <w:tcW w:w="1345" w:type="dxa"/>
            <w:tcBorders>
              <w:top w:val="nil"/>
              <w:left w:val="single" w:sz="4" w:space="0" w:color="auto"/>
              <w:bottom w:val="single" w:sz="4" w:space="0" w:color="auto"/>
              <w:right w:val="single" w:sz="4" w:space="0" w:color="auto"/>
            </w:tcBorders>
            <w:shd w:val="clear" w:color="auto" w:fill="FFFFFF" w:themeFill="background1"/>
            <w:noWrap/>
            <w:vAlign w:val="center"/>
          </w:tcPr>
          <w:p w14:paraId="3934B9F0" w14:textId="77777777" w:rsidR="00CA087D" w:rsidRPr="00E727AF" w:rsidRDefault="00CA087D" w:rsidP="00FB6278">
            <w:pPr>
              <w:shd w:val="clear" w:color="auto" w:fill="FFFFFF" w:themeFill="background1"/>
              <w:jc w:val="center"/>
              <w:rPr>
                <w:rFonts w:ascii="Arial" w:hAnsi="Arial"/>
                <w:sz w:val="22"/>
              </w:rPr>
            </w:pPr>
            <w:r w:rsidRPr="00E727AF">
              <w:rPr>
                <w:rFonts w:ascii="Arial" w:hAnsi="Arial"/>
                <w:sz w:val="22"/>
              </w:rPr>
              <w:t>11.8%</w:t>
            </w:r>
          </w:p>
        </w:tc>
        <w:tc>
          <w:tcPr>
            <w:tcW w:w="1134" w:type="dxa"/>
            <w:tcBorders>
              <w:top w:val="nil"/>
              <w:left w:val="single" w:sz="4" w:space="0" w:color="auto"/>
              <w:bottom w:val="single" w:sz="4" w:space="0" w:color="auto"/>
              <w:right w:val="single" w:sz="4" w:space="0" w:color="auto"/>
            </w:tcBorders>
            <w:shd w:val="clear" w:color="auto" w:fill="auto"/>
            <w:vAlign w:val="center"/>
          </w:tcPr>
          <w:p w14:paraId="36CDF6E4" w14:textId="77777777" w:rsidR="00CA087D" w:rsidRPr="00E727AF" w:rsidRDefault="00CA087D" w:rsidP="00FB6278">
            <w:pPr>
              <w:shd w:val="clear" w:color="auto" w:fill="FFFFFF" w:themeFill="background1"/>
              <w:jc w:val="center"/>
              <w:rPr>
                <w:rFonts w:ascii="Arial" w:hAnsi="Arial"/>
                <w:sz w:val="22"/>
              </w:rPr>
            </w:pPr>
            <w:r w:rsidRPr="00E727AF">
              <w:rPr>
                <w:rFonts w:ascii="Arial" w:hAnsi="Arial"/>
                <w:sz w:val="22"/>
              </w:rPr>
              <w:t>13.3%</w:t>
            </w:r>
          </w:p>
        </w:tc>
        <w:tc>
          <w:tcPr>
            <w:tcW w:w="1134" w:type="dxa"/>
            <w:tcBorders>
              <w:top w:val="nil"/>
              <w:left w:val="single" w:sz="4" w:space="0" w:color="auto"/>
              <w:bottom w:val="single" w:sz="4" w:space="0" w:color="auto"/>
              <w:right w:val="single" w:sz="4" w:space="0" w:color="auto"/>
            </w:tcBorders>
            <w:vAlign w:val="center"/>
          </w:tcPr>
          <w:p w14:paraId="16856657" w14:textId="77777777" w:rsidR="00CA087D" w:rsidRPr="00E727AF" w:rsidRDefault="00CA087D" w:rsidP="00FB6278">
            <w:pPr>
              <w:shd w:val="clear" w:color="auto" w:fill="FFFFFF" w:themeFill="background1"/>
              <w:jc w:val="center"/>
              <w:rPr>
                <w:rFonts w:ascii="Arial" w:hAnsi="Arial"/>
                <w:sz w:val="22"/>
              </w:rPr>
            </w:pPr>
            <w:r w:rsidRPr="00E727AF">
              <w:rPr>
                <w:rFonts w:ascii="Arial" w:hAnsi="Arial"/>
                <w:sz w:val="22"/>
              </w:rPr>
              <w:t>13.3%</w:t>
            </w:r>
          </w:p>
        </w:tc>
      </w:tr>
      <w:tr w:rsidR="00CA087D" w:rsidRPr="00593AFE" w14:paraId="54D46283" w14:textId="77777777" w:rsidTr="00CD4F89">
        <w:trPr>
          <w:trHeight w:val="172"/>
        </w:trPr>
        <w:tc>
          <w:tcPr>
            <w:tcW w:w="5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688C8" w14:textId="77777777" w:rsidR="00CA087D" w:rsidRPr="00E727AF" w:rsidRDefault="00CA087D" w:rsidP="00FB6278">
            <w:pPr>
              <w:shd w:val="clear" w:color="auto" w:fill="FFFFFF" w:themeFill="background1"/>
              <w:rPr>
                <w:rFonts w:ascii="Arial" w:hAnsi="Arial"/>
                <w:sz w:val="22"/>
              </w:rPr>
            </w:pPr>
            <w:r w:rsidRPr="00E727AF">
              <w:rPr>
                <w:rFonts w:ascii="Arial" w:hAnsi="Arial"/>
                <w:sz w:val="22"/>
              </w:rPr>
              <w:t>Outpatient DNA* rate – follow up appointment</w:t>
            </w:r>
          </w:p>
        </w:tc>
        <w:tc>
          <w:tcPr>
            <w:tcW w:w="1345" w:type="dxa"/>
            <w:tcBorders>
              <w:top w:val="nil"/>
              <w:left w:val="single" w:sz="4" w:space="0" w:color="auto"/>
              <w:bottom w:val="single" w:sz="4" w:space="0" w:color="auto"/>
              <w:right w:val="single" w:sz="4" w:space="0" w:color="auto"/>
            </w:tcBorders>
            <w:shd w:val="clear" w:color="auto" w:fill="FFFFFF" w:themeFill="background1"/>
            <w:noWrap/>
            <w:vAlign w:val="center"/>
          </w:tcPr>
          <w:p w14:paraId="746A1ADF" w14:textId="77777777" w:rsidR="00CA087D" w:rsidRPr="00E727AF" w:rsidRDefault="00CA087D" w:rsidP="00FB6278">
            <w:pPr>
              <w:shd w:val="clear" w:color="auto" w:fill="FFFFFF" w:themeFill="background1"/>
              <w:jc w:val="center"/>
              <w:rPr>
                <w:rFonts w:ascii="Arial" w:hAnsi="Arial"/>
                <w:sz w:val="22"/>
              </w:rPr>
            </w:pPr>
            <w:r w:rsidRPr="00E727AF">
              <w:rPr>
                <w:rFonts w:ascii="Arial" w:hAnsi="Arial"/>
                <w:sz w:val="22"/>
              </w:rPr>
              <w:t>10.5%</w:t>
            </w:r>
          </w:p>
        </w:tc>
        <w:tc>
          <w:tcPr>
            <w:tcW w:w="1134" w:type="dxa"/>
            <w:tcBorders>
              <w:top w:val="nil"/>
              <w:left w:val="single" w:sz="4" w:space="0" w:color="auto"/>
              <w:bottom w:val="single" w:sz="4" w:space="0" w:color="auto"/>
              <w:right w:val="single" w:sz="4" w:space="0" w:color="auto"/>
            </w:tcBorders>
            <w:shd w:val="clear" w:color="auto" w:fill="auto"/>
            <w:vAlign w:val="center"/>
          </w:tcPr>
          <w:p w14:paraId="2595E263" w14:textId="77777777" w:rsidR="00CA087D" w:rsidRPr="00E727AF" w:rsidRDefault="00CA087D" w:rsidP="00FB6278">
            <w:pPr>
              <w:shd w:val="clear" w:color="auto" w:fill="FFFFFF" w:themeFill="background1"/>
              <w:jc w:val="center"/>
              <w:rPr>
                <w:rFonts w:ascii="Arial" w:hAnsi="Arial"/>
                <w:sz w:val="22"/>
              </w:rPr>
            </w:pPr>
            <w:r w:rsidRPr="00E727AF">
              <w:rPr>
                <w:rFonts w:ascii="Arial" w:hAnsi="Arial"/>
                <w:sz w:val="22"/>
              </w:rPr>
              <w:t>14.4%</w:t>
            </w:r>
          </w:p>
        </w:tc>
        <w:tc>
          <w:tcPr>
            <w:tcW w:w="1134" w:type="dxa"/>
            <w:tcBorders>
              <w:top w:val="nil"/>
              <w:left w:val="single" w:sz="4" w:space="0" w:color="auto"/>
              <w:bottom w:val="single" w:sz="4" w:space="0" w:color="auto"/>
              <w:right w:val="single" w:sz="4" w:space="0" w:color="auto"/>
            </w:tcBorders>
            <w:vAlign w:val="center"/>
          </w:tcPr>
          <w:p w14:paraId="021AAFBC" w14:textId="77777777" w:rsidR="00CA087D" w:rsidRPr="00E727AF" w:rsidRDefault="00CA087D" w:rsidP="00FB6278">
            <w:pPr>
              <w:shd w:val="clear" w:color="auto" w:fill="FFFFFF" w:themeFill="background1"/>
              <w:jc w:val="center"/>
              <w:rPr>
                <w:rFonts w:ascii="Arial" w:hAnsi="Arial"/>
                <w:sz w:val="22"/>
              </w:rPr>
            </w:pPr>
            <w:r w:rsidRPr="00E727AF">
              <w:rPr>
                <w:rFonts w:ascii="Arial" w:hAnsi="Arial"/>
                <w:sz w:val="22"/>
              </w:rPr>
              <w:t>13.2%</w:t>
            </w:r>
          </w:p>
        </w:tc>
      </w:tr>
    </w:tbl>
    <w:p w14:paraId="72D423AA" w14:textId="77777777" w:rsidR="00CA087D" w:rsidRPr="00E727AF" w:rsidRDefault="00CA087D" w:rsidP="00FB6278">
      <w:pPr>
        <w:shd w:val="clear" w:color="auto" w:fill="FFFFFF" w:themeFill="background1"/>
        <w:ind w:left="-567" w:right="-613"/>
        <w:jc w:val="both"/>
        <w:rPr>
          <w:rFonts w:ascii="Arial" w:hAnsi="Arial"/>
          <w:b/>
          <w:color w:val="FF0000"/>
          <w:sz w:val="22"/>
        </w:rPr>
      </w:pPr>
    </w:p>
    <w:p w14:paraId="7469F9B8" w14:textId="19A27DE1" w:rsidR="00B84C04" w:rsidRPr="00E727AF" w:rsidRDefault="00CA087D" w:rsidP="00FB6278">
      <w:pPr>
        <w:shd w:val="clear" w:color="auto" w:fill="FFFFFF" w:themeFill="background1"/>
        <w:ind w:left="-567" w:right="-613"/>
        <w:jc w:val="both"/>
        <w:rPr>
          <w:rFonts w:ascii="Arial" w:hAnsi="Arial"/>
          <w:sz w:val="22"/>
        </w:rPr>
      </w:pPr>
      <w:r w:rsidRPr="00E727AF">
        <w:rPr>
          <w:rFonts w:ascii="Arial" w:hAnsi="Arial"/>
          <w:sz w:val="22"/>
        </w:rPr>
        <w:t xml:space="preserve">The figures in the table above show that the trust has recovered to near pre-pandemic activity level for Outpatients. The number of first appointments has been approximately 94% of the 2019/20 position previous year while follow-up appointments are at 95%. The outpatient cancellation rate has </w:t>
      </w:r>
      <w:r w:rsidR="00D50908" w:rsidRPr="00E727AF">
        <w:rPr>
          <w:rFonts w:ascii="Arial" w:hAnsi="Arial" w:cs="Arial"/>
          <w:sz w:val="22"/>
          <w:szCs w:val="22"/>
        </w:rPr>
        <w:t>shown</w:t>
      </w:r>
      <w:r w:rsidR="00B84C04">
        <w:rPr>
          <w:rFonts w:ascii="Arial" w:hAnsi="Arial"/>
          <w:sz w:val="22"/>
        </w:rPr>
        <w:t xml:space="preserve"> </w:t>
      </w:r>
      <w:r w:rsidR="00D50908" w:rsidRPr="00E727AF">
        <w:rPr>
          <w:rFonts w:ascii="Arial" w:hAnsi="Arial"/>
          <w:sz w:val="22"/>
        </w:rPr>
        <w:t>a marked improvement from</w:t>
      </w:r>
      <w:r w:rsidRPr="00E727AF">
        <w:rPr>
          <w:rFonts w:ascii="Arial" w:hAnsi="Arial"/>
          <w:sz w:val="22"/>
        </w:rPr>
        <w:t xml:space="preserve"> the 2019/20 position.</w:t>
      </w:r>
    </w:p>
    <w:p w14:paraId="37037FC1" w14:textId="77777777" w:rsidR="00CA087D" w:rsidRPr="00E727AF" w:rsidRDefault="00CA087D" w:rsidP="00FB6278">
      <w:pPr>
        <w:shd w:val="clear" w:color="auto" w:fill="FFFFFF" w:themeFill="background1"/>
        <w:ind w:left="-567" w:right="-613"/>
        <w:jc w:val="both"/>
        <w:rPr>
          <w:rFonts w:ascii="Arial" w:hAnsi="Arial"/>
          <w:b/>
          <w:i/>
          <w:color w:val="FF0000"/>
          <w:sz w:val="22"/>
        </w:rPr>
      </w:pPr>
    </w:p>
    <w:p w14:paraId="1C48D28D" w14:textId="77777777" w:rsidR="00CA087D" w:rsidRPr="00E727AF" w:rsidRDefault="00CA087D" w:rsidP="00FB6278">
      <w:pPr>
        <w:shd w:val="clear" w:color="auto" w:fill="FFFFFF" w:themeFill="background1"/>
        <w:ind w:left="-567" w:right="-613"/>
        <w:jc w:val="both"/>
        <w:rPr>
          <w:rFonts w:ascii="Arial" w:hAnsi="Arial"/>
          <w:b/>
          <w:sz w:val="22"/>
        </w:rPr>
      </w:pPr>
      <w:r w:rsidRPr="00E727AF">
        <w:rPr>
          <w:rFonts w:ascii="Arial" w:hAnsi="Arial"/>
          <w:b/>
          <w:sz w:val="22"/>
        </w:rPr>
        <w:t>Safety</w:t>
      </w:r>
    </w:p>
    <w:p w14:paraId="30C230FB" w14:textId="77777777" w:rsidR="00CA087D" w:rsidRPr="00E727AF" w:rsidRDefault="00CA087D" w:rsidP="00FB6278">
      <w:pPr>
        <w:shd w:val="clear" w:color="auto" w:fill="FFFFFF" w:themeFill="background1"/>
        <w:ind w:left="-567" w:right="-613"/>
        <w:jc w:val="both"/>
        <w:rPr>
          <w:rFonts w:ascii="Arial" w:hAnsi="Arial"/>
          <w:b/>
          <w:i/>
          <w:color w:val="FF0000"/>
          <w:sz w:val="22"/>
        </w:rPr>
      </w:pPr>
    </w:p>
    <w:tbl>
      <w:tblPr>
        <w:tblW w:w="7953" w:type="dxa"/>
        <w:tblInd w:w="93" w:type="dxa"/>
        <w:tblLook w:val="04A0" w:firstRow="1" w:lastRow="0" w:firstColumn="1" w:lastColumn="0" w:noHBand="0" w:noVBand="1"/>
      </w:tblPr>
      <w:tblGrid>
        <w:gridCol w:w="3276"/>
        <w:gridCol w:w="1275"/>
        <w:gridCol w:w="1134"/>
        <w:gridCol w:w="1134"/>
        <w:gridCol w:w="1134"/>
      </w:tblGrid>
      <w:tr w:rsidR="00CA087D" w:rsidRPr="007B7BE1" w14:paraId="0E7F9D6B" w14:textId="77777777" w:rsidTr="00CD4F89">
        <w:trPr>
          <w:trHeight w:val="300"/>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DEB25" w14:textId="77777777" w:rsidR="00CA087D" w:rsidRPr="00E727AF" w:rsidRDefault="00CA087D" w:rsidP="00FB6278">
            <w:pPr>
              <w:shd w:val="clear" w:color="auto" w:fill="FFFFFF" w:themeFill="background1"/>
              <w:rPr>
                <w:rFonts w:ascii="Arial" w:hAnsi="Arial"/>
                <w:b/>
                <w:sz w:val="22"/>
              </w:rPr>
            </w:pPr>
            <w:r w:rsidRPr="00E727AF">
              <w:rPr>
                <w:rFonts w:ascii="Arial" w:hAnsi="Arial"/>
                <w:b/>
                <w:sz w:val="22"/>
              </w:rPr>
              <w:t>Indicator</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092BBBC" w14:textId="77777777" w:rsidR="00CA087D" w:rsidRPr="00E727AF" w:rsidRDefault="00CA087D" w:rsidP="00FB6278">
            <w:pPr>
              <w:shd w:val="clear" w:color="auto" w:fill="FFFFFF" w:themeFill="background1"/>
              <w:jc w:val="center"/>
              <w:rPr>
                <w:rFonts w:ascii="Arial" w:hAnsi="Arial"/>
                <w:b/>
                <w:sz w:val="22"/>
              </w:rPr>
            </w:pPr>
            <w:r w:rsidRPr="00E727AF">
              <w:rPr>
                <w:rFonts w:ascii="Arial" w:hAnsi="Arial"/>
                <w:b/>
                <w:sz w:val="22"/>
              </w:rPr>
              <w:t>Target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91E92" w14:textId="77777777" w:rsidR="00CA087D" w:rsidRPr="00E727AF" w:rsidRDefault="00CA087D" w:rsidP="00FB6278">
            <w:pPr>
              <w:shd w:val="clear" w:color="auto" w:fill="FFFFFF" w:themeFill="background1"/>
              <w:jc w:val="center"/>
              <w:rPr>
                <w:rFonts w:ascii="Arial" w:hAnsi="Arial"/>
                <w:b/>
                <w:sz w:val="22"/>
              </w:rPr>
            </w:pPr>
            <w:r w:rsidRPr="00E727AF">
              <w:rPr>
                <w:rFonts w:ascii="Arial" w:hAnsi="Arial"/>
                <w:b/>
                <w:sz w:val="22"/>
              </w:rPr>
              <w:t>2019/20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56A9DE" w14:textId="77777777" w:rsidR="00CA087D" w:rsidRPr="00E727AF" w:rsidRDefault="00CA087D" w:rsidP="00FB6278">
            <w:pPr>
              <w:shd w:val="clear" w:color="auto" w:fill="FFFFFF" w:themeFill="background1"/>
              <w:jc w:val="center"/>
              <w:rPr>
                <w:rFonts w:ascii="Arial" w:hAnsi="Arial"/>
                <w:b/>
                <w:sz w:val="22"/>
              </w:rPr>
            </w:pPr>
            <w:r w:rsidRPr="00E727AF">
              <w:rPr>
                <w:rFonts w:ascii="Arial" w:hAnsi="Arial"/>
                <w:b/>
                <w:sz w:val="22"/>
              </w:rPr>
              <w:t>2020/21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BF99E4" w14:textId="77777777" w:rsidR="00CA087D" w:rsidRPr="00E727AF" w:rsidRDefault="00CA087D" w:rsidP="00FB6278">
            <w:pPr>
              <w:shd w:val="clear" w:color="auto" w:fill="FFFFFF" w:themeFill="background1"/>
              <w:jc w:val="center"/>
              <w:rPr>
                <w:rFonts w:ascii="Arial" w:hAnsi="Arial"/>
                <w:b/>
                <w:sz w:val="22"/>
              </w:rPr>
            </w:pPr>
            <w:r w:rsidRPr="00E727AF">
              <w:rPr>
                <w:rFonts w:ascii="Arial" w:hAnsi="Arial"/>
                <w:b/>
                <w:sz w:val="22"/>
              </w:rPr>
              <w:t>2021/22</w:t>
            </w:r>
          </w:p>
        </w:tc>
      </w:tr>
      <w:tr w:rsidR="00CA087D" w:rsidRPr="007B7BE1" w14:paraId="43955573" w14:textId="77777777" w:rsidTr="00CD4F89">
        <w:trPr>
          <w:trHeight w:val="103"/>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6C053" w14:textId="77777777" w:rsidR="00CA087D" w:rsidRPr="00E727AF" w:rsidRDefault="00CA087D" w:rsidP="00FB6278">
            <w:pPr>
              <w:shd w:val="clear" w:color="auto" w:fill="FFFFFF" w:themeFill="background1"/>
              <w:rPr>
                <w:rFonts w:ascii="Arial" w:hAnsi="Arial"/>
                <w:sz w:val="22"/>
              </w:rPr>
            </w:pPr>
            <w:r w:rsidRPr="00E727AF">
              <w:rPr>
                <w:rFonts w:ascii="Arial" w:hAnsi="Arial"/>
                <w:sz w:val="22"/>
              </w:rPr>
              <w:t>Number of MRSA cases</w:t>
            </w:r>
          </w:p>
        </w:tc>
        <w:tc>
          <w:tcPr>
            <w:tcW w:w="1275" w:type="dxa"/>
            <w:tcBorders>
              <w:top w:val="nil"/>
              <w:left w:val="nil"/>
              <w:bottom w:val="single" w:sz="4" w:space="0" w:color="auto"/>
              <w:right w:val="single" w:sz="4" w:space="0" w:color="auto"/>
            </w:tcBorders>
            <w:shd w:val="clear" w:color="auto" w:fill="auto"/>
            <w:noWrap/>
            <w:vAlign w:val="center"/>
            <w:hideMark/>
          </w:tcPr>
          <w:p w14:paraId="73CD21AA" w14:textId="77777777" w:rsidR="00CA087D" w:rsidRPr="00E727AF" w:rsidRDefault="00CA087D" w:rsidP="00FB6278">
            <w:pPr>
              <w:shd w:val="clear" w:color="auto" w:fill="FFFFFF" w:themeFill="background1"/>
              <w:jc w:val="center"/>
              <w:rPr>
                <w:rFonts w:ascii="Arial" w:hAnsi="Arial"/>
                <w:sz w:val="22"/>
              </w:rPr>
            </w:pPr>
            <w:r w:rsidRPr="00E727AF">
              <w:rPr>
                <w:rFonts w:ascii="Arial" w:hAnsi="Arial"/>
                <w:sz w:val="22"/>
              </w:rPr>
              <w:t>0</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F917E15" w14:textId="77777777" w:rsidR="00CA087D" w:rsidRPr="00E727AF" w:rsidRDefault="00CA087D" w:rsidP="00FB6278">
            <w:pPr>
              <w:shd w:val="clear" w:color="auto" w:fill="FFFFFF" w:themeFill="background1"/>
              <w:jc w:val="center"/>
              <w:rPr>
                <w:rFonts w:ascii="Arial" w:hAnsi="Arial"/>
                <w:sz w:val="22"/>
              </w:rPr>
            </w:pPr>
            <w:r w:rsidRPr="00E727AF">
              <w:rPr>
                <w:rFonts w:ascii="Arial" w:hAnsi="Arial"/>
                <w:sz w:val="22"/>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B9EA0E8" w14:textId="77777777" w:rsidR="00CA087D" w:rsidRPr="00E727AF" w:rsidRDefault="00CA087D" w:rsidP="00FB6278">
            <w:pPr>
              <w:shd w:val="clear" w:color="auto" w:fill="FFFFFF" w:themeFill="background1"/>
              <w:jc w:val="center"/>
              <w:rPr>
                <w:rFonts w:ascii="Arial" w:hAnsi="Arial"/>
                <w:sz w:val="22"/>
              </w:rPr>
            </w:pPr>
            <w:r w:rsidRPr="00E727AF">
              <w:rPr>
                <w:rFonts w:ascii="Arial" w:hAnsi="Arial"/>
                <w:sz w:val="22"/>
              </w:rPr>
              <w:t>0</w:t>
            </w:r>
          </w:p>
        </w:tc>
        <w:tc>
          <w:tcPr>
            <w:tcW w:w="1134" w:type="dxa"/>
            <w:tcBorders>
              <w:top w:val="nil"/>
              <w:left w:val="single" w:sz="4" w:space="0" w:color="auto"/>
              <w:bottom w:val="single" w:sz="4" w:space="0" w:color="auto"/>
              <w:right w:val="single" w:sz="4" w:space="0" w:color="auto"/>
            </w:tcBorders>
            <w:vAlign w:val="center"/>
          </w:tcPr>
          <w:p w14:paraId="7F8F9D60" w14:textId="77777777" w:rsidR="00CA087D" w:rsidRPr="00E727AF" w:rsidRDefault="00CA087D" w:rsidP="00FB6278">
            <w:pPr>
              <w:shd w:val="clear" w:color="auto" w:fill="FFFFFF" w:themeFill="background1"/>
              <w:jc w:val="center"/>
              <w:rPr>
                <w:rFonts w:ascii="Arial" w:hAnsi="Arial"/>
                <w:sz w:val="22"/>
              </w:rPr>
            </w:pPr>
            <w:r w:rsidRPr="00E727AF">
              <w:rPr>
                <w:rFonts w:ascii="Arial" w:hAnsi="Arial"/>
                <w:sz w:val="22"/>
              </w:rPr>
              <w:t>0</w:t>
            </w:r>
          </w:p>
        </w:tc>
      </w:tr>
      <w:tr w:rsidR="00CA087D" w:rsidRPr="007B7BE1" w14:paraId="59902A33" w14:textId="77777777" w:rsidTr="00CD4F89">
        <w:trPr>
          <w:trHeight w:val="149"/>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BF411" w14:textId="77777777" w:rsidR="00CA087D" w:rsidRPr="00E727AF" w:rsidRDefault="00CA087D" w:rsidP="00FB6278">
            <w:pPr>
              <w:shd w:val="clear" w:color="auto" w:fill="FFFFFF" w:themeFill="background1"/>
              <w:rPr>
                <w:rFonts w:ascii="Arial" w:hAnsi="Arial"/>
                <w:sz w:val="22"/>
              </w:rPr>
            </w:pPr>
            <w:r w:rsidRPr="00E727AF">
              <w:rPr>
                <w:rFonts w:ascii="Arial" w:hAnsi="Arial"/>
                <w:sz w:val="22"/>
              </w:rPr>
              <w:t>Number of Clostridium difficile cases</w:t>
            </w:r>
          </w:p>
        </w:tc>
        <w:tc>
          <w:tcPr>
            <w:tcW w:w="1275" w:type="dxa"/>
            <w:tcBorders>
              <w:top w:val="nil"/>
              <w:left w:val="nil"/>
              <w:bottom w:val="single" w:sz="4" w:space="0" w:color="auto"/>
              <w:right w:val="single" w:sz="4" w:space="0" w:color="auto"/>
            </w:tcBorders>
            <w:shd w:val="clear" w:color="auto" w:fill="auto"/>
            <w:noWrap/>
            <w:vAlign w:val="center"/>
            <w:hideMark/>
          </w:tcPr>
          <w:p w14:paraId="26CF2178" w14:textId="77777777" w:rsidR="00CA087D" w:rsidRPr="00E727AF" w:rsidRDefault="00CA087D" w:rsidP="00FB6278">
            <w:pPr>
              <w:shd w:val="clear" w:color="auto" w:fill="FFFFFF" w:themeFill="background1"/>
              <w:jc w:val="center"/>
              <w:rPr>
                <w:rFonts w:ascii="Arial" w:hAnsi="Arial"/>
                <w:sz w:val="22"/>
              </w:rPr>
            </w:pPr>
            <w:r w:rsidRPr="00E727AF">
              <w:rPr>
                <w:rFonts w:ascii="Arial" w:hAnsi="Arial"/>
                <w:sz w:val="22"/>
              </w:rPr>
              <w:t>0</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343C4A5" w14:textId="77777777" w:rsidR="00CA087D" w:rsidRPr="00E727AF" w:rsidRDefault="00CA087D" w:rsidP="00FB6278">
            <w:pPr>
              <w:shd w:val="clear" w:color="auto" w:fill="FFFFFF" w:themeFill="background1"/>
              <w:jc w:val="center"/>
              <w:rPr>
                <w:rFonts w:ascii="Arial" w:hAnsi="Arial"/>
                <w:sz w:val="22"/>
              </w:rPr>
            </w:pPr>
            <w:r w:rsidRPr="00E727AF">
              <w:rPr>
                <w:rFonts w:ascii="Arial" w:hAnsi="Arial"/>
                <w:sz w:val="22"/>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9DBD5CC" w14:textId="77777777" w:rsidR="00CA087D" w:rsidRPr="00E727AF" w:rsidRDefault="00CA087D" w:rsidP="00FB6278">
            <w:pPr>
              <w:shd w:val="clear" w:color="auto" w:fill="FFFFFF" w:themeFill="background1"/>
              <w:jc w:val="center"/>
              <w:rPr>
                <w:rFonts w:ascii="Arial" w:hAnsi="Arial"/>
                <w:sz w:val="22"/>
              </w:rPr>
            </w:pPr>
            <w:r w:rsidRPr="00E727AF">
              <w:rPr>
                <w:rFonts w:ascii="Arial" w:hAnsi="Arial"/>
                <w:sz w:val="22"/>
              </w:rPr>
              <w:t>0</w:t>
            </w:r>
          </w:p>
        </w:tc>
        <w:tc>
          <w:tcPr>
            <w:tcW w:w="1134" w:type="dxa"/>
            <w:tcBorders>
              <w:top w:val="nil"/>
              <w:left w:val="single" w:sz="4" w:space="0" w:color="auto"/>
              <w:bottom w:val="single" w:sz="4" w:space="0" w:color="auto"/>
              <w:right w:val="single" w:sz="4" w:space="0" w:color="auto"/>
            </w:tcBorders>
            <w:vAlign w:val="center"/>
          </w:tcPr>
          <w:p w14:paraId="51A59D4B" w14:textId="77777777" w:rsidR="00CA087D" w:rsidRPr="00E727AF" w:rsidRDefault="00CA087D" w:rsidP="00FB6278">
            <w:pPr>
              <w:shd w:val="clear" w:color="auto" w:fill="FFFFFF" w:themeFill="background1"/>
              <w:jc w:val="center"/>
              <w:rPr>
                <w:rFonts w:ascii="Arial" w:hAnsi="Arial"/>
                <w:sz w:val="22"/>
              </w:rPr>
            </w:pPr>
            <w:r w:rsidRPr="00E727AF">
              <w:rPr>
                <w:rFonts w:ascii="Arial" w:hAnsi="Arial"/>
                <w:sz w:val="22"/>
              </w:rPr>
              <w:t>0</w:t>
            </w:r>
          </w:p>
        </w:tc>
      </w:tr>
      <w:tr w:rsidR="00CA087D" w:rsidRPr="00561CBE" w14:paraId="20575F3F" w14:textId="77777777" w:rsidTr="00CD4F89">
        <w:trPr>
          <w:trHeight w:val="125"/>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FCC35" w14:textId="77777777" w:rsidR="00CA087D" w:rsidRPr="00E727AF" w:rsidRDefault="00CA087D" w:rsidP="00FB6278">
            <w:pPr>
              <w:shd w:val="clear" w:color="auto" w:fill="FFFFFF" w:themeFill="background1"/>
              <w:rPr>
                <w:rFonts w:ascii="Arial" w:hAnsi="Arial"/>
                <w:sz w:val="22"/>
              </w:rPr>
            </w:pPr>
            <w:r w:rsidRPr="00E727AF">
              <w:rPr>
                <w:rFonts w:ascii="Arial" w:hAnsi="Arial"/>
                <w:sz w:val="22"/>
              </w:rPr>
              <w:t>Venous thromboembolism (VTE) screening</w:t>
            </w:r>
          </w:p>
        </w:tc>
        <w:tc>
          <w:tcPr>
            <w:tcW w:w="1275" w:type="dxa"/>
            <w:tcBorders>
              <w:top w:val="nil"/>
              <w:left w:val="nil"/>
              <w:bottom w:val="single" w:sz="4" w:space="0" w:color="auto"/>
              <w:right w:val="single" w:sz="4" w:space="0" w:color="auto"/>
            </w:tcBorders>
            <w:shd w:val="clear" w:color="auto" w:fill="auto"/>
            <w:noWrap/>
            <w:vAlign w:val="center"/>
            <w:hideMark/>
          </w:tcPr>
          <w:p w14:paraId="1539D364" w14:textId="77777777" w:rsidR="00CA087D" w:rsidRPr="00E727AF" w:rsidRDefault="00CA087D" w:rsidP="00FB6278">
            <w:pPr>
              <w:shd w:val="clear" w:color="auto" w:fill="FFFFFF" w:themeFill="background1"/>
              <w:jc w:val="center"/>
              <w:rPr>
                <w:rFonts w:ascii="Arial" w:hAnsi="Arial"/>
                <w:sz w:val="22"/>
              </w:rPr>
            </w:pPr>
            <w:r w:rsidRPr="00E727AF">
              <w:rPr>
                <w:rFonts w:ascii="Arial" w:hAnsi="Arial"/>
                <w:sz w:val="22"/>
              </w:rPr>
              <w:t>≥ 95%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66F5767" w14:textId="77777777" w:rsidR="00CA087D" w:rsidRPr="00E727AF" w:rsidRDefault="00CA087D" w:rsidP="00FB6278">
            <w:pPr>
              <w:shd w:val="clear" w:color="auto" w:fill="FFFFFF" w:themeFill="background1"/>
              <w:jc w:val="center"/>
              <w:rPr>
                <w:rFonts w:ascii="Arial" w:hAnsi="Arial"/>
                <w:sz w:val="22"/>
              </w:rPr>
            </w:pPr>
            <w:r w:rsidRPr="00E727AF">
              <w:rPr>
                <w:rFonts w:ascii="Arial" w:hAnsi="Arial"/>
                <w:sz w:val="22"/>
              </w:rPr>
              <w:t>98.5%</w:t>
            </w:r>
          </w:p>
        </w:tc>
        <w:tc>
          <w:tcPr>
            <w:tcW w:w="1134" w:type="dxa"/>
            <w:tcBorders>
              <w:top w:val="nil"/>
              <w:left w:val="single" w:sz="4" w:space="0" w:color="auto"/>
              <w:bottom w:val="single" w:sz="4" w:space="0" w:color="auto"/>
              <w:right w:val="single" w:sz="4" w:space="0" w:color="auto"/>
            </w:tcBorders>
            <w:shd w:val="clear" w:color="auto" w:fill="auto"/>
            <w:vAlign w:val="center"/>
          </w:tcPr>
          <w:p w14:paraId="5878ED79" w14:textId="77777777" w:rsidR="00CA087D" w:rsidRPr="00E727AF" w:rsidRDefault="00CA087D" w:rsidP="00FB6278">
            <w:pPr>
              <w:shd w:val="clear" w:color="auto" w:fill="FFFFFF" w:themeFill="background1"/>
              <w:jc w:val="center"/>
              <w:rPr>
                <w:rFonts w:ascii="Arial" w:hAnsi="Arial"/>
                <w:sz w:val="22"/>
              </w:rPr>
            </w:pPr>
            <w:r w:rsidRPr="00E727AF">
              <w:rPr>
                <w:rFonts w:ascii="Arial" w:hAnsi="Arial"/>
                <w:sz w:val="22"/>
              </w:rPr>
              <w:t>97.5%</w:t>
            </w:r>
          </w:p>
        </w:tc>
        <w:tc>
          <w:tcPr>
            <w:tcW w:w="1134" w:type="dxa"/>
            <w:tcBorders>
              <w:top w:val="nil"/>
              <w:left w:val="single" w:sz="4" w:space="0" w:color="auto"/>
              <w:bottom w:val="single" w:sz="4" w:space="0" w:color="auto"/>
              <w:right w:val="single" w:sz="4" w:space="0" w:color="auto"/>
            </w:tcBorders>
            <w:vAlign w:val="center"/>
          </w:tcPr>
          <w:p w14:paraId="323B19BE" w14:textId="77777777" w:rsidR="00CA087D" w:rsidRPr="00E727AF" w:rsidRDefault="00CA087D" w:rsidP="00FB6278">
            <w:pPr>
              <w:shd w:val="clear" w:color="auto" w:fill="FFFFFF" w:themeFill="background1"/>
              <w:jc w:val="center"/>
              <w:rPr>
                <w:rFonts w:ascii="Arial" w:hAnsi="Arial"/>
                <w:sz w:val="22"/>
              </w:rPr>
            </w:pPr>
            <w:r w:rsidRPr="00E727AF">
              <w:rPr>
                <w:rFonts w:ascii="Arial" w:hAnsi="Arial"/>
                <w:sz w:val="22"/>
              </w:rPr>
              <w:t>99.4%</w:t>
            </w:r>
          </w:p>
        </w:tc>
      </w:tr>
      <w:tr w:rsidR="00CA087D" w:rsidRPr="00561CBE" w14:paraId="203E6B11" w14:textId="77777777" w:rsidTr="00CD4F89">
        <w:trPr>
          <w:trHeight w:val="128"/>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DC9D4" w14:textId="77777777" w:rsidR="00CA087D" w:rsidRPr="00E727AF" w:rsidRDefault="00CA087D" w:rsidP="00FB6278">
            <w:pPr>
              <w:shd w:val="clear" w:color="auto" w:fill="FFFFFF" w:themeFill="background1"/>
              <w:rPr>
                <w:rFonts w:ascii="Arial" w:hAnsi="Arial"/>
                <w:sz w:val="22"/>
              </w:rPr>
            </w:pPr>
            <w:r w:rsidRPr="00E727AF">
              <w:rPr>
                <w:rFonts w:ascii="Arial" w:hAnsi="Arial"/>
                <w:sz w:val="22"/>
              </w:rPr>
              <w:t>Mixed sex accommodation</w:t>
            </w:r>
          </w:p>
        </w:tc>
        <w:tc>
          <w:tcPr>
            <w:tcW w:w="1275" w:type="dxa"/>
            <w:tcBorders>
              <w:top w:val="nil"/>
              <w:left w:val="nil"/>
              <w:bottom w:val="single" w:sz="4" w:space="0" w:color="auto"/>
              <w:right w:val="single" w:sz="4" w:space="0" w:color="auto"/>
            </w:tcBorders>
            <w:shd w:val="clear" w:color="auto" w:fill="auto"/>
            <w:noWrap/>
            <w:vAlign w:val="center"/>
            <w:hideMark/>
          </w:tcPr>
          <w:p w14:paraId="0764B0F9" w14:textId="77777777" w:rsidR="00CA087D" w:rsidRPr="00E727AF" w:rsidRDefault="00CA087D" w:rsidP="00FB6278">
            <w:pPr>
              <w:shd w:val="clear" w:color="auto" w:fill="FFFFFF" w:themeFill="background1"/>
              <w:jc w:val="center"/>
              <w:rPr>
                <w:rFonts w:ascii="Arial" w:hAnsi="Arial"/>
                <w:sz w:val="22"/>
              </w:rPr>
            </w:pPr>
            <w:r w:rsidRPr="00E727AF">
              <w:rPr>
                <w:rFonts w:ascii="Arial" w:hAnsi="Arial"/>
                <w:sz w:val="22"/>
              </w:rPr>
              <w:t>0</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CE5E399" w14:textId="77777777" w:rsidR="00CA087D" w:rsidRPr="00E727AF" w:rsidRDefault="00CA087D" w:rsidP="00FB6278">
            <w:pPr>
              <w:shd w:val="clear" w:color="auto" w:fill="FFFFFF" w:themeFill="background1"/>
              <w:jc w:val="center"/>
              <w:rPr>
                <w:rFonts w:ascii="Arial" w:hAnsi="Arial"/>
                <w:sz w:val="22"/>
              </w:rPr>
            </w:pPr>
            <w:r w:rsidRPr="00E727AF">
              <w:rPr>
                <w:rFonts w:ascii="Arial" w:hAnsi="Arial"/>
                <w:sz w:val="22"/>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A5945B0" w14:textId="77777777" w:rsidR="00CA087D" w:rsidRPr="00E727AF" w:rsidRDefault="00CA087D" w:rsidP="00FB6278">
            <w:pPr>
              <w:shd w:val="clear" w:color="auto" w:fill="FFFFFF" w:themeFill="background1"/>
              <w:jc w:val="center"/>
              <w:rPr>
                <w:rFonts w:ascii="Arial" w:hAnsi="Arial"/>
                <w:sz w:val="22"/>
              </w:rPr>
            </w:pPr>
            <w:r w:rsidRPr="00E727AF">
              <w:rPr>
                <w:rFonts w:ascii="Arial" w:hAnsi="Arial"/>
                <w:sz w:val="22"/>
              </w:rPr>
              <w:t>0</w:t>
            </w:r>
          </w:p>
        </w:tc>
        <w:tc>
          <w:tcPr>
            <w:tcW w:w="1134" w:type="dxa"/>
            <w:tcBorders>
              <w:top w:val="nil"/>
              <w:left w:val="single" w:sz="4" w:space="0" w:color="auto"/>
              <w:bottom w:val="single" w:sz="4" w:space="0" w:color="auto"/>
              <w:right w:val="single" w:sz="4" w:space="0" w:color="auto"/>
            </w:tcBorders>
            <w:vAlign w:val="center"/>
          </w:tcPr>
          <w:p w14:paraId="2DD35A5D" w14:textId="77777777" w:rsidR="00CA087D" w:rsidRPr="00E727AF" w:rsidRDefault="00CA087D" w:rsidP="00FB6278">
            <w:pPr>
              <w:shd w:val="clear" w:color="auto" w:fill="FFFFFF" w:themeFill="background1"/>
              <w:jc w:val="center"/>
              <w:rPr>
                <w:rFonts w:ascii="Arial" w:hAnsi="Arial"/>
                <w:sz w:val="22"/>
              </w:rPr>
            </w:pPr>
            <w:r w:rsidRPr="00E727AF">
              <w:rPr>
                <w:rFonts w:ascii="Arial" w:hAnsi="Arial"/>
                <w:sz w:val="22"/>
              </w:rPr>
              <w:t>0</w:t>
            </w:r>
          </w:p>
        </w:tc>
      </w:tr>
    </w:tbl>
    <w:p w14:paraId="159E3761" w14:textId="77777777" w:rsidR="00CA087D" w:rsidRPr="00E727AF" w:rsidRDefault="00CA087D" w:rsidP="00FB6278">
      <w:pPr>
        <w:shd w:val="clear" w:color="auto" w:fill="FFFFFF" w:themeFill="background1"/>
        <w:ind w:right="-613"/>
        <w:jc w:val="both"/>
        <w:rPr>
          <w:rFonts w:ascii="Arial" w:hAnsi="Arial"/>
          <w:b/>
          <w:i/>
          <w:color w:val="FF0000"/>
          <w:sz w:val="22"/>
        </w:rPr>
      </w:pPr>
    </w:p>
    <w:p w14:paraId="71BF53A9" w14:textId="77777777" w:rsidR="00CA087D" w:rsidRPr="00E727AF" w:rsidRDefault="00CA087D" w:rsidP="00FB6278">
      <w:pPr>
        <w:shd w:val="clear" w:color="auto" w:fill="FFFFFF" w:themeFill="background1"/>
        <w:ind w:left="-567" w:right="-613"/>
        <w:rPr>
          <w:rFonts w:ascii="Arial" w:hAnsi="Arial"/>
          <w:sz w:val="22"/>
        </w:rPr>
      </w:pPr>
      <w:r w:rsidRPr="00E727AF">
        <w:rPr>
          <w:rFonts w:ascii="Arial" w:hAnsi="Arial"/>
          <w:sz w:val="22"/>
        </w:rPr>
        <w:t xml:space="preserve">Performance within the safety arena has been strong with all key targets met. </w:t>
      </w:r>
    </w:p>
    <w:p w14:paraId="53F968EA" w14:textId="77777777" w:rsidR="00CA087D" w:rsidRPr="00E727AF" w:rsidRDefault="00CA087D" w:rsidP="00FB6278">
      <w:pPr>
        <w:shd w:val="clear" w:color="auto" w:fill="FFFFFF" w:themeFill="background1"/>
        <w:ind w:left="-567" w:right="-613"/>
        <w:jc w:val="both"/>
        <w:rPr>
          <w:rFonts w:ascii="Arial" w:hAnsi="Arial"/>
          <w:b/>
          <w:color w:val="FF0000"/>
          <w:sz w:val="22"/>
        </w:rPr>
      </w:pPr>
    </w:p>
    <w:p w14:paraId="223AAFDA" w14:textId="77777777" w:rsidR="00CA087D" w:rsidRPr="00E727AF" w:rsidRDefault="00CA087D" w:rsidP="00FB6278">
      <w:pPr>
        <w:shd w:val="clear" w:color="auto" w:fill="FFFFFF" w:themeFill="background1"/>
        <w:ind w:left="-567" w:right="-613"/>
        <w:rPr>
          <w:rFonts w:ascii="Arial" w:hAnsi="Arial"/>
          <w:b/>
          <w:color w:val="000000" w:themeColor="text1"/>
          <w:sz w:val="22"/>
        </w:rPr>
      </w:pPr>
      <w:r w:rsidRPr="00E727AF">
        <w:rPr>
          <w:rFonts w:ascii="Arial" w:hAnsi="Arial"/>
          <w:b/>
          <w:color w:val="000000" w:themeColor="text1"/>
          <w:sz w:val="22"/>
        </w:rPr>
        <w:t>Service delivery measures</w:t>
      </w:r>
    </w:p>
    <w:p w14:paraId="407905AD" w14:textId="77777777" w:rsidR="00CA087D" w:rsidRPr="00E727AF" w:rsidRDefault="00CA087D" w:rsidP="00FB6278">
      <w:pPr>
        <w:shd w:val="clear" w:color="auto" w:fill="FFFFFF" w:themeFill="background1"/>
        <w:ind w:left="-567" w:right="-613"/>
        <w:jc w:val="both"/>
        <w:rPr>
          <w:rFonts w:ascii="Arial" w:hAnsi="Arial"/>
          <w:b/>
          <w:i/>
          <w:color w:val="000000" w:themeColor="text1"/>
          <w:sz w:val="22"/>
        </w:rPr>
      </w:pPr>
    </w:p>
    <w:p w14:paraId="7DDBA29F" w14:textId="126EB135" w:rsidR="00CA087D" w:rsidRPr="00E727AF" w:rsidRDefault="00CA087D" w:rsidP="00FB6278">
      <w:pPr>
        <w:shd w:val="clear" w:color="auto" w:fill="FFFFFF" w:themeFill="background1"/>
        <w:ind w:left="-567" w:right="-613"/>
        <w:jc w:val="both"/>
        <w:rPr>
          <w:rFonts w:ascii="Arial" w:hAnsi="Arial"/>
          <w:color w:val="000000" w:themeColor="text1"/>
          <w:sz w:val="22"/>
        </w:rPr>
      </w:pPr>
      <w:r w:rsidRPr="00E727AF">
        <w:rPr>
          <w:rFonts w:ascii="Arial" w:hAnsi="Arial"/>
          <w:color w:val="000000" w:themeColor="text1"/>
          <w:sz w:val="22"/>
        </w:rPr>
        <w:t>Ward staffing levels are calculated for those wards with inpatient beds which</w:t>
      </w:r>
      <w:r w:rsidR="000B4D9E" w:rsidRPr="00E727AF">
        <w:rPr>
          <w:rFonts w:ascii="Arial" w:hAnsi="Arial"/>
          <w:color w:val="000000" w:themeColor="text1"/>
          <w:sz w:val="22"/>
        </w:rPr>
        <w:t>,</w:t>
      </w:r>
      <w:r w:rsidRPr="00E727AF">
        <w:rPr>
          <w:rFonts w:ascii="Arial" w:hAnsi="Arial"/>
          <w:color w:val="000000" w:themeColor="text1"/>
          <w:sz w:val="22"/>
        </w:rPr>
        <w:t xml:space="preserve"> for </w:t>
      </w:r>
      <w:r w:rsidRPr="00E727AF">
        <w:rPr>
          <w:rFonts w:ascii="Arial" w:hAnsi="Arial" w:cs="Arial"/>
          <w:color w:val="000000" w:themeColor="text1"/>
          <w:sz w:val="22"/>
          <w:szCs w:val="22"/>
        </w:rPr>
        <w:t>Moorfields</w:t>
      </w:r>
      <w:r w:rsidR="000B4D9E" w:rsidRPr="00E727AF">
        <w:rPr>
          <w:rFonts w:ascii="Arial" w:hAnsi="Arial"/>
          <w:color w:val="000000" w:themeColor="text1"/>
          <w:sz w:val="22"/>
        </w:rPr>
        <w:t>,</w:t>
      </w:r>
      <w:r w:rsidRPr="00E727AF">
        <w:rPr>
          <w:rFonts w:ascii="Arial" w:hAnsi="Arial"/>
          <w:color w:val="000000" w:themeColor="text1"/>
          <w:sz w:val="22"/>
        </w:rPr>
        <w:t xml:space="preserve"> include</w:t>
      </w:r>
      <w:r w:rsidR="000B4D9E" w:rsidRPr="00E727AF">
        <w:rPr>
          <w:rFonts w:ascii="Arial" w:hAnsi="Arial"/>
          <w:color w:val="000000" w:themeColor="text1"/>
          <w:sz w:val="22"/>
        </w:rPr>
        <w:t>s</w:t>
      </w:r>
      <w:r w:rsidRPr="00E727AF">
        <w:rPr>
          <w:rFonts w:ascii="Arial" w:hAnsi="Arial"/>
          <w:color w:val="000000" w:themeColor="text1"/>
          <w:sz w:val="22"/>
        </w:rPr>
        <w:t xml:space="preserve"> the </w:t>
      </w:r>
      <w:r w:rsidR="000B4D9E" w:rsidRPr="00E727AF">
        <w:rPr>
          <w:rFonts w:ascii="Arial" w:hAnsi="Arial" w:cs="Arial"/>
          <w:color w:val="000000" w:themeColor="text1"/>
          <w:sz w:val="22"/>
          <w:szCs w:val="22"/>
        </w:rPr>
        <w:t>o</w:t>
      </w:r>
      <w:r w:rsidRPr="00E727AF">
        <w:rPr>
          <w:rFonts w:ascii="Arial" w:hAnsi="Arial" w:cs="Arial"/>
          <w:color w:val="000000" w:themeColor="text1"/>
          <w:sz w:val="22"/>
          <w:szCs w:val="22"/>
        </w:rPr>
        <w:t>bservation</w:t>
      </w:r>
      <w:r w:rsidRPr="00E727AF">
        <w:rPr>
          <w:rFonts w:ascii="Arial" w:hAnsi="Arial"/>
          <w:color w:val="000000" w:themeColor="text1"/>
          <w:sz w:val="22"/>
        </w:rPr>
        <w:t xml:space="preserve"> unit and Francis </w:t>
      </w:r>
      <w:proofErr w:type="spellStart"/>
      <w:r w:rsidRPr="00E727AF">
        <w:rPr>
          <w:rFonts w:ascii="Arial" w:hAnsi="Arial"/>
          <w:color w:val="000000" w:themeColor="text1"/>
          <w:sz w:val="22"/>
        </w:rPr>
        <w:t>Cumberlege</w:t>
      </w:r>
      <w:proofErr w:type="spellEnd"/>
      <w:r w:rsidRPr="00E727AF">
        <w:rPr>
          <w:rFonts w:ascii="Arial" w:hAnsi="Arial"/>
          <w:color w:val="000000" w:themeColor="text1"/>
          <w:sz w:val="22"/>
        </w:rPr>
        <w:t xml:space="preserve"> wing at City Road and Duke Elder </w:t>
      </w:r>
      <w:r w:rsidR="000B4D9E" w:rsidRPr="00E727AF">
        <w:rPr>
          <w:rFonts w:ascii="Arial" w:hAnsi="Arial" w:cs="Arial"/>
          <w:color w:val="000000" w:themeColor="text1"/>
          <w:sz w:val="22"/>
          <w:szCs w:val="22"/>
        </w:rPr>
        <w:t>w</w:t>
      </w:r>
      <w:r w:rsidRPr="00E727AF">
        <w:rPr>
          <w:rFonts w:ascii="Arial" w:hAnsi="Arial" w:cs="Arial"/>
          <w:color w:val="000000" w:themeColor="text1"/>
          <w:sz w:val="22"/>
          <w:szCs w:val="22"/>
        </w:rPr>
        <w:t>ard</w:t>
      </w:r>
      <w:r w:rsidRPr="00E727AF">
        <w:rPr>
          <w:rFonts w:ascii="Arial" w:hAnsi="Arial"/>
          <w:color w:val="000000" w:themeColor="text1"/>
          <w:sz w:val="22"/>
        </w:rPr>
        <w:t xml:space="preserve"> at St George’s Hospital. The data included reflects the national methodology</w:t>
      </w:r>
      <w:r w:rsidR="000B4D9E" w:rsidRPr="00E727AF">
        <w:rPr>
          <w:rFonts w:ascii="Arial" w:hAnsi="Arial"/>
          <w:color w:val="000000" w:themeColor="text1"/>
          <w:sz w:val="22"/>
        </w:rPr>
        <w:t>,</w:t>
      </w:r>
      <w:r w:rsidRPr="00E727AF">
        <w:rPr>
          <w:rFonts w:ascii="Arial" w:hAnsi="Arial"/>
          <w:color w:val="000000" w:themeColor="text1"/>
          <w:sz w:val="22"/>
        </w:rPr>
        <w:t xml:space="preserve"> which requires trusts to publish fill rates for both registered nursing staff and care staff separated into day and night periods. This data is shown in the table below.</w:t>
      </w:r>
    </w:p>
    <w:p w14:paraId="6DFAB9BA" w14:textId="77777777" w:rsidR="00CA087D" w:rsidRPr="00E727AF" w:rsidRDefault="00CA087D" w:rsidP="00FB6278">
      <w:pPr>
        <w:shd w:val="clear" w:color="auto" w:fill="FFFFFF" w:themeFill="background1"/>
        <w:ind w:left="-567" w:right="-613"/>
        <w:jc w:val="both"/>
        <w:rPr>
          <w:rFonts w:ascii="Arial" w:hAnsi="Arial"/>
          <w:b/>
          <w:color w:val="FF0000"/>
          <w:sz w:val="22"/>
        </w:rPr>
      </w:pPr>
    </w:p>
    <w:tbl>
      <w:tblPr>
        <w:tblpPr w:leftFromText="180" w:rightFromText="180" w:vertAnchor="text" w:horzAnchor="margin" w:tblpXSpec="center" w:tblpY="100"/>
        <w:tblW w:w="5521" w:type="dxa"/>
        <w:tblLook w:val="04A0" w:firstRow="1" w:lastRow="0" w:firstColumn="1" w:lastColumn="0" w:noHBand="0" w:noVBand="1"/>
      </w:tblPr>
      <w:tblGrid>
        <w:gridCol w:w="3501"/>
        <w:gridCol w:w="2020"/>
      </w:tblGrid>
      <w:tr w:rsidR="00CA087D" w:rsidRPr="0005354D" w14:paraId="5060A921" w14:textId="77777777" w:rsidTr="00CD4F89">
        <w:trPr>
          <w:trHeight w:val="300"/>
        </w:trPr>
        <w:tc>
          <w:tcPr>
            <w:tcW w:w="35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3FA19" w14:textId="77777777" w:rsidR="00CA087D" w:rsidRPr="00E727AF" w:rsidRDefault="00CA087D" w:rsidP="00FB6278">
            <w:pPr>
              <w:shd w:val="clear" w:color="auto" w:fill="FFFFFF" w:themeFill="background1"/>
              <w:rPr>
                <w:rFonts w:ascii="Arial" w:hAnsi="Arial"/>
                <w:b/>
                <w:color w:val="000000" w:themeColor="text1"/>
                <w:sz w:val="22"/>
              </w:rPr>
            </w:pPr>
            <w:r w:rsidRPr="00E727AF">
              <w:rPr>
                <w:rFonts w:ascii="Arial" w:hAnsi="Arial"/>
                <w:b/>
                <w:color w:val="000000" w:themeColor="text1"/>
                <w:sz w:val="22"/>
              </w:rPr>
              <w:t xml:space="preserve">Designation </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018E6FB8" w14:textId="441F1A67" w:rsidR="00CA087D" w:rsidRPr="00E727AF" w:rsidRDefault="00CA087D" w:rsidP="00FB6278">
            <w:pPr>
              <w:shd w:val="clear" w:color="auto" w:fill="FFFFFF" w:themeFill="background1"/>
              <w:jc w:val="center"/>
              <w:rPr>
                <w:rFonts w:ascii="Arial" w:hAnsi="Arial"/>
                <w:b/>
                <w:color w:val="000000" w:themeColor="text1"/>
                <w:sz w:val="22"/>
              </w:rPr>
            </w:pPr>
            <w:r w:rsidRPr="00E727AF">
              <w:rPr>
                <w:rFonts w:ascii="Arial" w:hAnsi="Arial"/>
                <w:b/>
                <w:color w:val="000000" w:themeColor="text1"/>
                <w:sz w:val="22"/>
              </w:rPr>
              <w:t>Percentage fill rate 20</w:t>
            </w:r>
            <w:r w:rsidR="005B29DE">
              <w:rPr>
                <w:rFonts w:ascii="Arial" w:hAnsi="Arial"/>
                <w:b/>
                <w:color w:val="000000" w:themeColor="text1"/>
                <w:sz w:val="22"/>
              </w:rPr>
              <w:t>20</w:t>
            </w:r>
            <w:r w:rsidRPr="00E727AF">
              <w:rPr>
                <w:rFonts w:ascii="Arial" w:hAnsi="Arial"/>
                <w:b/>
                <w:color w:val="000000" w:themeColor="text1"/>
                <w:sz w:val="22"/>
              </w:rPr>
              <w:t>/2</w:t>
            </w:r>
            <w:r w:rsidR="005B29DE">
              <w:rPr>
                <w:rFonts w:ascii="Arial" w:hAnsi="Arial"/>
                <w:b/>
                <w:color w:val="000000" w:themeColor="text1"/>
                <w:sz w:val="22"/>
              </w:rPr>
              <w:t>1</w:t>
            </w:r>
            <w:r w:rsidRPr="00E727AF">
              <w:rPr>
                <w:rFonts w:ascii="Arial" w:hAnsi="Arial"/>
                <w:b/>
                <w:color w:val="000000" w:themeColor="text1"/>
                <w:sz w:val="22"/>
              </w:rPr>
              <w:t xml:space="preserve"> </w:t>
            </w:r>
          </w:p>
        </w:tc>
      </w:tr>
      <w:tr w:rsidR="00CA087D" w:rsidRPr="0005354D" w14:paraId="500C3133" w14:textId="77777777" w:rsidTr="005C232A">
        <w:trPr>
          <w:trHeight w:val="96"/>
        </w:trPr>
        <w:tc>
          <w:tcPr>
            <w:tcW w:w="3501" w:type="dxa"/>
            <w:tcBorders>
              <w:top w:val="nil"/>
              <w:left w:val="single" w:sz="4" w:space="0" w:color="auto"/>
              <w:bottom w:val="single" w:sz="4" w:space="0" w:color="auto"/>
              <w:right w:val="single" w:sz="4" w:space="0" w:color="auto"/>
            </w:tcBorders>
            <w:shd w:val="clear" w:color="auto" w:fill="auto"/>
            <w:noWrap/>
            <w:vAlign w:val="bottom"/>
            <w:hideMark/>
          </w:tcPr>
          <w:p w14:paraId="2745352D" w14:textId="77777777" w:rsidR="00CA087D" w:rsidRPr="00E727AF" w:rsidRDefault="00CA087D" w:rsidP="00FB6278">
            <w:pPr>
              <w:shd w:val="clear" w:color="auto" w:fill="FFFFFF" w:themeFill="background1"/>
              <w:rPr>
                <w:rFonts w:ascii="Arial" w:hAnsi="Arial"/>
                <w:color w:val="000000" w:themeColor="text1"/>
                <w:sz w:val="22"/>
              </w:rPr>
            </w:pPr>
            <w:r w:rsidRPr="00E727AF">
              <w:rPr>
                <w:rFonts w:ascii="Arial" w:hAnsi="Arial"/>
                <w:color w:val="000000" w:themeColor="text1"/>
                <w:sz w:val="22"/>
              </w:rPr>
              <w:t>Registered nurses – day</w:t>
            </w:r>
          </w:p>
        </w:tc>
        <w:tc>
          <w:tcPr>
            <w:tcW w:w="2020" w:type="dxa"/>
            <w:tcBorders>
              <w:top w:val="nil"/>
              <w:left w:val="nil"/>
              <w:bottom w:val="single" w:sz="4" w:space="0" w:color="auto"/>
              <w:right w:val="single" w:sz="4" w:space="0" w:color="auto"/>
            </w:tcBorders>
            <w:shd w:val="clear" w:color="auto" w:fill="auto"/>
            <w:noWrap/>
            <w:vAlign w:val="center"/>
          </w:tcPr>
          <w:p w14:paraId="2515CAA7" w14:textId="77777777" w:rsidR="00CA087D" w:rsidRPr="00E727AF" w:rsidRDefault="00CA087D" w:rsidP="00FB6278">
            <w:pPr>
              <w:shd w:val="clear" w:color="auto" w:fill="FFFFFF" w:themeFill="background1"/>
              <w:jc w:val="center"/>
              <w:rPr>
                <w:rFonts w:ascii="Arial" w:hAnsi="Arial"/>
                <w:color w:val="000000" w:themeColor="text1"/>
                <w:sz w:val="22"/>
              </w:rPr>
            </w:pPr>
            <w:r w:rsidRPr="00E727AF">
              <w:rPr>
                <w:rFonts w:ascii="Arial" w:hAnsi="Arial"/>
                <w:color w:val="000000" w:themeColor="text1"/>
              </w:rPr>
              <w:t>98%</w:t>
            </w:r>
          </w:p>
        </w:tc>
      </w:tr>
      <w:tr w:rsidR="00CA087D" w:rsidRPr="0005354D" w14:paraId="69A9B973" w14:textId="77777777" w:rsidTr="005C232A">
        <w:trPr>
          <w:trHeight w:val="129"/>
        </w:trPr>
        <w:tc>
          <w:tcPr>
            <w:tcW w:w="3501" w:type="dxa"/>
            <w:tcBorders>
              <w:top w:val="nil"/>
              <w:left w:val="single" w:sz="4" w:space="0" w:color="auto"/>
              <w:bottom w:val="single" w:sz="4" w:space="0" w:color="auto"/>
              <w:right w:val="single" w:sz="4" w:space="0" w:color="auto"/>
            </w:tcBorders>
            <w:shd w:val="clear" w:color="auto" w:fill="auto"/>
            <w:noWrap/>
            <w:vAlign w:val="bottom"/>
            <w:hideMark/>
          </w:tcPr>
          <w:p w14:paraId="7EC844C5" w14:textId="77777777" w:rsidR="00CA087D" w:rsidRPr="00E727AF" w:rsidRDefault="00CA087D" w:rsidP="00FB6278">
            <w:pPr>
              <w:shd w:val="clear" w:color="auto" w:fill="FFFFFF" w:themeFill="background1"/>
              <w:rPr>
                <w:rFonts w:ascii="Arial" w:hAnsi="Arial"/>
                <w:color w:val="000000" w:themeColor="text1"/>
                <w:sz w:val="22"/>
              </w:rPr>
            </w:pPr>
            <w:r w:rsidRPr="00E727AF">
              <w:rPr>
                <w:rFonts w:ascii="Arial" w:hAnsi="Arial"/>
                <w:color w:val="000000" w:themeColor="text1"/>
                <w:sz w:val="22"/>
              </w:rPr>
              <w:t>Registered nurses – night</w:t>
            </w:r>
          </w:p>
        </w:tc>
        <w:tc>
          <w:tcPr>
            <w:tcW w:w="2020" w:type="dxa"/>
            <w:tcBorders>
              <w:top w:val="nil"/>
              <w:left w:val="nil"/>
              <w:bottom w:val="single" w:sz="4" w:space="0" w:color="auto"/>
              <w:right w:val="single" w:sz="4" w:space="0" w:color="auto"/>
            </w:tcBorders>
            <w:shd w:val="clear" w:color="auto" w:fill="auto"/>
            <w:noWrap/>
            <w:vAlign w:val="center"/>
          </w:tcPr>
          <w:p w14:paraId="64033233" w14:textId="77777777" w:rsidR="00CA087D" w:rsidRPr="00E727AF" w:rsidRDefault="00CA087D" w:rsidP="00FB6278">
            <w:pPr>
              <w:shd w:val="clear" w:color="auto" w:fill="FFFFFF" w:themeFill="background1"/>
              <w:jc w:val="center"/>
              <w:rPr>
                <w:rFonts w:ascii="Arial" w:hAnsi="Arial"/>
                <w:color w:val="000000" w:themeColor="text1"/>
                <w:sz w:val="22"/>
              </w:rPr>
            </w:pPr>
            <w:r w:rsidRPr="00E727AF">
              <w:rPr>
                <w:rFonts w:ascii="Arial" w:hAnsi="Arial"/>
                <w:color w:val="000000" w:themeColor="text1"/>
              </w:rPr>
              <w:t>94%</w:t>
            </w:r>
          </w:p>
        </w:tc>
      </w:tr>
      <w:tr w:rsidR="00CA087D" w:rsidRPr="0005354D" w14:paraId="0F7863AC" w14:textId="77777777" w:rsidTr="005C232A">
        <w:trPr>
          <w:trHeight w:val="131"/>
        </w:trPr>
        <w:tc>
          <w:tcPr>
            <w:tcW w:w="3501" w:type="dxa"/>
            <w:tcBorders>
              <w:top w:val="nil"/>
              <w:left w:val="single" w:sz="4" w:space="0" w:color="auto"/>
              <w:bottom w:val="single" w:sz="4" w:space="0" w:color="auto"/>
              <w:right w:val="single" w:sz="4" w:space="0" w:color="auto"/>
            </w:tcBorders>
            <w:shd w:val="clear" w:color="auto" w:fill="auto"/>
            <w:noWrap/>
            <w:vAlign w:val="bottom"/>
            <w:hideMark/>
          </w:tcPr>
          <w:p w14:paraId="2F3C5256" w14:textId="77777777" w:rsidR="00CA087D" w:rsidRPr="00E727AF" w:rsidRDefault="00CA087D" w:rsidP="00FB6278">
            <w:pPr>
              <w:shd w:val="clear" w:color="auto" w:fill="FFFFFF" w:themeFill="background1"/>
              <w:rPr>
                <w:rFonts w:ascii="Arial" w:hAnsi="Arial"/>
                <w:color w:val="000000" w:themeColor="text1"/>
                <w:sz w:val="22"/>
              </w:rPr>
            </w:pPr>
            <w:r w:rsidRPr="00E727AF">
              <w:rPr>
                <w:rFonts w:ascii="Arial" w:hAnsi="Arial"/>
                <w:color w:val="000000" w:themeColor="text1"/>
                <w:sz w:val="22"/>
              </w:rPr>
              <w:t>Care staff – day</w:t>
            </w:r>
          </w:p>
        </w:tc>
        <w:tc>
          <w:tcPr>
            <w:tcW w:w="2020" w:type="dxa"/>
            <w:tcBorders>
              <w:top w:val="nil"/>
              <w:left w:val="nil"/>
              <w:bottom w:val="single" w:sz="4" w:space="0" w:color="auto"/>
              <w:right w:val="single" w:sz="4" w:space="0" w:color="auto"/>
            </w:tcBorders>
            <w:shd w:val="clear" w:color="auto" w:fill="auto"/>
            <w:noWrap/>
            <w:vAlign w:val="center"/>
          </w:tcPr>
          <w:p w14:paraId="382F73C0" w14:textId="77777777" w:rsidR="00CA087D" w:rsidRPr="00E727AF" w:rsidRDefault="00CA087D" w:rsidP="00FB6278">
            <w:pPr>
              <w:shd w:val="clear" w:color="auto" w:fill="FFFFFF" w:themeFill="background1"/>
              <w:jc w:val="center"/>
              <w:rPr>
                <w:rFonts w:ascii="Arial" w:hAnsi="Arial"/>
                <w:color w:val="000000" w:themeColor="text1"/>
                <w:sz w:val="22"/>
              </w:rPr>
            </w:pPr>
            <w:r w:rsidRPr="00E727AF">
              <w:rPr>
                <w:rFonts w:ascii="Arial" w:hAnsi="Arial"/>
                <w:color w:val="000000" w:themeColor="text1"/>
              </w:rPr>
              <w:t>97%</w:t>
            </w:r>
          </w:p>
        </w:tc>
      </w:tr>
      <w:tr w:rsidR="00CA087D" w:rsidRPr="0005354D" w14:paraId="5581FCA4" w14:textId="77777777" w:rsidTr="005C232A">
        <w:trPr>
          <w:trHeight w:val="77"/>
        </w:trPr>
        <w:tc>
          <w:tcPr>
            <w:tcW w:w="3501" w:type="dxa"/>
            <w:tcBorders>
              <w:top w:val="nil"/>
              <w:left w:val="single" w:sz="4" w:space="0" w:color="auto"/>
              <w:bottom w:val="single" w:sz="4" w:space="0" w:color="auto"/>
              <w:right w:val="single" w:sz="4" w:space="0" w:color="auto"/>
            </w:tcBorders>
            <w:shd w:val="clear" w:color="auto" w:fill="auto"/>
            <w:noWrap/>
            <w:vAlign w:val="bottom"/>
            <w:hideMark/>
          </w:tcPr>
          <w:p w14:paraId="18946593" w14:textId="77777777" w:rsidR="00CA087D" w:rsidRPr="00E727AF" w:rsidRDefault="00CA087D" w:rsidP="00FB6278">
            <w:pPr>
              <w:shd w:val="clear" w:color="auto" w:fill="FFFFFF" w:themeFill="background1"/>
              <w:rPr>
                <w:rFonts w:ascii="Arial" w:hAnsi="Arial"/>
                <w:color w:val="000000" w:themeColor="text1"/>
                <w:sz w:val="22"/>
              </w:rPr>
            </w:pPr>
            <w:r w:rsidRPr="00E727AF">
              <w:rPr>
                <w:rFonts w:ascii="Arial" w:hAnsi="Arial"/>
                <w:color w:val="000000" w:themeColor="text1"/>
                <w:sz w:val="22"/>
              </w:rPr>
              <w:t xml:space="preserve">Care staff – night </w:t>
            </w:r>
          </w:p>
        </w:tc>
        <w:tc>
          <w:tcPr>
            <w:tcW w:w="2020" w:type="dxa"/>
            <w:tcBorders>
              <w:top w:val="nil"/>
              <w:left w:val="nil"/>
              <w:bottom w:val="single" w:sz="4" w:space="0" w:color="auto"/>
              <w:right w:val="single" w:sz="4" w:space="0" w:color="auto"/>
            </w:tcBorders>
            <w:shd w:val="clear" w:color="auto" w:fill="auto"/>
            <w:noWrap/>
            <w:vAlign w:val="center"/>
          </w:tcPr>
          <w:p w14:paraId="100972B3" w14:textId="77777777" w:rsidR="00CA087D" w:rsidRPr="00E727AF" w:rsidRDefault="00CA087D" w:rsidP="00FB6278">
            <w:pPr>
              <w:shd w:val="clear" w:color="auto" w:fill="FFFFFF" w:themeFill="background1"/>
              <w:jc w:val="center"/>
              <w:rPr>
                <w:rFonts w:ascii="Arial" w:hAnsi="Arial"/>
                <w:color w:val="000000" w:themeColor="text1"/>
                <w:sz w:val="22"/>
              </w:rPr>
            </w:pPr>
            <w:r w:rsidRPr="00E727AF">
              <w:rPr>
                <w:rFonts w:ascii="Arial" w:hAnsi="Arial"/>
                <w:color w:val="000000" w:themeColor="text1"/>
              </w:rPr>
              <w:t>136%</w:t>
            </w:r>
          </w:p>
        </w:tc>
      </w:tr>
      <w:tr w:rsidR="00CA087D" w:rsidRPr="0005354D" w14:paraId="6239770A" w14:textId="77777777" w:rsidTr="00CD4F89">
        <w:trPr>
          <w:trHeight w:val="70"/>
        </w:trPr>
        <w:tc>
          <w:tcPr>
            <w:tcW w:w="3501" w:type="dxa"/>
            <w:tcBorders>
              <w:top w:val="nil"/>
              <w:left w:val="single" w:sz="4" w:space="0" w:color="auto"/>
              <w:bottom w:val="single" w:sz="4" w:space="0" w:color="auto"/>
              <w:right w:val="single" w:sz="4" w:space="0" w:color="auto"/>
            </w:tcBorders>
            <w:shd w:val="clear" w:color="auto" w:fill="auto"/>
            <w:noWrap/>
            <w:vAlign w:val="bottom"/>
            <w:hideMark/>
          </w:tcPr>
          <w:p w14:paraId="76C60195" w14:textId="77777777" w:rsidR="00CA087D" w:rsidRPr="00E727AF" w:rsidRDefault="00CA087D" w:rsidP="00FB6278">
            <w:pPr>
              <w:shd w:val="clear" w:color="auto" w:fill="FFFFFF" w:themeFill="background1"/>
              <w:rPr>
                <w:rFonts w:ascii="Arial" w:hAnsi="Arial"/>
                <w:b/>
                <w:color w:val="000000" w:themeColor="text1"/>
                <w:sz w:val="22"/>
              </w:rPr>
            </w:pPr>
            <w:r w:rsidRPr="00E727AF">
              <w:rPr>
                <w:rFonts w:ascii="Arial" w:hAnsi="Arial"/>
                <w:b/>
                <w:color w:val="000000" w:themeColor="text1"/>
                <w:sz w:val="22"/>
              </w:rPr>
              <w:t xml:space="preserve">Total fill rate </w:t>
            </w:r>
          </w:p>
        </w:tc>
        <w:tc>
          <w:tcPr>
            <w:tcW w:w="2020" w:type="dxa"/>
            <w:tcBorders>
              <w:top w:val="nil"/>
              <w:left w:val="nil"/>
              <w:bottom w:val="single" w:sz="4" w:space="0" w:color="auto"/>
              <w:right w:val="single" w:sz="4" w:space="0" w:color="auto"/>
            </w:tcBorders>
            <w:shd w:val="clear" w:color="auto" w:fill="auto"/>
            <w:noWrap/>
            <w:vAlign w:val="center"/>
          </w:tcPr>
          <w:p w14:paraId="2537A173" w14:textId="77777777" w:rsidR="00CA087D" w:rsidRPr="00E727AF" w:rsidRDefault="00CA087D" w:rsidP="00FB6278">
            <w:pPr>
              <w:shd w:val="clear" w:color="auto" w:fill="FFFFFF" w:themeFill="background1"/>
              <w:jc w:val="center"/>
              <w:rPr>
                <w:rFonts w:ascii="Arial" w:hAnsi="Arial"/>
                <w:color w:val="000000" w:themeColor="text1"/>
                <w:sz w:val="22"/>
              </w:rPr>
            </w:pPr>
            <w:r w:rsidRPr="00E727AF">
              <w:rPr>
                <w:rFonts w:ascii="Arial" w:hAnsi="Arial"/>
                <w:color w:val="000000" w:themeColor="text1"/>
                <w:sz w:val="22"/>
              </w:rPr>
              <w:t>98.7%</w:t>
            </w:r>
          </w:p>
        </w:tc>
      </w:tr>
      <w:bookmarkEnd w:id="2"/>
    </w:tbl>
    <w:p w14:paraId="607117BC" w14:textId="44857FD3" w:rsidR="00CA087D" w:rsidRPr="00E727AF" w:rsidRDefault="00CA087D" w:rsidP="00FB6278">
      <w:pPr>
        <w:ind w:left="-567"/>
        <w:jc w:val="both"/>
        <w:rPr>
          <w:rFonts w:ascii="Arial" w:hAnsi="Arial"/>
          <w:b/>
          <w:sz w:val="22"/>
          <w:highlight w:val="yellow"/>
        </w:rPr>
      </w:pPr>
    </w:p>
    <w:p w14:paraId="5085A4A2" w14:textId="6D7BEDCC" w:rsidR="00CA087D" w:rsidRPr="00E727AF" w:rsidRDefault="00CA087D" w:rsidP="00FB6278">
      <w:pPr>
        <w:ind w:left="-567"/>
        <w:jc w:val="both"/>
        <w:rPr>
          <w:rFonts w:ascii="Arial" w:hAnsi="Arial"/>
          <w:b/>
          <w:sz w:val="22"/>
          <w:highlight w:val="yellow"/>
        </w:rPr>
      </w:pPr>
    </w:p>
    <w:p w14:paraId="465E9595" w14:textId="359D5351" w:rsidR="00CA087D" w:rsidRPr="00E727AF" w:rsidRDefault="00CA087D" w:rsidP="00FB6278">
      <w:pPr>
        <w:ind w:left="-567"/>
        <w:jc w:val="both"/>
        <w:rPr>
          <w:rFonts w:ascii="Arial" w:hAnsi="Arial"/>
          <w:b/>
          <w:sz w:val="22"/>
          <w:highlight w:val="yellow"/>
        </w:rPr>
      </w:pPr>
    </w:p>
    <w:p w14:paraId="6F920A43" w14:textId="50A0A340" w:rsidR="00CA087D" w:rsidRPr="00E727AF" w:rsidRDefault="00CA087D" w:rsidP="00FB6278">
      <w:pPr>
        <w:ind w:left="-567"/>
        <w:jc w:val="both"/>
        <w:rPr>
          <w:rFonts w:ascii="Arial" w:hAnsi="Arial"/>
          <w:b/>
          <w:sz w:val="22"/>
          <w:highlight w:val="yellow"/>
        </w:rPr>
      </w:pPr>
    </w:p>
    <w:p w14:paraId="3DA3B248" w14:textId="4BFB3A70" w:rsidR="00CA087D" w:rsidRPr="00E727AF" w:rsidRDefault="00CA087D" w:rsidP="00FB6278">
      <w:pPr>
        <w:ind w:left="-567"/>
        <w:jc w:val="both"/>
        <w:rPr>
          <w:rFonts w:ascii="Arial" w:hAnsi="Arial"/>
          <w:b/>
          <w:sz w:val="22"/>
          <w:highlight w:val="yellow"/>
        </w:rPr>
      </w:pPr>
    </w:p>
    <w:p w14:paraId="7FFDC30F" w14:textId="77777777" w:rsidR="00CA087D" w:rsidRPr="00E727AF" w:rsidRDefault="00CA087D" w:rsidP="00FB6278">
      <w:pPr>
        <w:ind w:left="-567"/>
        <w:jc w:val="both"/>
        <w:rPr>
          <w:rFonts w:ascii="Arial" w:hAnsi="Arial"/>
          <w:b/>
          <w:sz w:val="22"/>
          <w:highlight w:val="yellow"/>
        </w:rPr>
      </w:pPr>
    </w:p>
    <w:p w14:paraId="733B2400" w14:textId="77777777" w:rsidR="00CA087D" w:rsidRPr="00E727AF" w:rsidRDefault="00CA087D" w:rsidP="00FB6278">
      <w:pPr>
        <w:ind w:left="-567"/>
        <w:jc w:val="both"/>
        <w:rPr>
          <w:rFonts w:ascii="Arial" w:hAnsi="Arial"/>
          <w:b/>
          <w:sz w:val="22"/>
          <w:highlight w:val="yellow"/>
        </w:rPr>
      </w:pPr>
    </w:p>
    <w:p w14:paraId="599D79FC" w14:textId="77777777" w:rsidR="00CA087D" w:rsidRPr="00E727AF" w:rsidRDefault="00CA087D" w:rsidP="00FB6278">
      <w:pPr>
        <w:ind w:left="-567"/>
        <w:jc w:val="both"/>
        <w:rPr>
          <w:rFonts w:ascii="Arial" w:hAnsi="Arial"/>
          <w:b/>
          <w:sz w:val="22"/>
          <w:highlight w:val="yellow"/>
        </w:rPr>
      </w:pPr>
    </w:p>
    <w:p w14:paraId="671042C3" w14:textId="77777777" w:rsidR="00CA087D" w:rsidRPr="00E727AF" w:rsidRDefault="00CA087D" w:rsidP="00FB6278">
      <w:pPr>
        <w:ind w:left="-567"/>
        <w:jc w:val="both"/>
        <w:rPr>
          <w:rFonts w:ascii="Arial" w:hAnsi="Arial"/>
          <w:b/>
          <w:sz w:val="22"/>
          <w:highlight w:val="yellow"/>
        </w:rPr>
      </w:pPr>
    </w:p>
    <w:p w14:paraId="663F76DA" w14:textId="77777777" w:rsidR="00CA087D" w:rsidRPr="00E727AF" w:rsidRDefault="00CA087D" w:rsidP="00FB6278">
      <w:pPr>
        <w:ind w:left="-567"/>
        <w:jc w:val="both"/>
        <w:rPr>
          <w:rFonts w:ascii="Arial" w:hAnsi="Arial"/>
          <w:b/>
          <w:sz w:val="22"/>
          <w:highlight w:val="yellow"/>
        </w:rPr>
      </w:pPr>
    </w:p>
    <w:p w14:paraId="2D8409F1" w14:textId="37B106C6" w:rsidR="00EB10AF" w:rsidRPr="00E727AF" w:rsidRDefault="00EB10AF" w:rsidP="00FB6278">
      <w:pPr>
        <w:ind w:left="-567"/>
        <w:jc w:val="both"/>
        <w:rPr>
          <w:rFonts w:ascii="Arial" w:hAnsi="Arial"/>
          <w:b/>
          <w:sz w:val="22"/>
        </w:rPr>
      </w:pPr>
      <w:r w:rsidRPr="00E727AF">
        <w:rPr>
          <w:rFonts w:ascii="Arial" w:hAnsi="Arial"/>
          <w:b/>
          <w:sz w:val="22"/>
        </w:rPr>
        <w:t xml:space="preserve">Financial report </w:t>
      </w:r>
    </w:p>
    <w:p w14:paraId="3D7E1F78" w14:textId="77777777" w:rsidR="00EB10AF" w:rsidRPr="00E727AF" w:rsidRDefault="00EB10AF" w:rsidP="00FB6278">
      <w:pPr>
        <w:ind w:left="-567"/>
        <w:jc w:val="both"/>
        <w:rPr>
          <w:rFonts w:ascii="Arial" w:hAnsi="Arial"/>
          <w:b/>
          <w:sz w:val="22"/>
        </w:rPr>
      </w:pPr>
    </w:p>
    <w:p w14:paraId="2A8A0BEC" w14:textId="2B46721A" w:rsidR="00EB10AF" w:rsidRDefault="00EB10AF" w:rsidP="00FB6278">
      <w:pPr>
        <w:ind w:left="-567" w:right="-613"/>
        <w:jc w:val="both"/>
        <w:rPr>
          <w:rFonts w:ascii="Arial" w:hAnsi="Arial"/>
          <w:sz w:val="22"/>
        </w:rPr>
      </w:pPr>
      <w:r w:rsidRPr="00E727AF">
        <w:rPr>
          <w:rFonts w:ascii="Arial" w:hAnsi="Arial"/>
          <w:sz w:val="22"/>
        </w:rPr>
        <w:t xml:space="preserve">2021/22 was again another exceptional period </w:t>
      </w:r>
      <w:proofErr w:type="gramStart"/>
      <w:r w:rsidRPr="00E727AF">
        <w:rPr>
          <w:rFonts w:ascii="Arial" w:hAnsi="Arial"/>
          <w:sz w:val="22"/>
        </w:rPr>
        <w:t>as a result of</w:t>
      </w:r>
      <w:proofErr w:type="gramEnd"/>
      <w:r w:rsidRPr="00E727AF">
        <w:rPr>
          <w:rFonts w:ascii="Arial" w:hAnsi="Arial"/>
          <w:sz w:val="22"/>
        </w:rPr>
        <w:t xml:space="preserve"> </w:t>
      </w:r>
      <w:r w:rsidRPr="00E727AF">
        <w:rPr>
          <w:rFonts w:ascii="Arial" w:hAnsi="Arial" w:cs="Arial"/>
          <w:sz w:val="22"/>
          <w:szCs w:val="22"/>
        </w:rPr>
        <w:t>C</w:t>
      </w:r>
      <w:r w:rsidR="000B4D9E" w:rsidRPr="00E727AF">
        <w:rPr>
          <w:rFonts w:ascii="Arial" w:hAnsi="Arial" w:cs="Arial"/>
          <w:sz w:val="22"/>
          <w:szCs w:val="22"/>
        </w:rPr>
        <w:t>ovi</w:t>
      </w:r>
      <w:r w:rsidR="00C5408A">
        <w:rPr>
          <w:rFonts w:ascii="Arial" w:hAnsi="Arial" w:cs="Arial"/>
          <w:sz w:val="22"/>
          <w:szCs w:val="22"/>
        </w:rPr>
        <w:t>d-</w:t>
      </w:r>
      <w:r w:rsidRPr="00E727AF">
        <w:rPr>
          <w:rFonts w:ascii="Arial" w:hAnsi="Arial"/>
          <w:sz w:val="22"/>
        </w:rPr>
        <w:t>19 and transitional funding structures within the NHS.</w:t>
      </w:r>
    </w:p>
    <w:p w14:paraId="48940ACA" w14:textId="726EBBD3" w:rsidR="00D42D7C" w:rsidRDefault="00D42D7C" w:rsidP="00FB6278">
      <w:pPr>
        <w:ind w:left="-567" w:right="-613"/>
        <w:jc w:val="both"/>
        <w:rPr>
          <w:rFonts w:ascii="Arial" w:hAnsi="Arial"/>
          <w:sz w:val="22"/>
        </w:rPr>
      </w:pPr>
    </w:p>
    <w:p w14:paraId="362A8FA7" w14:textId="77777777" w:rsidR="00D42D7C" w:rsidRPr="00E727AF" w:rsidRDefault="00D42D7C" w:rsidP="00FB6278">
      <w:pPr>
        <w:ind w:left="-567" w:right="-613"/>
        <w:jc w:val="both"/>
        <w:rPr>
          <w:rFonts w:ascii="Arial" w:hAnsi="Arial"/>
          <w:sz w:val="22"/>
        </w:rPr>
      </w:pPr>
      <w:r w:rsidRPr="00E727AF">
        <w:rPr>
          <w:rFonts w:ascii="Arial" w:hAnsi="Arial"/>
          <w:sz w:val="22"/>
        </w:rPr>
        <w:t xml:space="preserve">During the financial period, the </w:t>
      </w:r>
      <w:r w:rsidRPr="00E727AF">
        <w:rPr>
          <w:rFonts w:ascii="Arial" w:hAnsi="Arial" w:cs="Arial"/>
          <w:sz w:val="22"/>
          <w:szCs w:val="22"/>
        </w:rPr>
        <w:t>trust</w:t>
      </w:r>
      <w:r w:rsidRPr="00E727AF">
        <w:rPr>
          <w:rFonts w:ascii="Arial" w:hAnsi="Arial"/>
          <w:sz w:val="22"/>
        </w:rPr>
        <w:t xml:space="preserve"> reported a surplus of £19.4m compared </w:t>
      </w:r>
      <w:r w:rsidRPr="00E727AF">
        <w:rPr>
          <w:rFonts w:ascii="Arial" w:hAnsi="Arial" w:cs="Arial"/>
          <w:sz w:val="22"/>
          <w:szCs w:val="22"/>
        </w:rPr>
        <w:t>with</w:t>
      </w:r>
      <w:r w:rsidRPr="00E727AF">
        <w:rPr>
          <w:rFonts w:ascii="Arial" w:hAnsi="Arial"/>
          <w:sz w:val="22"/>
        </w:rPr>
        <w:t xml:space="preserve"> a surplus of £5.4 million in 2020/21, predominantly </w:t>
      </w:r>
      <w:proofErr w:type="gramStart"/>
      <w:r w:rsidRPr="00E727AF">
        <w:rPr>
          <w:rFonts w:ascii="Arial" w:hAnsi="Arial"/>
          <w:sz w:val="22"/>
        </w:rPr>
        <w:t>as a result of</w:t>
      </w:r>
      <w:proofErr w:type="gramEnd"/>
      <w:r w:rsidRPr="00E727AF">
        <w:rPr>
          <w:rFonts w:ascii="Arial" w:hAnsi="Arial"/>
          <w:sz w:val="22"/>
        </w:rPr>
        <w:t xml:space="preserve"> receiving block funding income based on historical activity levels </w:t>
      </w:r>
      <w:r>
        <w:rPr>
          <w:rFonts w:ascii="Arial" w:hAnsi="Arial"/>
          <w:sz w:val="22"/>
        </w:rPr>
        <w:t>and the recovery of private patient income.</w:t>
      </w:r>
    </w:p>
    <w:p w14:paraId="3EAB1BE8" w14:textId="77777777" w:rsidR="00EB10AF" w:rsidRPr="00E727AF" w:rsidRDefault="00EB10AF" w:rsidP="00FB6278">
      <w:pPr>
        <w:ind w:left="-567" w:right="-613"/>
        <w:jc w:val="both"/>
        <w:rPr>
          <w:rFonts w:ascii="Arial" w:hAnsi="Arial"/>
          <w:color w:val="FF0000"/>
          <w:sz w:val="22"/>
        </w:rPr>
      </w:pPr>
      <w:bookmarkStart w:id="3" w:name="_Toc483473493"/>
    </w:p>
    <w:bookmarkEnd w:id="3"/>
    <w:p w14:paraId="455A6BB2" w14:textId="77777777" w:rsidR="00EB10AF" w:rsidRPr="00E727AF" w:rsidRDefault="00EB10AF" w:rsidP="00FB6278">
      <w:pPr>
        <w:ind w:left="-567" w:right="-613"/>
        <w:jc w:val="both"/>
        <w:rPr>
          <w:rFonts w:ascii="Arial" w:hAnsi="Arial"/>
          <w:b/>
          <w:sz w:val="22"/>
        </w:rPr>
      </w:pPr>
      <w:r w:rsidRPr="00E727AF">
        <w:rPr>
          <w:rFonts w:ascii="Arial" w:hAnsi="Arial"/>
          <w:b/>
          <w:sz w:val="22"/>
        </w:rPr>
        <w:t>Statement of comprehensive income</w:t>
      </w:r>
    </w:p>
    <w:p w14:paraId="38E27264" w14:textId="5118D443" w:rsidR="00EB10AF" w:rsidRPr="00E727AF" w:rsidRDefault="00EB10AF" w:rsidP="00FB6278">
      <w:pPr>
        <w:ind w:left="-567" w:right="-613"/>
        <w:jc w:val="both"/>
        <w:rPr>
          <w:rFonts w:ascii="Arial" w:hAnsi="Arial"/>
          <w:sz w:val="22"/>
        </w:rPr>
      </w:pPr>
      <w:r w:rsidRPr="00E727AF">
        <w:rPr>
          <w:rFonts w:ascii="Arial" w:hAnsi="Arial"/>
          <w:sz w:val="22"/>
        </w:rPr>
        <w:t xml:space="preserve">Income for </w:t>
      </w:r>
      <w:r w:rsidRPr="00D42D7C">
        <w:rPr>
          <w:rFonts w:ascii="Arial" w:hAnsi="Arial"/>
          <w:sz w:val="22"/>
        </w:rPr>
        <w:t>the year was £283.8 million (2020/21: £244.0 million), an increase of £39.8m on the prior year</w:t>
      </w:r>
      <w:r w:rsidR="00232C7C" w:rsidRPr="00D42D7C">
        <w:rPr>
          <w:rFonts w:ascii="Arial" w:hAnsi="Arial"/>
          <w:sz w:val="22"/>
        </w:rPr>
        <w:t>,</w:t>
      </w:r>
      <w:r w:rsidRPr="00D42D7C">
        <w:rPr>
          <w:rFonts w:ascii="Arial" w:hAnsi="Arial"/>
          <w:sz w:val="22"/>
        </w:rPr>
        <w:t xml:space="preserve"> as patient activity recovered from the unprecedented decrease in 2020/21.</w:t>
      </w:r>
    </w:p>
    <w:p w14:paraId="624B414A" w14:textId="77777777" w:rsidR="00EB10AF" w:rsidRPr="00E727AF" w:rsidRDefault="00EB10AF" w:rsidP="00FB6278">
      <w:pPr>
        <w:ind w:right="-613"/>
        <w:jc w:val="both"/>
        <w:rPr>
          <w:rFonts w:ascii="Arial" w:hAnsi="Arial"/>
          <w:sz w:val="22"/>
          <w:highlight w:val="yellow"/>
        </w:rPr>
      </w:pPr>
    </w:p>
    <w:p w14:paraId="7C14A15A" w14:textId="77777777" w:rsidR="00EB10AF" w:rsidRPr="00E727AF" w:rsidRDefault="00EB10AF" w:rsidP="00FB6278">
      <w:pPr>
        <w:ind w:left="-567" w:right="-613"/>
        <w:jc w:val="both"/>
        <w:rPr>
          <w:rFonts w:ascii="Arial" w:hAnsi="Arial"/>
          <w:b/>
          <w:sz w:val="22"/>
        </w:rPr>
      </w:pPr>
      <w:r w:rsidRPr="00E727AF">
        <w:rPr>
          <w:rFonts w:ascii="Arial" w:hAnsi="Arial"/>
          <w:b/>
          <w:sz w:val="22"/>
        </w:rPr>
        <w:t>Income and expenditure</w:t>
      </w:r>
    </w:p>
    <w:p w14:paraId="24B0C77C" w14:textId="77777777" w:rsidR="00EB10AF" w:rsidRPr="00E727AF" w:rsidRDefault="00EB10AF" w:rsidP="00FB6278">
      <w:pPr>
        <w:ind w:left="-567" w:right="-613"/>
        <w:jc w:val="both"/>
        <w:rPr>
          <w:rFonts w:ascii="Arial" w:hAnsi="Arial"/>
          <w:b/>
          <w:sz w:val="22"/>
        </w:rPr>
      </w:pPr>
    </w:p>
    <w:tbl>
      <w:tblPr>
        <w:tblW w:w="4477" w:type="pct"/>
        <w:tblCellMar>
          <w:left w:w="0" w:type="dxa"/>
          <w:right w:w="0" w:type="dxa"/>
        </w:tblCellMar>
        <w:tblLook w:val="0000" w:firstRow="0" w:lastRow="0" w:firstColumn="0" w:lastColumn="0" w:noHBand="0" w:noVBand="0"/>
      </w:tblPr>
      <w:tblGrid>
        <w:gridCol w:w="3961"/>
        <w:gridCol w:w="1986"/>
        <w:gridCol w:w="2125"/>
      </w:tblGrid>
      <w:tr w:rsidR="00EB10AF" w:rsidRPr="00E711EE" w14:paraId="0154D7C9" w14:textId="77777777" w:rsidTr="005E0560">
        <w:trPr>
          <w:trHeight w:val="100"/>
        </w:trPr>
        <w:tc>
          <w:tcPr>
            <w:tcW w:w="2454" w:type="pct"/>
            <w:tcBorders>
              <w:top w:val="single" w:sz="16" w:space="0" w:color="000000"/>
              <w:left w:val="single" w:sz="6" w:space="0" w:color="000000"/>
              <w:bottom w:val="single" w:sz="16" w:space="0" w:color="000000"/>
              <w:right w:val="single" w:sz="2" w:space="0" w:color="000000"/>
            </w:tcBorders>
            <w:tcMar>
              <w:top w:w="80" w:type="dxa"/>
              <w:left w:w="80" w:type="dxa"/>
              <w:bottom w:w="80" w:type="dxa"/>
              <w:right w:w="80" w:type="dxa"/>
            </w:tcMar>
            <w:vAlign w:val="center"/>
          </w:tcPr>
          <w:p w14:paraId="2CE19D57" w14:textId="31B29A71" w:rsidR="00EB10AF" w:rsidRPr="00E727AF" w:rsidRDefault="00EB10AF" w:rsidP="00FB6278">
            <w:pPr>
              <w:rPr>
                <w:rFonts w:ascii="Arial" w:hAnsi="Arial"/>
                <w:b/>
                <w:sz w:val="22"/>
              </w:rPr>
            </w:pPr>
            <w:r w:rsidRPr="00E727AF">
              <w:rPr>
                <w:rFonts w:ascii="Arial" w:hAnsi="Arial"/>
                <w:b/>
                <w:sz w:val="22"/>
              </w:rPr>
              <w:t>All figures in £</w:t>
            </w:r>
            <w:r w:rsidR="00821C56" w:rsidRPr="00E727AF">
              <w:rPr>
                <w:rFonts w:ascii="Arial" w:hAnsi="Arial"/>
                <w:b/>
                <w:sz w:val="22"/>
              </w:rPr>
              <w:t xml:space="preserve"> </w:t>
            </w:r>
            <w:r w:rsidRPr="00E727AF">
              <w:rPr>
                <w:rFonts w:ascii="Arial" w:hAnsi="Arial" w:cs="Arial"/>
                <w:b/>
                <w:sz w:val="22"/>
                <w:szCs w:val="22"/>
              </w:rPr>
              <w:t>million</w:t>
            </w:r>
          </w:p>
        </w:tc>
        <w:tc>
          <w:tcPr>
            <w:tcW w:w="1230" w:type="pct"/>
            <w:tcBorders>
              <w:top w:val="single" w:sz="16" w:space="0" w:color="000000"/>
              <w:left w:val="single" w:sz="2" w:space="0" w:color="000000"/>
              <w:bottom w:val="single" w:sz="16" w:space="0" w:color="000000"/>
              <w:right w:val="single" w:sz="2" w:space="0" w:color="000000"/>
            </w:tcBorders>
          </w:tcPr>
          <w:p w14:paraId="665DDC68" w14:textId="7069196D" w:rsidR="00EB10AF" w:rsidRPr="00E727AF" w:rsidRDefault="00EB10AF" w:rsidP="00FB6278">
            <w:pPr>
              <w:jc w:val="center"/>
              <w:rPr>
                <w:rFonts w:ascii="Arial" w:hAnsi="Arial"/>
                <w:b/>
                <w:sz w:val="22"/>
              </w:rPr>
            </w:pPr>
            <w:r w:rsidRPr="00E727AF">
              <w:rPr>
                <w:rFonts w:ascii="Arial" w:hAnsi="Arial"/>
                <w:b/>
                <w:sz w:val="22"/>
              </w:rPr>
              <w:t>202</w:t>
            </w:r>
            <w:r w:rsidR="007F2C0C">
              <w:rPr>
                <w:rFonts w:ascii="Arial" w:hAnsi="Arial"/>
                <w:b/>
                <w:sz w:val="22"/>
              </w:rPr>
              <w:t>1</w:t>
            </w:r>
            <w:r w:rsidRPr="00E727AF">
              <w:rPr>
                <w:rFonts w:ascii="Arial" w:hAnsi="Arial"/>
                <w:b/>
                <w:sz w:val="22"/>
              </w:rPr>
              <w:t>/2</w:t>
            </w:r>
            <w:r w:rsidR="007F2C0C">
              <w:rPr>
                <w:rFonts w:ascii="Arial" w:hAnsi="Arial"/>
                <w:b/>
                <w:sz w:val="22"/>
              </w:rPr>
              <w:t>2</w:t>
            </w:r>
          </w:p>
        </w:tc>
        <w:tc>
          <w:tcPr>
            <w:tcW w:w="1316" w:type="pct"/>
            <w:tcBorders>
              <w:top w:val="single" w:sz="16" w:space="0" w:color="000000"/>
              <w:left w:val="single" w:sz="2" w:space="0" w:color="000000"/>
              <w:bottom w:val="single" w:sz="16" w:space="0" w:color="000000"/>
              <w:right w:val="single" w:sz="2" w:space="0" w:color="000000"/>
            </w:tcBorders>
            <w:tcMar>
              <w:top w:w="80" w:type="dxa"/>
              <w:left w:w="80" w:type="dxa"/>
              <w:bottom w:w="80" w:type="dxa"/>
              <w:right w:w="80" w:type="dxa"/>
            </w:tcMar>
          </w:tcPr>
          <w:p w14:paraId="39DD7EC3" w14:textId="4C51F26D" w:rsidR="00EB10AF" w:rsidRPr="00E727AF" w:rsidRDefault="00EB10AF" w:rsidP="00FB6278">
            <w:pPr>
              <w:jc w:val="center"/>
              <w:rPr>
                <w:rFonts w:ascii="Arial" w:hAnsi="Arial"/>
                <w:b/>
                <w:sz w:val="22"/>
              </w:rPr>
            </w:pPr>
            <w:r w:rsidRPr="00E727AF">
              <w:rPr>
                <w:rFonts w:ascii="Arial" w:hAnsi="Arial"/>
                <w:b/>
                <w:sz w:val="22"/>
              </w:rPr>
              <w:t>202</w:t>
            </w:r>
            <w:r w:rsidR="007F2C0C">
              <w:rPr>
                <w:rFonts w:ascii="Arial" w:hAnsi="Arial"/>
                <w:b/>
                <w:sz w:val="22"/>
              </w:rPr>
              <w:t>0</w:t>
            </w:r>
            <w:r w:rsidRPr="00E727AF">
              <w:rPr>
                <w:rFonts w:ascii="Arial" w:hAnsi="Arial"/>
                <w:b/>
                <w:sz w:val="22"/>
              </w:rPr>
              <w:t>/2</w:t>
            </w:r>
            <w:r w:rsidR="007F2C0C">
              <w:rPr>
                <w:rFonts w:ascii="Arial" w:hAnsi="Arial"/>
                <w:b/>
                <w:sz w:val="22"/>
              </w:rPr>
              <w:t>1</w:t>
            </w:r>
          </w:p>
        </w:tc>
      </w:tr>
      <w:tr w:rsidR="00EB10AF" w:rsidRPr="00E711EE" w14:paraId="48B65A6F" w14:textId="77777777" w:rsidTr="005E0560">
        <w:trPr>
          <w:trHeight w:val="72"/>
        </w:trPr>
        <w:tc>
          <w:tcPr>
            <w:tcW w:w="2454" w:type="pct"/>
            <w:tcBorders>
              <w:top w:val="single" w:sz="16" w:space="0" w:color="000000"/>
              <w:left w:val="single" w:sz="6" w:space="0" w:color="000000"/>
              <w:bottom w:val="single" w:sz="8" w:space="0" w:color="000000"/>
              <w:right w:val="single" w:sz="6" w:space="0" w:color="000000"/>
            </w:tcBorders>
            <w:tcMar>
              <w:top w:w="80" w:type="dxa"/>
              <w:left w:w="80" w:type="dxa"/>
              <w:bottom w:w="80" w:type="dxa"/>
              <w:right w:w="80" w:type="dxa"/>
            </w:tcMar>
            <w:vAlign w:val="bottom"/>
          </w:tcPr>
          <w:p w14:paraId="2EE6DE70" w14:textId="77777777" w:rsidR="00EB10AF" w:rsidRPr="00E727AF" w:rsidRDefault="00EB10AF" w:rsidP="00FB6278">
            <w:pPr>
              <w:rPr>
                <w:rFonts w:ascii="Arial" w:hAnsi="Arial"/>
                <w:b/>
                <w:sz w:val="22"/>
              </w:rPr>
            </w:pPr>
            <w:r w:rsidRPr="00E727AF">
              <w:rPr>
                <w:rFonts w:ascii="Arial" w:hAnsi="Arial"/>
                <w:b/>
                <w:sz w:val="22"/>
              </w:rPr>
              <w:t>Income</w:t>
            </w:r>
          </w:p>
        </w:tc>
        <w:tc>
          <w:tcPr>
            <w:tcW w:w="1230" w:type="pct"/>
            <w:tcBorders>
              <w:top w:val="single" w:sz="16" w:space="0" w:color="000000"/>
              <w:left w:val="single" w:sz="6" w:space="0" w:color="000000"/>
              <w:bottom w:val="single" w:sz="8" w:space="0" w:color="000000"/>
              <w:right w:val="single" w:sz="6" w:space="0" w:color="000000"/>
            </w:tcBorders>
          </w:tcPr>
          <w:p w14:paraId="69F02CCD" w14:textId="77777777" w:rsidR="00EB10AF" w:rsidRPr="00E727AF" w:rsidRDefault="00EB10AF" w:rsidP="00FB6278">
            <w:pPr>
              <w:jc w:val="center"/>
              <w:rPr>
                <w:rFonts w:ascii="Arial" w:hAnsi="Arial"/>
                <w:sz w:val="22"/>
              </w:rPr>
            </w:pPr>
          </w:p>
        </w:tc>
        <w:tc>
          <w:tcPr>
            <w:tcW w:w="1316" w:type="pct"/>
            <w:tcBorders>
              <w:top w:val="single" w:sz="1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3DF3B011" w14:textId="77777777" w:rsidR="00EB10AF" w:rsidRPr="00E727AF" w:rsidRDefault="00EB10AF" w:rsidP="00FB6278">
            <w:pPr>
              <w:jc w:val="center"/>
              <w:rPr>
                <w:rFonts w:ascii="Arial" w:hAnsi="Arial"/>
                <w:sz w:val="22"/>
              </w:rPr>
            </w:pPr>
          </w:p>
        </w:tc>
      </w:tr>
      <w:tr w:rsidR="00EB10AF" w:rsidRPr="00E711EE" w14:paraId="035DC6BD" w14:textId="77777777" w:rsidTr="005E0560">
        <w:trPr>
          <w:trHeight w:val="11"/>
        </w:trPr>
        <w:tc>
          <w:tcPr>
            <w:tcW w:w="2454" w:type="pct"/>
            <w:tcBorders>
              <w:top w:val="single" w:sz="8" w:space="0" w:color="000000"/>
              <w:left w:val="single" w:sz="6" w:space="0" w:color="000000"/>
              <w:bottom w:val="single" w:sz="4" w:space="0" w:color="000000"/>
              <w:right w:val="single" w:sz="4" w:space="0" w:color="000000"/>
            </w:tcBorders>
            <w:tcMar>
              <w:top w:w="80" w:type="dxa"/>
              <w:left w:w="283" w:type="dxa"/>
              <w:bottom w:w="80" w:type="dxa"/>
              <w:right w:w="80" w:type="dxa"/>
            </w:tcMar>
          </w:tcPr>
          <w:p w14:paraId="16B8417F" w14:textId="77777777" w:rsidR="00EB10AF" w:rsidRPr="00E727AF" w:rsidRDefault="00EB10AF" w:rsidP="00FB6278">
            <w:pPr>
              <w:rPr>
                <w:rFonts w:ascii="Arial" w:hAnsi="Arial"/>
                <w:b/>
                <w:sz w:val="22"/>
              </w:rPr>
            </w:pPr>
            <w:r w:rsidRPr="00E727AF">
              <w:rPr>
                <w:rFonts w:ascii="Arial" w:hAnsi="Arial"/>
                <w:b/>
                <w:sz w:val="22"/>
              </w:rPr>
              <w:t>Income from activities</w:t>
            </w:r>
          </w:p>
        </w:tc>
        <w:tc>
          <w:tcPr>
            <w:tcW w:w="1230" w:type="pct"/>
            <w:tcBorders>
              <w:top w:val="single" w:sz="8" w:space="0" w:color="000000"/>
              <w:left w:val="single" w:sz="4" w:space="0" w:color="000000"/>
              <w:bottom w:val="single" w:sz="4" w:space="0" w:color="000000"/>
              <w:right w:val="single" w:sz="4" w:space="0" w:color="000000"/>
            </w:tcBorders>
          </w:tcPr>
          <w:p w14:paraId="35B57191" w14:textId="77777777" w:rsidR="00EB10AF" w:rsidRPr="00E727AF" w:rsidRDefault="00EB10AF" w:rsidP="00FB6278">
            <w:pPr>
              <w:jc w:val="center"/>
              <w:rPr>
                <w:rFonts w:ascii="Arial" w:hAnsi="Arial"/>
                <w:sz w:val="22"/>
              </w:rPr>
            </w:pPr>
          </w:p>
        </w:tc>
        <w:tc>
          <w:tcPr>
            <w:tcW w:w="1316" w:type="pct"/>
            <w:tcBorders>
              <w:top w:val="single" w:sz="8" w:space="0" w:color="000000"/>
              <w:left w:val="single" w:sz="4" w:space="0" w:color="000000"/>
              <w:bottom w:val="single" w:sz="4" w:space="0" w:color="000000"/>
              <w:right w:val="single" w:sz="4" w:space="0" w:color="000000"/>
            </w:tcBorders>
            <w:tcMar>
              <w:top w:w="80" w:type="dxa"/>
              <w:left w:w="283" w:type="dxa"/>
              <w:bottom w:w="80" w:type="dxa"/>
              <w:right w:w="80" w:type="dxa"/>
            </w:tcMar>
          </w:tcPr>
          <w:p w14:paraId="0CD285A5" w14:textId="77777777" w:rsidR="00EB10AF" w:rsidRPr="00E727AF" w:rsidRDefault="00EB10AF" w:rsidP="00FB6278">
            <w:pPr>
              <w:jc w:val="center"/>
              <w:rPr>
                <w:rFonts w:ascii="Arial" w:hAnsi="Arial"/>
                <w:sz w:val="22"/>
              </w:rPr>
            </w:pPr>
          </w:p>
        </w:tc>
      </w:tr>
      <w:tr w:rsidR="00EB10AF" w:rsidRPr="00E711EE" w14:paraId="02173304" w14:textId="77777777" w:rsidTr="005E0560">
        <w:trPr>
          <w:trHeight w:val="11"/>
        </w:trPr>
        <w:tc>
          <w:tcPr>
            <w:tcW w:w="2454" w:type="pct"/>
            <w:tcBorders>
              <w:top w:val="single" w:sz="4" w:space="0" w:color="000000"/>
              <w:left w:val="single" w:sz="6" w:space="0" w:color="000000"/>
              <w:bottom w:val="single" w:sz="4" w:space="0" w:color="000000"/>
              <w:right w:val="single" w:sz="4" w:space="0" w:color="000000"/>
            </w:tcBorders>
            <w:tcMar>
              <w:top w:w="80" w:type="dxa"/>
              <w:left w:w="283" w:type="dxa"/>
              <w:bottom w:w="80" w:type="dxa"/>
              <w:right w:w="80" w:type="dxa"/>
            </w:tcMar>
          </w:tcPr>
          <w:p w14:paraId="3F9DF230" w14:textId="77777777" w:rsidR="00EB10AF" w:rsidRPr="00E727AF" w:rsidRDefault="00EB10AF" w:rsidP="00FB6278">
            <w:pPr>
              <w:rPr>
                <w:rFonts w:ascii="Arial" w:hAnsi="Arial"/>
                <w:sz w:val="22"/>
              </w:rPr>
            </w:pPr>
            <w:r w:rsidRPr="00E727AF">
              <w:rPr>
                <w:rFonts w:ascii="Arial" w:hAnsi="Arial"/>
                <w:sz w:val="22"/>
              </w:rPr>
              <w:t>NHS income</w:t>
            </w:r>
          </w:p>
        </w:tc>
        <w:tc>
          <w:tcPr>
            <w:tcW w:w="1230" w:type="pct"/>
            <w:tcBorders>
              <w:top w:val="single" w:sz="4" w:space="0" w:color="000000"/>
              <w:left w:val="single" w:sz="4" w:space="0" w:color="000000"/>
              <w:bottom w:val="single" w:sz="4" w:space="0" w:color="000000"/>
              <w:right w:val="single" w:sz="4" w:space="0" w:color="000000"/>
            </w:tcBorders>
          </w:tcPr>
          <w:p w14:paraId="2960F7C0" w14:textId="77777777" w:rsidR="00EB10AF" w:rsidRPr="00E727AF" w:rsidRDefault="00EB10AF" w:rsidP="00FB6278">
            <w:pPr>
              <w:jc w:val="center"/>
              <w:rPr>
                <w:rFonts w:ascii="Arial" w:hAnsi="Arial"/>
                <w:sz w:val="22"/>
              </w:rPr>
            </w:pPr>
            <w:r w:rsidRPr="00E727AF">
              <w:rPr>
                <w:rFonts w:ascii="Arial" w:hAnsi="Arial"/>
                <w:sz w:val="22"/>
              </w:rPr>
              <w:t>215.8</w:t>
            </w:r>
          </w:p>
        </w:tc>
        <w:tc>
          <w:tcPr>
            <w:tcW w:w="13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0D5233" w14:textId="77777777" w:rsidR="00EB10AF" w:rsidRPr="00E727AF" w:rsidRDefault="00EB10AF" w:rsidP="00FB6278">
            <w:pPr>
              <w:jc w:val="center"/>
              <w:rPr>
                <w:rFonts w:ascii="Arial" w:hAnsi="Arial"/>
                <w:sz w:val="22"/>
              </w:rPr>
            </w:pPr>
            <w:r w:rsidRPr="00E727AF">
              <w:rPr>
                <w:rFonts w:ascii="Arial" w:hAnsi="Arial"/>
                <w:sz w:val="22"/>
              </w:rPr>
              <w:t>193.6</w:t>
            </w:r>
          </w:p>
        </w:tc>
      </w:tr>
      <w:tr w:rsidR="00EB10AF" w:rsidRPr="00E711EE" w14:paraId="6096E992" w14:textId="77777777" w:rsidTr="005E0560">
        <w:trPr>
          <w:trHeight w:val="11"/>
        </w:trPr>
        <w:tc>
          <w:tcPr>
            <w:tcW w:w="2454" w:type="pct"/>
            <w:tcBorders>
              <w:top w:val="single" w:sz="4" w:space="0" w:color="000000"/>
              <w:left w:val="single" w:sz="6" w:space="0" w:color="000000"/>
              <w:bottom w:val="single" w:sz="4" w:space="0" w:color="000000"/>
              <w:right w:val="single" w:sz="4" w:space="0" w:color="000000"/>
            </w:tcBorders>
            <w:tcMar>
              <w:top w:w="80" w:type="dxa"/>
              <w:left w:w="283" w:type="dxa"/>
              <w:bottom w:w="80" w:type="dxa"/>
              <w:right w:w="80" w:type="dxa"/>
            </w:tcMar>
          </w:tcPr>
          <w:p w14:paraId="4F0CD4AD" w14:textId="77777777" w:rsidR="00EB10AF" w:rsidRPr="00E727AF" w:rsidRDefault="00EB10AF" w:rsidP="00FB6278">
            <w:pPr>
              <w:rPr>
                <w:rFonts w:ascii="Arial" w:hAnsi="Arial"/>
                <w:sz w:val="22"/>
              </w:rPr>
            </w:pPr>
            <w:r w:rsidRPr="00E727AF">
              <w:rPr>
                <w:rFonts w:ascii="Arial" w:hAnsi="Arial"/>
                <w:sz w:val="22"/>
              </w:rPr>
              <w:t>Private patient income</w:t>
            </w:r>
          </w:p>
        </w:tc>
        <w:tc>
          <w:tcPr>
            <w:tcW w:w="1230" w:type="pct"/>
            <w:tcBorders>
              <w:top w:val="single" w:sz="4" w:space="0" w:color="000000"/>
              <w:left w:val="single" w:sz="4" w:space="0" w:color="000000"/>
              <w:bottom w:val="single" w:sz="4" w:space="0" w:color="000000"/>
              <w:right w:val="single" w:sz="4" w:space="0" w:color="000000"/>
            </w:tcBorders>
          </w:tcPr>
          <w:p w14:paraId="3A47E1D8" w14:textId="77777777" w:rsidR="00EB10AF" w:rsidRPr="00E727AF" w:rsidRDefault="00EB10AF" w:rsidP="00FB6278">
            <w:pPr>
              <w:jc w:val="center"/>
              <w:rPr>
                <w:rFonts w:ascii="Arial" w:hAnsi="Arial"/>
                <w:sz w:val="22"/>
              </w:rPr>
            </w:pPr>
            <w:r w:rsidRPr="00E727AF">
              <w:rPr>
                <w:rFonts w:ascii="Arial" w:hAnsi="Arial"/>
                <w:sz w:val="22"/>
              </w:rPr>
              <w:t>37.2</w:t>
            </w:r>
          </w:p>
        </w:tc>
        <w:tc>
          <w:tcPr>
            <w:tcW w:w="13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AFE2A6" w14:textId="77777777" w:rsidR="00EB10AF" w:rsidRPr="00E727AF" w:rsidRDefault="00EB10AF" w:rsidP="00FB6278">
            <w:pPr>
              <w:jc w:val="center"/>
              <w:rPr>
                <w:rFonts w:ascii="Arial" w:hAnsi="Arial"/>
                <w:sz w:val="22"/>
              </w:rPr>
            </w:pPr>
            <w:r w:rsidRPr="00E727AF">
              <w:rPr>
                <w:rFonts w:ascii="Arial" w:hAnsi="Arial"/>
                <w:sz w:val="22"/>
              </w:rPr>
              <w:t>24.3</w:t>
            </w:r>
          </w:p>
        </w:tc>
      </w:tr>
      <w:tr w:rsidR="00EB10AF" w:rsidRPr="00E711EE" w14:paraId="24EF4FA4" w14:textId="77777777" w:rsidTr="005E0560">
        <w:trPr>
          <w:trHeight w:val="11"/>
        </w:trPr>
        <w:tc>
          <w:tcPr>
            <w:tcW w:w="2454" w:type="pct"/>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14:paraId="188B7C34" w14:textId="77777777" w:rsidR="00EB10AF" w:rsidRPr="00E727AF" w:rsidRDefault="00EB10AF" w:rsidP="00FB6278">
            <w:pPr>
              <w:rPr>
                <w:rFonts w:ascii="Arial" w:hAnsi="Arial"/>
                <w:b/>
                <w:sz w:val="22"/>
              </w:rPr>
            </w:pPr>
            <w:r w:rsidRPr="00E727AF">
              <w:rPr>
                <w:rFonts w:ascii="Arial" w:hAnsi="Arial"/>
                <w:b/>
                <w:sz w:val="22"/>
              </w:rPr>
              <w:t>Total income from activities</w:t>
            </w:r>
          </w:p>
        </w:tc>
        <w:tc>
          <w:tcPr>
            <w:tcW w:w="1230" w:type="pct"/>
            <w:tcBorders>
              <w:top w:val="single" w:sz="4" w:space="0" w:color="000000"/>
              <w:left w:val="single" w:sz="4" w:space="0" w:color="000000"/>
              <w:bottom w:val="single" w:sz="4" w:space="0" w:color="000000"/>
              <w:right w:val="single" w:sz="4" w:space="0" w:color="000000"/>
            </w:tcBorders>
          </w:tcPr>
          <w:p w14:paraId="3A289B87" w14:textId="77777777" w:rsidR="00EB10AF" w:rsidRPr="00E727AF" w:rsidRDefault="00EB10AF" w:rsidP="00FB6278">
            <w:pPr>
              <w:jc w:val="center"/>
              <w:rPr>
                <w:rFonts w:ascii="Arial" w:hAnsi="Arial"/>
                <w:b/>
                <w:sz w:val="22"/>
              </w:rPr>
            </w:pPr>
            <w:r w:rsidRPr="00E727AF">
              <w:rPr>
                <w:rFonts w:ascii="Arial" w:hAnsi="Arial"/>
                <w:b/>
                <w:sz w:val="22"/>
              </w:rPr>
              <w:t>253.0</w:t>
            </w:r>
          </w:p>
        </w:tc>
        <w:tc>
          <w:tcPr>
            <w:tcW w:w="13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E34C34" w14:textId="77777777" w:rsidR="00EB10AF" w:rsidRPr="00E727AF" w:rsidRDefault="00EB10AF" w:rsidP="00FB6278">
            <w:pPr>
              <w:jc w:val="center"/>
              <w:rPr>
                <w:rFonts w:ascii="Arial" w:hAnsi="Arial"/>
                <w:b/>
                <w:sz w:val="22"/>
              </w:rPr>
            </w:pPr>
            <w:r w:rsidRPr="00E727AF">
              <w:rPr>
                <w:rFonts w:ascii="Arial" w:hAnsi="Arial"/>
                <w:b/>
                <w:sz w:val="22"/>
              </w:rPr>
              <w:t>217.9</w:t>
            </w:r>
          </w:p>
        </w:tc>
      </w:tr>
      <w:tr w:rsidR="00EB10AF" w:rsidRPr="00E711EE" w14:paraId="2E9ACECC" w14:textId="77777777" w:rsidTr="005E0560">
        <w:trPr>
          <w:trHeight w:val="11"/>
        </w:trPr>
        <w:tc>
          <w:tcPr>
            <w:tcW w:w="2454" w:type="pct"/>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14:paraId="0BCF1DE0" w14:textId="77777777" w:rsidR="00EB10AF" w:rsidRPr="00E727AF" w:rsidRDefault="00EB10AF" w:rsidP="00FB6278">
            <w:pPr>
              <w:rPr>
                <w:rFonts w:ascii="Arial" w:hAnsi="Arial"/>
                <w:sz w:val="22"/>
              </w:rPr>
            </w:pPr>
            <w:r w:rsidRPr="00E727AF">
              <w:rPr>
                <w:rFonts w:ascii="Arial" w:hAnsi="Arial"/>
                <w:sz w:val="22"/>
              </w:rPr>
              <w:t>Other operating income</w:t>
            </w:r>
          </w:p>
        </w:tc>
        <w:tc>
          <w:tcPr>
            <w:tcW w:w="1230" w:type="pct"/>
            <w:tcBorders>
              <w:top w:val="single" w:sz="4" w:space="0" w:color="000000"/>
              <w:left w:val="single" w:sz="4" w:space="0" w:color="000000"/>
              <w:bottom w:val="single" w:sz="4" w:space="0" w:color="000000"/>
              <w:right w:val="single" w:sz="4" w:space="0" w:color="000000"/>
            </w:tcBorders>
          </w:tcPr>
          <w:p w14:paraId="23B9BEF1" w14:textId="77777777" w:rsidR="00EB10AF" w:rsidRPr="00E727AF" w:rsidRDefault="00EB10AF" w:rsidP="00FB6278">
            <w:pPr>
              <w:jc w:val="center"/>
              <w:rPr>
                <w:rFonts w:ascii="Arial" w:hAnsi="Arial"/>
                <w:sz w:val="22"/>
              </w:rPr>
            </w:pPr>
            <w:r w:rsidRPr="00E727AF">
              <w:rPr>
                <w:rFonts w:ascii="Arial" w:hAnsi="Arial"/>
                <w:sz w:val="22"/>
              </w:rPr>
              <w:t>30.8</w:t>
            </w:r>
          </w:p>
        </w:tc>
        <w:tc>
          <w:tcPr>
            <w:tcW w:w="13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DEEF9B" w14:textId="77777777" w:rsidR="00EB10AF" w:rsidRPr="00E727AF" w:rsidRDefault="00EB10AF" w:rsidP="00FB6278">
            <w:pPr>
              <w:jc w:val="center"/>
              <w:rPr>
                <w:rFonts w:ascii="Arial" w:hAnsi="Arial"/>
                <w:sz w:val="22"/>
              </w:rPr>
            </w:pPr>
            <w:r w:rsidRPr="00E727AF">
              <w:rPr>
                <w:rFonts w:ascii="Arial" w:hAnsi="Arial"/>
                <w:sz w:val="22"/>
              </w:rPr>
              <w:t>26.1</w:t>
            </w:r>
          </w:p>
        </w:tc>
      </w:tr>
      <w:tr w:rsidR="00EB10AF" w:rsidRPr="00E711EE" w14:paraId="1D59E3E0" w14:textId="77777777" w:rsidTr="005E0560">
        <w:trPr>
          <w:trHeight w:val="11"/>
        </w:trPr>
        <w:tc>
          <w:tcPr>
            <w:tcW w:w="2454" w:type="pct"/>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14:paraId="03FC3883" w14:textId="77777777" w:rsidR="00EB10AF" w:rsidRPr="00E727AF" w:rsidRDefault="00EB10AF" w:rsidP="00FB6278">
            <w:pPr>
              <w:rPr>
                <w:rFonts w:ascii="Arial" w:hAnsi="Arial"/>
                <w:b/>
                <w:sz w:val="22"/>
              </w:rPr>
            </w:pPr>
            <w:r w:rsidRPr="00E727AF">
              <w:rPr>
                <w:rFonts w:ascii="Arial" w:hAnsi="Arial"/>
                <w:b/>
                <w:sz w:val="22"/>
              </w:rPr>
              <w:t>Total other operating income</w:t>
            </w:r>
          </w:p>
        </w:tc>
        <w:tc>
          <w:tcPr>
            <w:tcW w:w="1230" w:type="pct"/>
            <w:tcBorders>
              <w:top w:val="single" w:sz="4" w:space="0" w:color="000000"/>
              <w:left w:val="single" w:sz="4" w:space="0" w:color="000000"/>
              <w:bottom w:val="single" w:sz="4" w:space="0" w:color="000000"/>
              <w:right w:val="single" w:sz="4" w:space="0" w:color="000000"/>
            </w:tcBorders>
          </w:tcPr>
          <w:p w14:paraId="7E10A93E" w14:textId="77777777" w:rsidR="00EB10AF" w:rsidRPr="00E727AF" w:rsidRDefault="00EB10AF" w:rsidP="00FB6278">
            <w:pPr>
              <w:jc w:val="center"/>
              <w:rPr>
                <w:rFonts w:ascii="Arial" w:hAnsi="Arial"/>
                <w:b/>
                <w:sz w:val="22"/>
              </w:rPr>
            </w:pPr>
            <w:r w:rsidRPr="00E727AF">
              <w:rPr>
                <w:rFonts w:ascii="Arial" w:hAnsi="Arial"/>
                <w:b/>
                <w:sz w:val="22"/>
              </w:rPr>
              <w:t>30.8</w:t>
            </w:r>
          </w:p>
        </w:tc>
        <w:tc>
          <w:tcPr>
            <w:tcW w:w="13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399D71" w14:textId="77777777" w:rsidR="00EB10AF" w:rsidRPr="00E727AF" w:rsidRDefault="00EB10AF" w:rsidP="00FB6278">
            <w:pPr>
              <w:jc w:val="center"/>
              <w:rPr>
                <w:rFonts w:ascii="Arial" w:hAnsi="Arial"/>
                <w:b/>
                <w:sz w:val="22"/>
              </w:rPr>
            </w:pPr>
            <w:r w:rsidRPr="00E727AF">
              <w:rPr>
                <w:rFonts w:ascii="Arial" w:hAnsi="Arial"/>
                <w:b/>
                <w:sz w:val="22"/>
              </w:rPr>
              <w:t>26.1</w:t>
            </w:r>
          </w:p>
        </w:tc>
      </w:tr>
      <w:tr w:rsidR="00EB10AF" w:rsidRPr="00E711EE" w14:paraId="7F654E65" w14:textId="77777777" w:rsidTr="005E0560">
        <w:trPr>
          <w:trHeight w:val="11"/>
        </w:trPr>
        <w:tc>
          <w:tcPr>
            <w:tcW w:w="2454" w:type="pct"/>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14:paraId="1C87CA77" w14:textId="77777777" w:rsidR="00EB10AF" w:rsidRPr="00E727AF" w:rsidRDefault="00EB10AF" w:rsidP="00FB6278">
            <w:pPr>
              <w:rPr>
                <w:rFonts w:ascii="Arial" w:hAnsi="Arial"/>
                <w:b/>
                <w:sz w:val="22"/>
              </w:rPr>
            </w:pPr>
            <w:r w:rsidRPr="00E727AF">
              <w:rPr>
                <w:rFonts w:ascii="Arial" w:hAnsi="Arial"/>
                <w:b/>
                <w:sz w:val="22"/>
              </w:rPr>
              <w:t>Total income</w:t>
            </w:r>
          </w:p>
        </w:tc>
        <w:tc>
          <w:tcPr>
            <w:tcW w:w="1230" w:type="pct"/>
            <w:tcBorders>
              <w:top w:val="single" w:sz="4" w:space="0" w:color="000000"/>
              <w:left w:val="single" w:sz="4" w:space="0" w:color="000000"/>
              <w:bottom w:val="single" w:sz="4" w:space="0" w:color="000000"/>
              <w:right w:val="single" w:sz="4" w:space="0" w:color="000000"/>
            </w:tcBorders>
          </w:tcPr>
          <w:p w14:paraId="206EF2A7" w14:textId="77777777" w:rsidR="00EB10AF" w:rsidRPr="00E727AF" w:rsidRDefault="00EB10AF" w:rsidP="00FB6278">
            <w:pPr>
              <w:jc w:val="center"/>
              <w:rPr>
                <w:rFonts w:ascii="Arial" w:hAnsi="Arial"/>
                <w:b/>
                <w:sz w:val="22"/>
              </w:rPr>
            </w:pPr>
            <w:r w:rsidRPr="00E727AF">
              <w:rPr>
                <w:rFonts w:ascii="Arial" w:hAnsi="Arial"/>
                <w:b/>
                <w:sz w:val="22"/>
              </w:rPr>
              <w:t>283.8</w:t>
            </w:r>
          </w:p>
        </w:tc>
        <w:tc>
          <w:tcPr>
            <w:tcW w:w="13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5FA5B7" w14:textId="77777777" w:rsidR="00EB10AF" w:rsidRPr="00E727AF" w:rsidRDefault="00EB10AF" w:rsidP="00FB6278">
            <w:pPr>
              <w:jc w:val="center"/>
              <w:rPr>
                <w:rFonts w:ascii="Arial" w:hAnsi="Arial"/>
                <w:b/>
                <w:sz w:val="22"/>
              </w:rPr>
            </w:pPr>
            <w:r w:rsidRPr="00E727AF">
              <w:rPr>
                <w:rFonts w:ascii="Arial" w:hAnsi="Arial"/>
                <w:b/>
                <w:sz w:val="22"/>
              </w:rPr>
              <w:t>244.0</w:t>
            </w:r>
          </w:p>
        </w:tc>
      </w:tr>
      <w:tr w:rsidR="00EB10AF" w:rsidRPr="00E711EE" w14:paraId="748B47F1" w14:textId="77777777" w:rsidTr="005E0560">
        <w:trPr>
          <w:trHeight w:val="64"/>
        </w:trPr>
        <w:tc>
          <w:tcPr>
            <w:tcW w:w="2454" w:type="pct"/>
            <w:tcBorders>
              <w:top w:val="single" w:sz="4" w:space="0" w:color="000000"/>
              <w:left w:val="single" w:sz="6" w:space="0" w:color="000000"/>
              <w:bottom w:val="single" w:sz="8" w:space="0" w:color="000000"/>
              <w:right w:val="single" w:sz="6" w:space="0" w:color="000000"/>
            </w:tcBorders>
            <w:tcMar>
              <w:top w:w="80" w:type="dxa"/>
              <w:left w:w="80" w:type="dxa"/>
              <w:bottom w:w="80" w:type="dxa"/>
              <w:right w:w="80" w:type="dxa"/>
            </w:tcMar>
            <w:vAlign w:val="bottom"/>
          </w:tcPr>
          <w:p w14:paraId="6C7D6EA0" w14:textId="77777777" w:rsidR="00EB10AF" w:rsidRPr="00E727AF" w:rsidRDefault="00EB10AF" w:rsidP="00FB6278">
            <w:pPr>
              <w:rPr>
                <w:rFonts w:ascii="Arial" w:hAnsi="Arial"/>
                <w:b/>
                <w:sz w:val="22"/>
              </w:rPr>
            </w:pPr>
          </w:p>
        </w:tc>
        <w:tc>
          <w:tcPr>
            <w:tcW w:w="1230" w:type="pct"/>
            <w:tcBorders>
              <w:top w:val="single" w:sz="4" w:space="0" w:color="000000"/>
              <w:left w:val="single" w:sz="6" w:space="0" w:color="000000"/>
              <w:bottom w:val="single" w:sz="8" w:space="0" w:color="000000"/>
              <w:right w:val="single" w:sz="6" w:space="0" w:color="000000"/>
            </w:tcBorders>
          </w:tcPr>
          <w:p w14:paraId="2309ECBC" w14:textId="77777777" w:rsidR="00EB10AF" w:rsidRPr="00E727AF" w:rsidRDefault="00EB10AF" w:rsidP="00FB6278">
            <w:pPr>
              <w:jc w:val="center"/>
              <w:rPr>
                <w:rFonts w:ascii="Arial" w:hAnsi="Arial"/>
                <w:b/>
                <w:color w:val="FF0000"/>
                <w:sz w:val="22"/>
              </w:rPr>
            </w:pPr>
          </w:p>
        </w:tc>
        <w:tc>
          <w:tcPr>
            <w:tcW w:w="1316" w:type="pct"/>
            <w:tcBorders>
              <w:top w:val="single" w:sz="4" w:space="0" w:color="000000"/>
              <w:left w:val="single" w:sz="6" w:space="0" w:color="000000"/>
              <w:bottom w:val="single" w:sz="8" w:space="0" w:color="000000"/>
              <w:right w:val="single" w:sz="6" w:space="0" w:color="000000"/>
            </w:tcBorders>
            <w:tcMar>
              <w:top w:w="80" w:type="dxa"/>
              <w:left w:w="80" w:type="dxa"/>
              <w:bottom w:w="80" w:type="dxa"/>
              <w:right w:w="80" w:type="dxa"/>
            </w:tcMar>
          </w:tcPr>
          <w:p w14:paraId="4ECB9E78" w14:textId="77777777" w:rsidR="00EB10AF" w:rsidRPr="00E727AF" w:rsidRDefault="00EB10AF" w:rsidP="00FB6278">
            <w:pPr>
              <w:jc w:val="center"/>
              <w:rPr>
                <w:rFonts w:ascii="Arial" w:hAnsi="Arial"/>
                <w:b/>
                <w:color w:val="FF0000"/>
                <w:sz w:val="22"/>
              </w:rPr>
            </w:pPr>
          </w:p>
        </w:tc>
      </w:tr>
      <w:tr w:rsidR="00EB10AF" w:rsidRPr="00E711EE" w14:paraId="197C65D6" w14:textId="77777777" w:rsidTr="005E0560">
        <w:trPr>
          <w:trHeight w:val="64"/>
        </w:trPr>
        <w:tc>
          <w:tcPr>
            <w:tcW w:w="2454" w:type="pct"/>
            <w:tcBorders>
              <w:top w:val="single" w:sz="4" w:space="0" w:color="000000"/>
              <w:left w:val="single" w:sz="6" w:space="0" w:color="000000"/>
              <w:bottom w:val="single" w:sz="8" w:space="0" w:color="000000"/>
              <w:right w:val="single" w:sz="6" w:space="0" w:color="000000"/>
            </w:tcBorders>
            <w:tcMar>
              <w:top w:w="80" w:type="dxa"/>
              <w:left w:w="80" w:type="dxa"/>
              <w:bottom w:w="80" w:type="dxa"/>
              <w:right w:w="80" w:type="dxa"/>
            </w:tcMar>
            <w:vAlign w:val="bottom"/>
          </w:tcPr>
          <w:p w14:paraId="1E53ED67" w14:textId="77777777" w:rsidR="00EB10AF" w:rsidRPr="00E727AF" w:rsidRDefault="00EB10AF" w:rsidP="00FB6278">
            <w:pPr>
              <w:rPr>
                <w:rFonts w:ascii="Arial" w:hAnsi="Arial"/>
                <w:b/>
                <w:sz w:val="22"/>
              </w:rPr>
            </w:pPr>
            <w:r w:rsidRPr="00E727AF">
              <w:rPr>
                <w:rFonts w:ascii="Arial" w:hAnsi="Arial"/>
                <w:b/>
                <w:sz w:val="22"/>
              </w:rPr>
              <w:t>Expenses</w:t>
            </w:r>
          </w:p>
        </w:tc>
        <w:tc>
          <w:tcPr>
            <w:tcW w:w="1230" w:type="pct"/>
            <w:tcBorders>
              <w:top w:val="single" w:sz="4" w:space="0" w:color="000000"/>
              <w:left w:val="single" w:sz="6" w:space="0" w:color="000000"/>
              <w:bottom w:val="single" w:sz="8" w:space="0" w:color="000000"/>
              <w:right w:val="single" w:sz="6" w:space="0" w:color="000000"/>
            </w:tcBorders>
          </w:tcPr>
          <w:p w14:paraId="14C73DD8" w14:textId="77777777" w:rsidR="00EB10AF" w:rsidRPr="00E727AF" w:rsidRDefault="00EB10AF" w:rsidP="00FB6278">
            <w:pPr>
              <w:jc w:val="center"/>
              <w:rPr>
                <w:rFonts w:ascii="Arial" w:hAnsi="Arial"/>
                <w:b/>
                <w:color w:val="FF0000"/>
                <w:sz w:val="22"/>
              </w:rPr>
            </w:pPr>
          </w:p>
        </w:tc>
        <w:tc>
          <w:tcPr>
            <w:tcW w:w="1316" w:type="pct"/>
            <w:tcBorders>
              <w:top w:val="single" w:sz="4" w:space="0" w:color="000000"/>
              <w:left w:val="single" w:sz="6" w:space="0" w:color="000000"/>
              <w:bottom w:val="single" w:sz="8" w:space="0" w:color="000000"/>
              <w:right w:val="single" w:sz="6" w:space="0" w:color="000000"/>
            </w:tcBorders>
            <w:tcMar>
              <w:top w:w="80" w:type="dxa"/>
              <w:left w:w="80" w:type="dxa"/>
              <w:bottom w:w="80" w:type="dxa"/>
              <w:right w:w="80" w:type="dxa"/>
            </w:tcMar>
          </w:tcPr>
          <w:p w14:paraId="3A9C4E80" w14:textId="77777777" w:rsidR="00EB10AF" w:rsidRPr="00E727AF" w:rsidRDefault="00EB10AF" w:rsidP="00FB6278">
            <w:pPr>
              <w:jc w:val="center"/>
              <w:rPr>
                <w:rFonts w:ascii="Arial" w:hAnsi="Arial"/>
                <w:b/>
                <w:color w:val="FF0000"/>
                <w:sz w:val="22"/>
              </w:rPr>
            </w:pPr>
          </w:p>
        </w:tc>
      </w:tr>
      <w:tr w:rsidR="00EB10AF" w:rsidRPr="00E711EE" w14:paraId="2E0675A0" w14:textId="77777777" w:rsidTr="005E0560">
        <w:trPr>
          <w:trHeight w:val="11"/>
        </w:trPr>
        <w:tc>
          <w:tcPr>
            <w:tcW w:w="2454" w:type="pct"/>
            <w:tcBorders>
              <w:top w:val="single" w:sz="8" w:space="0" w:color="000000"/>
              <w:left w:val="single" w:sz="6" w:space="0" w:color="000000"/>
              <w:bottom w:val="single" w:sz="4" w:space="0" w:color="000000"/>
              <w:right w:val="single" w:sz="4" w:space="0" w:color="000000"/>
            </w:tcBorders>
            <w:tcMar>
              <w:top w:w="80" w:type="dxa"/>
              <w:left w:w="80" w:type="dxa"/>
              <w:bottom w:w="80" w:type="dxa"/>
              <w:right w:w="80" w:type="dxa"/>
            </w:tcMar>
          </w:tcPr>
          <w:p w14:paraId="545B7458" w14:textId="77777777" w:rsidR="00EB10AF" w:rsidRPr="00E727AF" w:rsidRDefault="00EB10AF" w:rsidP="00FB6278">
            <w:pPr>
              <w:rPr>
                <w:rFonts w:ascii="Arial" w:hAnsi="Arial"/>
                <w:sz w:val="22"/>
              </w:rPr>
            </w:pPr>
            <w:r w:rsidRPr="00E727AF">
              <w:rPr>
                <w:rFonts w:ascii="Arial" w:hAnsi="Arial"/>
                <w:sz w:val="22"/>
              </w:rPr>
              <w:t>Pay costs</w:t>
            </w:r>
          </w:p>
        </w:tc>
        <w:tc>
          <w:tcPr>
            <w:tcW w:w="1230" w:type="pct"/>
            <w:tcBorders>
              <w:top w:val="single" w:sz="8" w:space="0" w:color="000000"/>
              <w:left w:val="single" w:sz="4" w:space="0" w:color="000000"/>
              <w:bottom w:val="single" w:sz="4" w:space="0" w:color="000000"/>
              <w:right w:val="single" w:sz="4" w:space="0" w:color="000000"/>
            </w:tcBorders>
          </w:tcPr>
          <w:p w14:paraId="538B373F" w14:textId="77777777" w:rsidR="00EB10AF" w:rsidRPr="00E727AF" w:rsidRDefault="00EB10AF" w:rsidP="00FB6278">
            <w:pPr>
              <w:jc w:val="center"/>
              <w:rPr>
                <w:rFonts w:ascii="Arial" w:hAnsi="Arial"/>
                <w:sz w:val="22"/>
              </w:rPr>
            </w:pPr>
            <w:r w:rsidRPr="00E727AF">
              <w:rPr>
                <w:rFonts w:ascii="Arial" w:hAnsi="Arial"/>
                <w:sz w:val="22"/>
              </w:rPr>
              <w:t>145.8</w:t>
            </w:r>
          </w:p>
        </w:tc>
        <w:tc>
          <w:tcPr>
            <w:tcW w:w="1316" w:type="pct"/>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D35F94" w14:textId="77777777" w:rsidR="00EB10AF" w:rsidRPr="00E727AF" w:rsidRDefault="00EB10AF" w:rsidP="00FB6278">
            <w:pPr>
              <w:jc w:val="center"/>
              <w:rPr>
                <w:rFonts w:ascii="Arial" w:hAnsi="Arial"/>
                <w:sz w:val="22"/>
              </w:rPr>
            </w:pPr>
            <w:r w:rsidRPr="00E727AF">
              <w:rPr>
                <w:rFonts w:ascii="Arial" w:hAnsi="Arial"/>
                <w:sz w:val="22"/>
              </w:rPr>
              <w:t>133.2</w:t>
            </w:r>
          </w:p>
        </w:tc>
      </w:tr>
      <w:tr w:rsidR="00EB10AF" w:rsidRPr="00E711EE" w14:paraId="3E6444EC" w14:textId="77777777" w:rsidTr="005E0560">
        <w:trPr>
          <w:trHeight w:val="11"/>
        </w:trPr>
        <w:tc>
          <w:tcPr>
            <w:tcW w:w="2454" w:type="pct"/>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14:paraId="48DB5231" w14:textId="77777777" w:rsidR="00EB10AF" w:rsidRPr="00E727AF" w:rsidRDefault="00EB10AF" w:rsidP="00FB6278">
            <w:pPr>
              <w:rPr>
                <w:rFonts w:ascii="Arial" w:hAnsi="Arial"/>
                <w:sz w:val="22"/>
              </w:rPr>
            </w:pPr>
            <w:r w:rsidRPr="00E727AF">
              <w:rPr>
                <w:rFonts w:ascii="Arial" w:hAnsi="Arial"/>
                <w:sz w:val="22"/>
              </w:rPr>
              <w:t>Non-pay costs</w:t>
            </w:r>
          </w:p>
        </w:tc>
        <w:tc>
          <w:tcPr>
            <w:tcW w:w="1230" w:type="pct"/>
            <w:tcBorders>
              <w:top w:val="single" w:sz="4" w:space="0" w:color="000000"/>
              <w:left w:val="single" w:sz="4" w:space="0" w:color="000000"/>
              <w:bottom w:val="single" w:sz="4" w:space="0" w:color="000000"/>
              <w:right w:val="single" w:sz="4" w:space="0" w:color="000000"/>
            </w:tcBorders>
          </w:tcPr>
          <w:p w14:paraId="20ECFE31" w14:textId="77777777" w:rsidR="00EB10AF" w:rsidRPr="00E727AF" w:rsidRDefault="00EB10AF" w:rsidP="00FB6278">
            <w:pPr>
              <w:jc w:val="center"/>
              <w:rPr>
                <w:rFonts w:ascii="Arial" w:hAnsi="Arial"/>
                <w:sz w:val="22"/>
              </w:rPr>
            </w:pPr>
            <w:r w:rsidRPr="00E727AF">
              <w:rPr>
                <w:rFonts w:ascii="Arial" w:hAnsi="Arial"/>
                <w:sz w:val="22"/>
              </w:rPr>
              <w:t>108.9</w:t>
            </w:r>
          </w:p>
        </w:tc>
        <w:tc>
          <w:tcPr>
            <w:tcW w:w="13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E04FDA" w14:textId="77777777" w:rsidR="00EB10AF" w:rsidRPr="00E727AF" w:rsidRDefault="00EB10AF" w:rsidP="00FB6278">
            <w:pPr>
              <w:jc w:val="center"/>
              <w:rPr>
                <w:rFonts w:ascii="Arial" w:hAnsi="Arial"/>
                <w:sz w:val="22"/>
              </w:rPr>
            </w:pPr>
            <w:r w:rsidRPr="00E727AF">
              <w:rPr>
                <w:rFonts w:ascii="Arial" w:hAnsi="Arial"/>
                <w:sz w:val="22"/>
              </w:rPr>
              <w:t>95.9</w:t>
            </w:r>
          </w:p>
        </w:tc>
      </w:tr>
      <w:tr w:rsidR="00EB10AF" w:rsidRPr="00E711EE" w14:paraId="34626084" w14:textId="77777777" w:rsidTr="005E0560">
        <w:trPr>
          <w:trHeight w:val="11"/>
        </w:trPr>
        <w:tc>
          <w:tcPr>
            <w:tcW w:w="2454" w:type="pct"/>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14:paraId="27B4ECB3" w14:textId="77777777" w:rsidR="00EB10AF" w:rsidRPr="00E727AF" w:rsidRDefault="00EB10AF" w:rsidP="00FB6278">
            <w:pPr>
              <w:rPr>
                <w:rFonts w:ascii="Arial" w:hAnsi="Arial"/>
                <w:sz w:val="22"/>
              </w:rPr>
            </w:pPr>
            <w:r w:rsidRPr="00E727AF">
              <w:rPr>
                <w:rFonts w:ascii="Arial" w:hAnsi="Arial"/>
                <w:sz w:val="22"/>
              </w:rPr>
              <w:t>Depreciation and amortisation</w:t>
            </w:r>
          </w:p>
        </w:tc>
        <w:tc>
          <w:tcPr>
            <w:tcW w:w="1230" w:type="pct"/>
            <w:tcBorders>
              <w:top w:val="single" w:sz="4" w:space="0" w:color="000000"/>
              <w:left w:val="single" w:sz="4" w:space="0" w:color="000000"/>
              <w:bottom w:val="single" w:sz="4" w:space="0" w:color="000000"/>
              <w:right w:val="single" w:sz="4" w:space="0" w:color="000000"/>
            </w:tcBorders>
          </w:tcPr>
          <w:p w14:paraId="62E95622" w14:textId="77777777" w:rsidR="00EB10AF" w:rsidRPr="00E727AF" w:rsidRDefault="00EB10AF" w:rsidP="00FB6278">
            <w:pPr>
              <w:jc w:val="center"/>
              <w:rPr>
                <w:rFonts w:ascii="Arial" w:hAnsi="Arial"/>
                <w:sz w:val="22"/>
              </w:rPr>
            </w:pPr>
            <w:r w:rsidRPr="00E727AF">
              <w:rPr>
                <w:rFonts w:ascii="Arial" w:hAnsi="Arial"/>
                <w:sz w:val="22"/>
              </w:rPr>
              <w:t>8.5</w:t>
            </w:r>
          </w:p>
        </w:tc>
        <w:tc>
          <w:tcPr>
            <w:tcW w:w="13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9A3EA7" w14:textId="77777777" w:rsidR="00EB10AF" w:rsidRPr="00E727AF" w:rsidRDefault="00EB10AF" w:rsidP="00FB6278">
            <w:pPr>
              <w:jc w:val="center"/>
              <w:rPr>
                <w:rFonts w:ascii="Arial" w:hAnsi="Arial"/>
                <w:sz w:val="22"/>
              </w:rPr>
            </w:pPr>
            <w:r w:rsidRPr="00E727AF">
              <w:rPr>
                <w:rFonts w:ascii="Arial" w:hAnsi="Arial"/>
                <w:sz w:val="22"/>
              </w:rPr>
              <w:t>8.6</w:t>
            </w:r>
          </w:p>
        </w:tc>
      </w:tr>
      <w:tr w:rsidR="00EB10AF" w:rsidRPr="00E711EE" w14:paraId="2E236AD8" w14:textId="77777777" w:rsidTr="005E0560">
        <w:trPr>
          <w:trHeight w:val="11"/>
        </w:trPr>
        <w:tc>
          <w:tcPr>
            <w:tcW w:w="2454" w:type="pct"/>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14:paraId="3D1D653F" w14:textId="77777777" w:rsidR="00EB10AF" w:rsidRPr="00E727AF" w:rsidRDefault="00EB10AF" w:rsidP="00FB6278">
            <w:pPr>
              <w:rPr>
                <w:rFonts w:ascii="Arial" w:hAnsi="Arial"/>
                <w:b/>
                <w:sz w:val="22"/>
              </w:rPr>
            </w:pPr>
            <w:r w:rsidRPr="00E727AF">
              <w:rPr>
                <w:rFonts w:ascii="Arial" w:hAnsi="Arial"/>
                <w:b/>
                <w:sz w:val="22"/>
              </w:rPr>
              <w:t>Total operating expenses</w:t>
            </w:r>
          </w:p>
          <w:p w14:paraId="2BC1EBB1" w14:textId="77777777" w:rsidR="00EB10AF" w:rsidRPr="00E727AF" w:rsidRDefault="00EB10AF" w:rsidP="00FB6278">
            <w:pPr>
              <w:rPr>
                <w:rFonts w:ascii="Arial" w:hAnsi="Arial"/>
                <w:b/>
                <w:sz w:val="22"/>
              </w:rPr>
            </w:pPr>
          </w:p>
        </w:tc>
        <w:tc>
          <w:tcPr>
            <w:tcW w:w="1230" w:type="pct"/>
            <w:tcBorders>
              <w:top w:val="single" w:sz="4" w:space="0" w:color="000000"/>
              <w:left w:val="single" w:sz="4" w:space="0" w:color="000000"/>
              <w:bottom w:val="single" w:sz="4" w:space="0" w:color="000000"/>
              <w:right w:val="single" w:sz="4" w:space="0" w:color="000000"/>
            </w:tcBorders>
          </w:tcPr>
          <w:p w14:paraId="497BBBEB" w14:textId="77777777" w:rsidR="00EB10AF" w:rsidRPr="00E727AF" w:rsidRDefault="00EB10AF" w:rsidP="00FB6278">
            <w:pPr>
              <w:jc w:val="center"/>
              <w:rPr>
                <w:rFonts w:ascii="Arial" w:hAnsi="Arial"/>
                <w:b/>
                <w:sz w:val="22"/>
              </w:rPr>
            </w:pPr>
            <w:r w:rsidRPr="00E727AF">
              <w:rPr>
                <w:rFonts w:ascii="Arial" w:hAnsi="Arial"/>
                <w:b/>
                <w:sz w:val="22"/>
              </w:rPr>
              <w:t>263.2</w:t>
            </w:r>
          </w:p>
        </w:tc>
        <w:tc>
          <w:tcPr>
            <w:tcW w:w="13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E4FF50" w14:textId="77777777" w:rsidR="00EB10AF" w:rsidRPr="00E727AF" w:rsidRDefault="00EB10AF" w:rsidP="00FB6278">
            <w:pPr>
              <w:jc w:val="center"/>
              <w:rPr>
                <w:rFonts w:ascii="Arial" w:hAnsi="Arial"/>
                <w:b/>
                <w:sz w:val="22"/>
              </w:rPr>
            </w:pPr>
            <w:r w:rsidRPr="00E727AF">
              <w:rPr>
                <w:rFonts w:ascii="Arial" w:hAnsi="Arial"/>
                <w:b/>
                <w:sz w:val="22"/>
              </w:rPr>
              <w:t>237.7</w:t>
            </w:r>
          </w:p>
        </w:tc>
      </w:tr>
      <w:tr w:rsidR="00EB10AF" w:rsidRPr="00E711EE" w14:paraId="356DAC1F" w14:textId="77777777" w:rsidTr="005E0560">
        <w:trPr>
          <w:trHeight w:val="11"/>
        </w:trPr>
        <w:tc>
          <w:tcPr>
            <w:tcW w:w="2454" w:type="pct"/>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14:paraId="1FC69E96" w14:textId="77777777" w:rsidR="00EB10AF" w:rsidRPr="00E727AF" w:rsidRDefault="00EB10AF" w:rsidP="00FB6278">
            <w:pPr>
              <w:rPr>
                <w:rFonts w:ascii="Arial" w:hAnsi="Arial"/>
                <w:b/>
                <w:sz w:val="22"/>
              </w:rPr>
            </w:pPr>
            <w:r w:rsidRPr="00E727AF">
              <w:rPr>
                <w:rFonts w:ascii="Arial" w:hAnsi="Arial"/>
                <w:b/>
                <w:sz w:val="22"/>
              </w:rPr>
              <w:t>Operating surplus</w:t>
            </w:r>
          </w:p>
        </w:tc>
        <w:tc>
          <w:tcPr>
            <w:tcW w:w="1230" w:type="pct"/>
            <w:tcBorders>
              <w:top w:val="single" w:sz="4" w:space="0" w:color="000000"/>
              <w:left w:val="single" w:sz="4" w:space="0" w:color="000000"/>
              <w:bottom w:val="single" w:sz="4" w:space="0" w:color="000000"/>
              <w:right w:val="single" w:sz="4" w:space="0" w:color="000000"/>
            </w:tcBorders>
          </w:tcPr>
          <w:p w14:paraId="21BEAA39" w14:textId="77777777" w:rsidR="00EB10AF" w:rsidRPr="00E727AF" w:rsidRDefault="00EB10AF" w:rsidP="00FB6278">
            <w:pPr>
              <w:jc w:val="center"/>
              <w:rPr>
                <w:rFonts w:ascii="Arial" w:hAnsi="Arial"/>
                <w:b/>
                <w:sz w:val="22"/>
              </w:rPr>
            </w:pPr>
            <w:r w:rsidRPr="00E727AF">
              <w:rPr>
                <w:rFonts w:ascii="Arial" w:hAnsi="Arial"/>
                <w:b/>
                <w:sz w:val="22"/>
              </w:rPr>
              <w:t>20.6</w:t>
            </w:r>
          </w:p>
        </w:tc>
        <w:tc>
          <w:tcPr>
            <w:tcW w:w="13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951C5C" w14:textId="77777777" w:rsidR="00EB10AF" w:rsidRPr="00E727AF" w:rsidRDefault="00EB10AF" w:rsidP="00FB6278">
            <w:pPr>
              <w:jc w:val="center"/>
              <w:rPr>
                <w:rFonts w:ascii="Arial" w:hAnsi="Arial"/>
                <w:b/>
                <w:sz w:val="22"/>
              </w:rPr>
            </w:pPr>
            <w:r w:rsidRPr="00E727AF">
              <w:rPr>
                <w:rFonts w:ascii="Arial" w:hAnsi="Arial"/>
                <w:b/>
                <w:sz w:val="22"/>
              </w:rPr>
              <w:t>6.3</w:t>
            </w:r>
          </w:p>
        </w:tc>
      </w:tr>
      <w:tr w:rsidR="00EB10AF" w:rsidRPr="00E711EE" w14:paraId="1A93E957" w14:textId="77777777" w:rsidTr="005E0560">
        <w:trPr>
          <w:trHeight w:val="446"/>
        </w:trPr>
        <w:tc>
          <w:tcPr>
            <w:tcW w:w="2454" w:type="pct"/>
            <w:tcBorders>
              <w:top w:val="single" w:sz="4" w:space="0" w:color="000000"/>
              <w:left w:val="single" w:sz="6" w:space="0" w:color="000000"/>
              <w:bottom w:val="single" w:sz="4" w:space="0" w:color="000000"/>
              <w:right w:val="single" w:sz="6" w:space="0" w:color="000000"/>
            </w:tcBorders>
            <w:tcMar>
              <w:top w:w="0" w:type="dxa"/>
              <w:left w:w="80" w:type="dxa"/>
              <w:bottom w:w="0" w:type="dxa"/>
              <w:right w:w="80" w:type="dxa"/>
            </w:tcMar>
          </w:tcPr>
          <w:p w14:paraId="4B70EBAA" w14:textId="77777777" w:rsidR="00EB10AF" w:rsidRPr="00E727AF" w:rsidRDefault="00EB10AF" w:rsidP="00FB6278">
            <w:pPr>
              <w:rPr>
                <w:rFonts w:ascii="Arial" w:hAnsi="Arial"/>
                <w:sz w:val="22"/>
              </w:rPr>
            </w:pPr>
          </w:p>
        </w:tc>
        <w:tc>
          <w:tcPr>
            <w:tcW w:w="1230" w:type="pct"/>
            <w:tcBorders>
              <w:top w:val="single" w:sz="4" w:space="0" w:color="000000"/>
              <w:left w:val="single" w:sz="6" w:space="0" w:color="000000"/>
              <w:bottom w:val="single" w:sz="4" w:space="0" w:color="000000"/>
              <w:right w:val="single" w:sz="6" w:space="0" w:color="000000"/>
            </w:tcBorders>
          </w:tcPr>
          <w:p w14:paraId="460DC0C2" w14:textId="77777777" w:rsidR="00EB10AF" w:rsidRPr="00E727AF" w:rsidRDefault="00EB10AF" w:rsidP="00FB6278">
            <w:pPr>
              <w:jc w:val="center"/>
              <w:rPr>
                <w:rFonts w:ascii="Arial" w:hAnsi="Arial"/>
                <w:color w:val="FF0000"/>
                <w:sz w:val="22"/>
              </w:rPr>
            </w:pPr>
          </w:p>
        </w:tc>
        <w:tc>
          <w:tcPr>
            <w:tcW w:w="1316" w:type="pct"/>
            <w:tcBorders>
              <w:top w:val="single" w:sz="4" w:space="0" w:color="000000"/>
              <w:left w:val="single" w:sz="6" w:space="0" w:color="000000"/>
              <w:bottom w:val="single" w:sz="4" w:space="0" w:color="000000"/>
              <w:right w:val="single" w:sz="6" w:space="0" w:color="000000"/>
            </w:tcBorders>
            <w:tcMar>
              <w:top w:w="0" w:type="dxa"/>
              <w:left w:w="80" w:type="dxa"/>
              <w:bottom w:w="0" w:type="dxa"/>
              <w:right w:w="80" w:type="dxa"/>
            </w:tcMar>
          </w:tcPr>
          <w:p w14:paraId="18A8B0D0" w14:textId="77777777" w:rsidR="00EB10AF" w:rsidRPr="00E727AF" w:rsidRDefault="00EB10AF" w:rsidP="00FB6278">
            <w:pPr>
              <w:jc w:val="center"/>
              <w:rPr>
                <w:rFonts w:ascii="Arial" w:hAnsi="Arial"/>
                <w:color w:val="FF0000"/>
                <w:sz w:val="22"/>
              </w:rPr>
            </w:pPr>
          </w:p>
        </w:tc>
      </w:tr>
      <w:tr w:rsidR="00EB10AF" w:rsidRPr="00E711EE" w14:paraId="3814A661" w14:textId="77777777" w:rsidTr="005E0560">
        <w:trPr>
          <w:trHeight w:val="11"/>
        </w:trPr>
        <w:tc>
          <w:tcPr>
            <w:tcW w:w="2454" w:type="pct"/>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14:paraId="376B76EA" w14:textId="77777777" w:rsidR="00EB10AF" w:rsidRPr="00E727AF" w:rsidRDefault="00EB10AF" w:rsidP="00FB6278">
            <w:pPr>
              <w:rPr>
                <w:rFonts w:ascii="Arial" w:hAnsi="Arial"/>
                <w:sz w:val="22"/>
              </w:rPr>
            </w:pPr>
            <w:r w:rsidRPr="00E727AF">
              <w:rPr>
                <w:rFonts w:ascii="Arial" w:hAnsi="Arial"/>
                <w:sz w:val="22"/>
              </w:rPr>
              <w:t>Interest and dividends</w:t>
            </w:r>
          </w:p>
        </w:tc>
        <w:tc>
          <w:tcPr>
            <w:tcW w:w="1230" w:type="pct"/>
            <w:tcBorders>
              <w:top w:val="single" w:sz="4" w:space="0" w:color="000000"/>
              <w:left w:val="single" w:sz="4" w:space="0" w:color="000000"/>
              <w:bottom w:val="single" w:sz="4" w:space="0" w:color="000000"/>
              <w:right w:val="single" w:sz="4" w:space="0" w:color="000000"/>
            </w:tcBorders>
          </w:tcPr>
          <w:p w14:paraId="30BDAD59" w14:textId="77777777" w:rsidR="00EB10AF" w:rsidRPr="00E727AF" w:rsidRDefault="00EB10AF" w:rsidP="00FB6278">
            <w:pPr>
              <w:jc w:val="center"/>
              <w:rPr>
                <w:rFonts w:ascii="Arial" w:hAnsi="Arial"/>
                <w:sz w:val="22"/>
              </w:rPr>
            </w:pPr>
            <w:r w:rsidRPr="00E727AF">
              <w:rPr>
                <w:rFonts w:ascii="Arial" w:hAnsi="Arial"/>
                <w:sz w:val="22"/>
              </w:rPr>
              <w:t>(1.5)</w:t>
            </w:r>
          </w:p>
        </w:tc>
        <w:tc>
          <w:tcPr>
            <w:tcW w:w="13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B00DF7" w14:textId="77777777" w:rsidR="00EB10AF" w:rsidRPr="00E727AF" w:rsidRDefault="00EB10AF" w:rsidP="00FB6278">
            <w:pPr>
              <w:jc w:val="center"/>
              <w:rPr>
                <w:rFonts w:ascii="Arial" w:hAnsi="Arial"/>
                <w:sz w:val="22"/>
              </w:rPr>
            </w:pPr>
            <w:r w:rsidRPr="00E727AF">
              <w:rPr>
                <w:rFonts w:ascii="Arial" w:hAnsi="Arial"/>
                <w:sz w:val="22"/>
              </w:rPr>
              <w:t>(1.0)</w:t>
            </w:r>
          </w:p>
        </w:tc>
      </w:tr>
      <w:tr w:rsidR="00EB10AF" w:rsidRPr="00E711EE" w14:paraId="7A221D27" w14:textId="77777777" w:rsidTr="005E0560">
        <w:trPr>
          <w:trHeight w:val="11"/>
        </w:trPr>
        <w:tc>
          <w:tcPr>
            <w:tcW w:w="2454" w:type="pct"/>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14:paraId="0B3FB594" w14:textId="77777777" w:rsidR="00EB10AF" w:rsidRPr="00E727AF" w:rsidRDefault="00EB10AF" w:rsidP="00FB6278">
            <w:pPr>
              <w:rPr>
                <w:rFonts w:ascii="Arial" w:hAnsi="Arial"/>
                <w:sz w:val="22"/>
              </w:rPr>
            </w:pPr>
            <w:r w:rsidRPr="00E727AF">
              <w:rPr>
                <w:rFonts w:ascii="Arial" w:hAnsi="Arial"/>
                <w:sz w:val="22"/>
              </w:rPr>
              <w:t>Other one-off gains for disposal of assets and share of JV profit / (loss)</w:t>
            </w:r>
          </w:p>
        </w:tc>
        <w:tc>
          <w:tcPr>
            <w:tcW w:w="1230" w:type="pct"/>
            <w:tcBorders>
              <w:top w:val="single" w:sz="4" w:space="0" w:color="000000"/>
              <w:left w:val="single" w:sz="4" w:space="0" w:color="000000"/>
              <w:bottom w:val="single" w:sz="4" w:space="0" w:color="000000"/>
              <w:right w:val="single" w:sz="4" w:space="0" w:color="000000"/>
            </w:tcBorders>
          </w:tcPr>
          <w:p w14:paraId="2625962E" w14:textId="77777777" w:rsidR="00EB10AF" w:rsidRPr="00E727AF" w:rsidRDefault="00EB10AF" w:rsidP="00FB6278">
            <w:pPr>
              <w:jc w:val="center"/>
              <w:rPr>
                <w:rFonts w:ascii="Arial" w:hAnsi="Arial"/>
                <w:sz w:val="22"/>
              </w:rPr>
            </w:pPr>
            <w:r w:rsidRPr="00E727AF">
              <w:rPr>
                <w:rFonts w:ascii="Arial" w:hAnsi="Arial"/>
                <w:sz w:val="22"/>
              </w:rPr>
              <w:t>0.3</w:t>
            </w:r>
          </w:p>
        </w:tc>
        <w:tc>
          <w:tcPr>
            <w:tcW w:w="13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FF2B05" w14:textId="77777777" w:rsidR="00EB10AF" w:rsidRPr="00E727AF" w:rsidRDefault="00EB10AF" w:rsidP="00FB6278">
            <w:pPr>
              <w:jc w:val="center"/>
              <w:rPr>
                <w:rFonts w:ascii="Arial" w:hAnsi="Arial"/>
                <w:sz w:val="22"/>
              </w:rPr>
            </w:pPr>
            <w:r w:rsidRPr="00E727AF">
              <w:rPr>
                <w:rFonts w:ascii="Arial" w:hAnsi="Arial"/>
                <w:sz w:val="22"/>
              </w:rPr>
              <w:t>0.1</w:t>
            </w:r>
          </w:p>
        </w:tc>
      </w:tr>
      <w:tr w:rsidR="00EB10AF" w:rsidRPr="00E711EE" w14:paraId="31C1D179" w14:textId="77777777" w:rsidTr="005E0560">
        <w:trPr>
          <w:trHeight w:val="45"/>
        </w:trPr>
        <w:tc>
          <w:tcPr>
            <w:tcW w:w="2454" w:type="pct"/>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14:paraId="09C5662B" w14:textId="77777777" w:rsidR="00EB10AF" w:rsidRPr="00E727AF" w:rsidRDefault="00EB10AF" w:rsidP="00FB6278">
            <w:pPr>
              <w:rPr>
                <w:rFonts w:ascii="Arial" w:hAnsi="Arial"/>
                <w:sz w:val="22"/>
              </w:rPr>
            </w:pPr>
          </w:p>
        </w:tc>
        <w:tc>
          <w:tcPr>
            <w:tcW w:w="1230" w:type="pct"/>
            <w:tcBorders>
              <w:top w:val="single" w:sz="4" w:space="0" w:color="000000"/>
              <w:left w:val="single" w:sz="4" w:space="0" w:color="000000"/>
              <w:bottom w:val="single" w:sz="4" w:space="0" w:color="000000"/>
              <w:right w:val="single" w:sz="4" w:space="0" w:color="000000"/>
            </w:tcBorders>
          </w:tcPr>
          <w:p w14:paraId="74ED42FB" w14:textId="77777777" w:rsidR="00EB10AF" w:rsidRPr="00E727AF" w:rsidRDefault="00EB10AF" w:rsidP="00FB6278">
            <w:pPr>
              <w:jc w:val="center"/>
              <w:rPr>
                <w:rFonts w:ascii="Arial" w:hAnsi="Arial"/>
                <w:color w:val="FF0000"/>
                <w:sz w:val="22"/>
              </w:rPr>
            </w:pPr>
          </w:p>
        </w:tc>
        <w:tc>
          <w:tcPr>
            <w:tcW w:w="13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2F7C56" w14:textId="77777777" w:rsidR="00EB10AF" w:rsidRPr="00E727AF" w:rsidRDefault="00EB10AF" w:rsidP="00FB6278">
            <w:pPr>
              <w:jc w:val="center"/>
              <w:rPr>
                <w:rFonts w:ascii="Arial" w:hAnsi="Arial"/>
                <w:sz w:val="22"/>
              </w:rPr>
            </w:pPr>
          </w:p>
        </w:tc>
      </w:tr>
      <w:tr w:rsidR="00EB10AF" w:rsidRPr="00E711EE" w14:paraId="42F2050A" w14:textId="77777777" w:rsidTr="005E0560">
        <w:trPr>
          <w:trHeight w:val="11"/>
        </w:trPr>
        <w:tc>
          <w:tcPr>
            <w:tcW w:w="2454" w:type="pct"/>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14:paraId="738DEDD0" w14:textId="77777777" w:rsidR="00EB10AF" w:rsidRPr="00E727AF" w:rsidRDefault="00EB10AF" w:rsidP="00FB6278">
            <w:pPr>
              <w:rPr>
                <w:rFonts w:ascii="Arial" w:hAnsi="Arial"/>
                <w:b/>
                <w:sz w:val="22"/>
              </w:rPr>
            </w:pPr>
            <w:r w:rsidRPr="00E727AF">
              <w:rPr>
                <w:rFonts w:ascii="Arial" w:hAnsi="Arial"/>
                <w:b/>
                <w:sz w:val="22"/>
              </w:rPr>
              <w:t xml:space="preserve">Surplus for the year </w:t>
            </w:r>
          </w:p>
        </w:tc>
        <w:tc>
          <w:tcPr>
            <w:tcW w:w="1230" w:type="pct"/>
            <w:tcBorders>
              <w:top w:val="single" w:sz="4" w:space="0" w:color="000000"/>
              <w:left w:val="single" w:sz="4" w:space="0" w:color="000000"/>
              <w:bottom w:val="single" w:sz="4" w:space="0" w:color="000000"/>
              <w:right w:val="single" w:sz="4" w:space="0" w:color="000000"/>
            </w:tcBorders>
          </w:tcPr>
          <w:p w14:paraId="26E9431E" w14:textId="77777777" w:rsidR="00EB10AF" w:rsidRPr="00E727AF" w:rsidRDefault="00EB10AF" w:rsidP="00FB6278">
            <w:pPr>
              <w:jc w:val="center"/>
              <w:rPr>
                <w:rFonts w:ascii="Arial" w:hAnsi="Arial"/>
                <w:b/>
                <w:color w:val="FF0000"/>
                <w:sz w:val="22"/>
                <w:highlight w:val="yellow"/>
              </w:rPr>
            </w:pPr>
            <w:r w:rsidRPr="00E727AF">
              <w:rPr>
                <w:rFonts w:ascii="Arial" w:hAnsi="Arial"/>
                <w:b/>
                <w:sz w:val="22"/>
              </w:rPr>
              <w:t>19.4</w:t>
            </w:r>
          </w:p>
        </w:tc>
        <w:tc>
          <w:tcPr>
            <w:tcW w:w="13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C0A7CB" w14:textId="77777777" w:rsidR="00EB10AF" w:rsidRPr="00E727AF" w:rsidRDefault="00EB10AF" w:rsidP="00FB6278">
            <w:pPr>
              <w:rPr>
                <w:rFonts w:ascii="Arial" w:hAnsi="Arial"/>
                <w:b/>
                <w:sz w:val="22"/>
                <w:highlight w:val="yellow"/>
              </w:rPr>
            </w:pPr>
            <w:r w:rsidRPr="00E727AF">
              <w:rPr>
                <w:rFonts w:ascii="Arial" w:hAnsi="Arial"/>
                <w:b/>
                <w:sz w:val="22"/>
              </w:rPr>
              <w:t xml:space="preserve">               5.4</w:t>
            </w:r>
          </w:p>
        </w:tc>
      </w:tr>
    </w:tbl>
    <w:p w14:paraId="0B6A1CCD" w14:textId="77777777" w:rsidR="00EB10AF" w:rsidRPr="00E727AF" w:rsidRDefault="00EB10AF" w:rsidP="00FB6278">
      <w:pPr>
        <w:jc w:val="both"/>
        <w:rPr>
          <w:rFonts w:ascii="Arial" w:hAnsi="Arial"/>
          <w:color w:val="FF0000"/>
          <w:sz w:val="22"/>
        </w:rPr>
      </w:pPr>
    </w:p>
    <w:p w14:paraId="042D72CA" w14:textId="3ABF1BFC" w:rsidR="00D42D7C" w:rsidRPr="00E727AF" w:rsidRDefault="00D42D7C" w:rsidP="00FB6278">
      <w:pPr>
        <w:ind w:left="-567" w:right="-613"/>
        <w:jc w:val="both"/>
        <w:rPr>
          <w:rFonts w:ascii="Arial" w:hAnsi="Arial"/>
          <w:sz w:val="22"/>
        </w:rPr>
      </w:pPr>
      <w:r w:rsidRPr="00E727AF">
        <w:rPr>
          <w:rFonts w:ascii="Arial" w:hAnsi="Arial"/>
          <w:sz w:val="22"/>
        </w:rPr>
        <w:t xml:space="preserve">Income from our Private and Overseas Patient activities in London and United Arab Emirates increased during the year by £12.9 million (53%) to £37.2 million (2020/21: £24.3 </w:t>
      </w:r>
      <w:proofErr w:type="gramStart"/>
      <w:r w:rsidRPr="00E727AF">
        <w:rPr>
          <w:rFonts w:ascii="Arial" w:hAnsi="Arial"/>
          <w:sz w:val="22"/>
        </w:rPr>
        <w:t xml:space="preserve">million) </w:t>
      </w:r>
      <w:r>
        <w:rPr>
          <w:rFonts w:ascii="Arial" w:hAnsi="Arial"/>
          <w:sz w:val="22"/>
        </w:rPr>
        <w:t xml:space="preserve"> increasing</w:t>
      </w:r>
      <w:proofErr w:type="gramEnd"/>
      <w:r>
        <w:rPr>
          <w:rFonts w:ascii="Arial" w:hAnsi="Arial"/>
          <w:sz w:val="22"/>
        </w:rPr>
        <w:t xml:space="preserve"> by</w:t>
      </w:r>
      <w:r w:rsidRPr="00E727AF">
        <w:rPr>
          <w:rFonts w:ascii="Arial" w:hAnsi="Arial"/>
          <w:sz w:val="22"/>
        </w:rPr>
        <w:t xml:space="preserve"> £6.3m above the pre-pandemic 2019/20 level. </w:t>
      </w:r>
    </w:p>
    <w:p w14:paraId="1EEBBEE6" w14:textId="77777777" w:rsidR="00EB10AF" w:rsidRPr="00E727AF" w:rsidRDefault="00EB10AF" w:rsidP="00FB6278">
      <w:pPr>
        <w:ind w:left="-567" w:right="-613"/>
        <w:jc w:val="both"/>
        <w:rPr>
          <w:rFonts w:ascii="Arial" w:hAnsi="Arial"/>
          <w:sz w:val="22"/>
        </w:rPr>
      </w:pPr>
    </w:p>
    <w:p w14:paraId="2DCC8937" w14:textId="77777777" w:rsidR="00D42D7C" w:rsidRPr="00E727AF" w:rsidRDefault="00D42D7C" w:rsidP="00FB6278">
      <w:pPr>
        <w:ind w:left="-567" w:right="-613"/>
        <w:jc w:val="both"/>
        <w:rPr>
          <w:rFonts w:ascii="Arial" w:hAnsi="Arial"/>
          <w:sz w:val="22"/>
        </w:rPr>
      </w:pPr>
      <w:r w:rsidRPr="00E727AF">
        <w:rPr>
          <w:rFonts w:ascii="Arial" w:hAnsi="Arial"/>
          <w:sz w:val="22"/>
        </w:rPr>
        <w:t>Other operating income, including Research and Development, Education and Training, Charitable Income, increased by £4.7 million (18%), to £</w:t>
      </w:r>
      <w:r>
        <w:rPr>
          <w:rFonts w:ascii="Arial" w:hAnsi="Arial"/>
          <w:sz w:val="22"/>
        </w:rPr>
        <w:t>3</w:t>
      </w:r>
      <w:r w:rsidRPr="00E727AF">
        <w:rPr>
          <w:rFonts w:ascii="Arial" w:hAnsi="Arial"/>
          <w:sz w:val="22"/>
        </w:rPr>
        <w:t xml:space="preserve">0.8 million (2020/21: £26.1 million). </w:t>
      </w:r>
    </w:p>
    <w:p w14:paraId="0FFC5C91" w14:textId="77777777" w:rsidR="00EB10AF" w:rsidRPr="00E727AF" w:rsidRDefault="00EB10AF" w:rsidP="00FB6278">
      <w:pPr>
        <w:ind w:left="-567" w:right="-613"/>
        <w:jc w:val="both"/>
        <w:rPr>
          <w:rFonts w:ascii="Arial" w:hAnsi="Arial"/>
          <w:sz w:val="22"/>
        </w:rPr>
      </w:pPr>
    </w:p>
    <w:p w14:paraId="139FBFDA" w14:textId="0D048EE9" w:rsidR="00EB10AF" w:rsidRDefault="00EB10AF" w:rsidP="00E2187A">
      <w:pPr>
        <w:ind w:left="-567" w:right="-613"/>
        <w:jc w:val="both"/>
        <w:rPr>
          <w:rFonts w:ascii="Arial" w:hAnsi="Arial"/>
          <w:sz w:val="22"/>
        </w:rPr>
      </w:pPr>
      <w:r w:rsidRPr="00E727AF">
        <w:rPr>
          <w:rFonts w:ascii="Arial" w:hAnsi="Arial"/>
          <w:sz w:val="22"/>
        </w:rPr>
        <w:t>Operating expenditure excluding impairments increased in-year by £25.4 million (11%) to £263.1 million (2020/21: £237.7 million).</w:t>
      </w:r>
      <w:r w:rsidR="00E2187A">
        <w:rPr>
          <w:rFonts w:ascii="Arial" w:hAnsi="Arial"/>
          <w:sz w:val="22"/>
        </w:rPr>
        <w:t xml:space="preserve"> </w:t>
      </w:r>
      <w:r w:rsidR="00E2187A" w:rsidRPr="00E2187A">
        <w:rPr>
          <w:rFonts w:ascii="Arial" w:hAnsi="Arial"/>
          <w:sz w:val="22"/>
        </w:rPr>
        <w:t>Non–pay costs include £3.9m (£2.2m 20/21) on consultancy spend. This includes payments for specialist services and advice from external subject matter experts</w:t>
      </w:r>
      <w:r w:rsidR="00E2187A">
        <w:rPr>
          <w:rFonts w:ascii="Arial" w:hAnsi="Arial"/>
          <w:sz w:val="22"/>
        </w:rPr>
        <w:t>.</w:t>
      </w:r>
    </w:p>
    <w:p w14:paraId="641A8814" w14:textId="77777777" w:rsidR="00E2187A" w:rsidRPr="00E727AF" w:rsidRDefault="00E2187A" w:rsidP="00FB6278">
      <w:pPr>
        <w:ind w:left="-567" w:right="-613"/>
        <w:jc w:val="both"/>
        <w:rPr>
          <w:rFonts w:ascii="Arial" w:hAnsi="Arial"/>
          <w:sz w:val="22"/>
        </w:rPr>
      </w:pPr>
    </w:p>
    <w:p w14:paraId="728FCDE2" w14:textId="245ED3E1" w:rsidR="00EB10AF" w:rsidRPr="00E727AF" w:rsidRDefault="00EB10AF" w:rsidP="00FB6278">
      <w:pPr>
        <w:ind w:left="-567" w:right="-613"/>
        <w:jc w:val="both"/>
        <w:rPr>
          <w:rFonts w:ascii="Arial" w:hAnsi="Arial"/>
          <w:sz w:val="22"/>
        </w:rPr>
      </w:pPr>
      <w:r w:rsidRPr="00E727AF">
        <w:rPr>
          <w:rFonts w:ascii="Arial" w:hAnsi="Arial"/>
          <w:sz w:val="22"/>
        </w:rPr>
        <w:t>Pay costs increased by £12.6 million (9%) to £145.8 million (2020/21: £133.2 million), and non-pay costs increased by £13.0 million (14%) to £96.2 million (2020/21: £95.9 million)</w:t>
      </w:r>
      <w:r w:rsidRPr="00E727AF">
        <w:rPr>
          <w:rFonts w:ascii="Arial" w:hAnsi="Arial"/>
        </w:rPr>
        <w:t xml:space="preserve">, an impact of the return to increased patient activity levels from the low 2020/21 comparator. </w:t>
      </w:r>
    </w:p>
    <w:p w14:paraId="7CD9052C" w14:textId="77777777" w:rsidR="00EB10AF" w:rsidRPr="00E727AF" w:rsidRDefault="00EB10AF" w:rsidP="00FB6278">
      <w:pPr>
        <w:ind w:right="-613"/>
        <w:jc w:val="both"/>
        <w:rPr>
          <w:rFonts w:ascii="Arial" w:hAnsi="Arial"/>
          <w:color w:val="FF0000"/>
          <w:sz w:val="22"/>
        </w:rPr>
      </w:pPr>
    </w:p>
    <w:p w14:paraId="2CA854E2" w14:textId="77777777" w:rsidR="00EB10AF" w:rsidRPr="00E727AF" w:rsidRDefault="00EB10AF" w:rsidP="00FB6278">
      <w:pPr>
        <w:ind w:left="-567" w:right="-613"/>
        <w:jc w:val="both"/>
        <w:rPr>
          <w:rFonts w:ascii="Arial" w:hAnsi="Arial"/>
          <w:sz w:val="22"/>
        </w:rPr>
      </w:pPr>
      <w:r w:rsidRPr="00E727AF">
        <w:rPr>
          <w:rFonts w:ascii="Arial" w:hAnsi="Arial"/>
          <w:b/>
          <w:sz w:val="22"/>
        </w:rPr>
        <w:t>Income disclosures</w:t>
      </w:r>
    </w:p>
    <w:p w14:paraId="50CD2B28" w14:textId="77777777" w:rsidR="00EB10AF" w:rsidRPr="00E727AF" w:rsidRDefault="00EB10AF" w:rsidP="00FB6278">
      <w:pPr>
        <w:ind w:left="-567" w:right="-613"/>
        <w:jc w:val="both"/>
        <w:rPr>
          <w:rFonts w:ascii="Arial" w:hAnsi="Arial"/>
          <w:sz w:val="22"/>
        </w:rPr>
      </w:pPr>
      <w:r w:rsidRPr="00E727AF">
        <w:rPr>
          <w:rFonts w:ascii="Arial" w:hAnsi="Arial"/>
          <w:sz w:val="22"/>
        </w:rPr>
        <w:t xml:space="preserve">Section 43(2A) of the NHS Act 2006 (as amended by the Health and Social Care Act 2012) requires that the income from the provision of goods and services for the purposes of the health service in England must be greater than its income from the provision of goods and services for any other purposes. </w:t>
      </w:r>
    </w:p>
    <w:p w14:paraId="69FD7B30" w14:textId="77777777" w:rsidR="00EB10AF" w:rsidRPr="00E727AF" w:rsidRDefault="00EB10AF" w:rsidP="00FB6278">
      <w:pPr>
        <w:ind w:left="-567" w:right="-613"/>
        <w:jc w:val="both"/>
        <w:rPr>
          <w:rFonts w:ascii="Arial" w:hAnsi="Arial"/>
          <w:sz w:val="22"/>
        </w:rPr>
      </w:pPr>
    </w:p>
    <w:p w14:paraId="3C6BE297" w14:textId="77777777" w:rsidR="00EB10AF" w:rsidRPr="00E727AF" w:rsidRDefault="00EB10AF" w:rsidP="00FB6278">
      <w:pPr>
        <w:ind w:left="-567" w:right="-613"/>
        <w:rPr>
          <w:rFonts w:ascii="Arial" w:hAnsi="Arial"/>
          <w:sz w:val="22"/>
        </w:rPr>
      </w:pPr>
      <w:r w:rsidRPr="00E727AF">
        <w:rPr>
          <w:rFonts w:ascii="Arial" w:hAnsi="Arial"/>
          <w:sz w:val="22"/>
        </w:rPr>
        <w:t xml:space="preserve">The trust met this requirement. In 2021/22, 14.7% of income from provision of goods and services was derived from non-NHS income (2020/21 11.3%). </w:t>
      </w:r>
    </w:p>
    <w:p w14:paraId="11E081E4" w14:textId="77777777" w:rsidR="00EB10AF" w:rsidRPr="00E727AF" w:rsidRDefault="00EB10AF" w:rsidP="00FB6278">
      <w:pPr>
        <w:ind w:left="-567" w:right="-613"/>
        <w:jc w:val="both"/>
        <w:rPr>
          <w:rFonts w:ascii="Arial" w:hAnsi="Arial"/>
          <w:color w:val="FF0000"/>
          <w:sz w:val="22"/>
        </w:rPr>
      </w:pPr>
    </w:p>
    <w:p w14:paraId="6CE3C2CB" w14:textId="7AF0A754" w:rsidR="00EB10AF" w:rsidRPr="00E727AF" w:rsidRDefault="00EB10AF" w:rsidP="00FB6278">
      <w:pPr>
        <w:ind w:left="-567" w:right="-613"/>
        <w:jc w:val="both"/>
        <w:rPr>
          <w:rFonts w:ascii="Arial" w:hAnsi="Arial"/>
          <w:sz w:val="22"/>
        </w:rPr>
      </w:pPr>
      <w:r w:rsidRPr="00E727AF">
        <w:rPr>
          <w:rFonts w:ascii="Arial" w:hAnsi="Arial"/>
          <w:sz w:val="22"/>
        </w:rPr>
        <w:t xml:space="preserve">Section 43(3A) of the NHS Act 2006 requires NHS </w:t>
      </w:r>
      <w:r w:rsidR="0012349E" w:rsidRPr="00E727AF">
        <w:rPr>
          <w:rFonts w:ascii="Arial" w:hAnsi="Arial" w:cs="Arial"/>
          <w:sz w:val="22"/>
          <w:szCs w:val="22"/>
        </w:rPr>
        <w:t>F</w:t>
      </w:r>
      <w:r w:rsidRPr="00E727AF">
        <w:rPr>
          <w:rFonts w:ascii="Arial" w:hAnsi="Arial" w:cs="Arial"/>
          <w:sz w:val="22"/>
          <w:szCs w:val="22"/>
        </w:rPr>
        <w:t xml:space="preserve">oundation </w:t>
      </w:r>
      <w:r w:rsidR="0012349E" w:rsidRPr="00E727AF">
        <w:rPr>
          <w:rFonts w:ascii="Arial" w:hAnsi="Arial" w:cs="Arial"/>
          <w:sz w:val="22"/>
          <w:szCs w:val="22"/>
        </w:rPr>
        <w:t>T</w:t>
      </w:r>
      <w:r w:rsidRPr="00E727AF">
        <w:rPr>
          <w:rFonts w:ascii="Arial" w:hAnsi="Arial" w:cs="Arial"/>
          <w:sz w:val="22"/>
          <w:szCs w:val="22"/>
        </w:rPr>
        <w:t>rusts</w:t>
      </w:r>
      <w:r w:rsidRPr="00E727AF">
        <w:rPr>
          <w:rFonts w:ascii="Arial" w:hAnsi="Arial"/>
          <w:sz w:val="22"/>
        </w:rPr>
        <w:t xml:space="preserve"> to provide information on the impact that other income it has received has had on its provision of goods and services for the purposes of the health service in England. </w:t>
      </w:r>
    </w:p>
    <w:p w14:paraId="78B4E412" w14:textId="77777777" w:rsidR="00EB10AF" w:rsidRPr="00E727AF" w:rsidRDefault="00EB10AF" w:rsidP="00FB6278">
      <w:pPr>
        <w:ind w:left="-567" w:right="-613"/>
        <w:jc w:val="both"/>
        <w:rPr>
          <w:rFonts w:ascii="Arial" w:hAnsi="Arial"/>
          <w:sz w:val="22"/>
        </w:rPr>
      </w:pPr>
    </w:p>
    <w:p w14:paraId="4E9E9055" w14:textId="77777777" w:rsidR="00EB10AF" w:rsidRPr="00E727AF" w:rsidRDefault="00EB10AF" w:rsidP="00FB6278">
      <w:pPr>
        <w:ind w:left="-567" w:right="-613"/>
        <w:jc w:val="both"/>
        <w:rPr>
          <w:rFonts w:ascii="Arial" w:hAnsi="Arial"/>
          <w:sz w:val="22"/>
        </w:rPr>
      </w:pPr>
      <w:r w:rsidRPr="00E727AF">
        <w:rPr>
          <w:rFonts w:ascii="Arial" w:hAnsi="Arial"/>
          <w:sz w:val="22"/>
        </w:rPr>
        <w:t>Surpluses from other income the Trust received have been used to support the provision of goods and services for the purposes of the health service in England.</w:t>
      </w:r>
    </w:p>
    <w:p w14:paraId="3413E838" w14:textId="77777777" w:rsidR="00EB10AF" w:rsidRPr="00E727AF" w:rsidRDefault="00EB10AF" w:rsidP="00FB6278">
      <w:pPr>
        <w:ind w:right="-613"/>
        <w:jc w:val="both"/>
        <w:rPr>
          <w:rFonts w:ascii="Arial" w:hAnsi="Arial"/>
          <w:b/>
          <w:color w:val="FF0000"/>
          <w:sz w:val="22"/>
        </w:rPr>
      </w:pPr>
    </w:p>
    <w:p w14:paraId="7AC06FED" w14:textId="77777777" w:rsidR="00EB10AF" w:rsidRPr="00E727AF" w:rsidRDefault="00EB10AF" w:rsidP="00FB6278">
      <w:pPr>
        <w:ind w:left="-567" w:right="-613"/>
        <w:jc w:val="both"/>
        <w:rPr>
          <w:rFonts w:ascii="Arial" w:hAnsi="Arial"/>
          <w:b/>
          <w:sz w:val="22"/>
        </w:rPr>
      </w:pPr>
      <w:r w:rsidRPr="00E727AF">
        <w:rPr>
          <w:rFonts w:ascii="Arial" w:hAnsi="Arial"/>
          <w:b/>
          <w:sz w:val="22"/>
        </w:rPr>
        <w:t>Statement of financial position</w:t>
      </w:r>
    </w:p>
    <w:p w14:paraId="4392D128" w14:textId="77777777" w:rsidR="00EB10AF" w:rsidRPr="00E727AF" w:rsidRDefault="00EB10AF" w:rsidP="00FB6278">
      <w:pPr>
        <w:ind w:left="-567" w:right="-613"/>
        <w:jc w:val="both"/>
        <w:rPr>
          <w:rFonts w:ascii="Arial" w:hAnsi="Arial"/>
          <w:sz w:val="22"/>
        </w:rPr>
      </w:pPr>
      <w:bookmarkStart w:id="4" w:name="_Toc483473494"/>
      <w:r w:rsidRPr="00E727AF">
        <w:rPr>
          <w:rFonts w:ascii="Arial" w:hAnsi="Arial"/>
          <w:sz w:val="22"/>
        </w:rPr>
        <w:t xml:space="preserve">Total assets have increased by £23.4 million to £120.0 million as </w:t>
      </w:r>
      <w:proofErr w:type="gramStart"/>
      <w:r w:rsidRPr="00E727AF">
        <w:rPr>
          <w:rFonts w:ascii="Arial" w:hAnsi="Arial"/>
          <w:sz w:val="22"/>
        </w:rPr>
        <w:t>at</w:t>
      </w:r>
      <w:proofErr w:type="gramEnd"/>
      <w:r w:rsidRPr="00E727AF">
        <w:rPr>
          <w:rFonts w:ascii="Arial" w:hAnsi="Arial"/>
          <w:sz w:val="22"/>
        </w:rPr>
        <w:t xml:space="preserve"> 31 March 2022 (2021/21: £96.6 million). Non-current assets increased by £9.1 million to £111.6 million (2020/21: £102.5 million). </w:t>
      </w:r>
    </w:p>
    <w:p w14:paraId="726EC152" w14:textId="77777777" w:rsidR="00EB10AF" w:rsidRPr="00E727AF" w:rsidRDefault="00EB10AF" w:rsidP="00FB6278">
      <w:pPr>
        <w:ind w:left="-567" w:right="-613"/>
        <w:jc w:val="both"/>
        <w:rPr>
          <w:rFonts w:ascii="Arial" w:hAnsi="Arial"/>
          <w:color w:val="FF0000"/>
          <w:sz w:val="22"/>
          <w:highlight w:val="yellow"/>
        </w:rPr>
      </w:pPr>
    </w:p>
    <w:p w14:paraId="1DFB662B" w14:textId="1E97A365" w:rsidR="00EB10AF" w:rsidRPr="00E727AF" w:rsidRDefault="00EB10AF" w:rsidP="00FB6278">
      <w:pPr>
        <w:ind w:left="-567" w:right="-613"/>
        <w:jc w:val="both"/>
        <w:rPr>
          <w:rFonts w:ascii="Arial" w:hAnsi="Arial"/>
          <w:sz w:val="22"/>
        </w:rPr>
      </w:pPr>
      <w:r w:rsidRPr="00E727AF">
        <w:rPr>
          <w:rFonts w:ascii="Arial" w:hAnsi="Arial"/>
          <w:sz w:val="22"/>
        </w:rPr>
        <w:t>Current assets increased by £5.4 million to £97.7 million (2020/21: £92.3 million</w:t>
      </w:r>
      <w:r w:rsidRPr="00E727AF">
        <w:rPr>
          <w:rFonts w:ascii="Arial" w:hAnsi="Arial" w:cs="Arial"/>
          <w:sz w:val="22"/>
          <w:szCs w:val="22"/>
        </w:rPr>
        <w:t>).</w:t>
      </w:r>
    </w:p>
    <w:p w14:paraId="508B515E" w14:textId="77777777" w:rsidR="00EB10AF" w:rsidRPr="00E727AF" w:rsidRDefault="00EB10AF" w:rsidP="00FB6278">
      <w:pPr>
        <w:ind w:left="-567" w:right="-613"/>
        <w:jc w:val="both"/>
        <w:rPr>
          <w:rFonts w:ascii="Arial" w:hAnsi="Arial"/>
          <w:sz w:val="22"/>
        </w:rPr>
      </w:pPr>
    </w:p>
    <w:p w14:paraId="0BBD6382" w14:textId="77777777" w:rsidR="00EB10AF" w:rsidRPr="00E727AF" w:rsidRDefault="00EB10AF" w:rsidP="00FB6278">
      <w:pPr>
        <w:ind w:left="-567" w:right="-613"/>
        <w:jc w:val="both"/>
        <w:rPr>
          <w:rFonts w:ascii="Arial" w:hAnsi="Arial"/>
          <w:sz w:val="22"/>
        </w:rPr>
      </w:pPr>
      <w:r w:rsidRPr="00E727AF">
        <w:rPr>
          <w:rFonts w:ascii="Arial" w:hAnsi="Arial"/>
          <w:sz w:val="22"/>
        </w:rPr>
        <w:t xml:space="preserve">Current liabilities have reduced by £6.8 million at £55.5 million (2020/21: £62.3 million) due to reduction in accruals and deferred income. Non-current liabilities reduced by £2.2 million to £33.8 million (2020/21: £36 million) primarily </w:t>
      </w:r>
      <w:proofErr w:type="gramStart"/>
      <w:r w:rsidRPr="00E727AF">
        <w:rPr>
          <w:rFonts w:ascii="Arial" w:hAnsi="Arial"/>
          <w:sz w:val="22"/>
        </w:rPr>
        <w:t>as a result of</w:t>
      </w:r>
      <w:proofErr w:type="gramEnd"/>
      <w:r w:rsidRPr="00E727AF">
        <w:rPr>
          <w:rFonts w:ascii="Arial" w:hAnsi="Arial"/>
          <w:sz w:val="22"/>
        </w:rPr>
        <w:t xml:space="preserve"> loan repayments made during the financial year.</w:t>
      </w:r>
    </w:p>
    <w:p w14:paraId="7B9F3C54" w14:textId="77777777" w:rsidR="00EB10AF" w:rsidRPr="00E727AF" w:rsidRDefault="00EB10AF" w:rsidP="00FB6278">
      <w:pPr>
        <w:ind w:left="-567" w:right="-613"/>
        <w:jc w:val="both"/>
        <w:rPr>
          <w:rFonts w:ascii="Arial" w:hAnsi="Arial"/>
          <w:sz w:val="22"/>
          <w:highlight w:val="yellow"/>
        </w:rPr>
      </w:pPr>
    </w:p>
    <w:p w14:paraId="26DA5502" w14:textId="77777777" w:rsidR="00EB10AF" w:rsidRPr="00E727AF" w:rsidRDefault="00EB10AF" w:rsidP="00FB6278">
      <w:pPr>
        <w:ind w:left="-567" w:right="-613"/>
        <w:jc w:val="both"/>
        <w:rPr>
          <w:rFonts w:ascii="Arial" w:hAnsi="Arial"/>
          <w:sz w:val="22"/>
        </w:rPr>
      </w:pPr>
      <w:r w:rsidRPr="00E727AF">
        <w:rPr>
          <w:rFonts w:ascii="Arial" w:hAnsi="Arial"/>
          <w:sz w:val="22"/>
        </w:rPr>
        <w:t xml:space="preserve">Taxpayers’ equity increased by £23.4 million during the year. </w:t>
      </w:r>
    </w:p>
    <w:p w14:paraId="20FBF62F" w14:textId="77777777" w:rsidR="00EB10AF" w:rsidRPr="00E727AF" w:rsidRDefault="00EB10AF" w:rsidP="00FB6278">
      <w:pPr>
        <w:ind w:left="-567" w:right="-613"/>
        <w:jc w:val="both"/>
        <w:rPr>
          <w:rFonts w:ascii="Arial" w:hAnsi="Arial"/>
          <w:color w:val="FF0000"/>
          <w:sz w:val="22"/>
        </w:rPr>
      </w:pPr>
    </w:p>
    <w:p w14:paraId="7D203559" w14:textId="77777777" w:rsidR="00EB10AF" w:rsidRPr="00E727AF" w:rsidRDefault="00EB10AF" w:rsidP="00FB6278">
      <w:pPr>
        <w:ind w:left="-567" w:right="-613"/>
        <w:jc w:val="both"/>
        <w:rPr>
          <w:rFonts w:ascii="Arial" w:hAnsi="Arial"/>
          <w:b/>
          <w:sz w:val="22"/>
        </w:rPr>
      </w:pPr>
      <w:r w:rsidRPr="00E727AF">
        <w:rPr>
          <w:rFonts w:ascii="Arial" w:hAnsi="Arial"/>
          <w:b/>
          <w:sz w:val="22"/>
        </w:rPr>
        <w:t>Statement of cash flows</w:t>
      </w:r>
    </w:p>
    <w:p w14:paraId="57AB9416" w14:textId="77777777" w:rsidR="00EB10AF" w:rsidRPr="00E727AF" w:rsidRDefault="00EB10AF" w:rsidP="00FB6278">
      <w:pPr>
        <w:ind w:left="-567" w:right="-613"/>
        <w:jc w:val="both"/>
        <w:rPr>
          <w:rFonts w:ascii="Arial" w:hAnsi="Arial"/>
          <w:sz w:val="22"/>
        </w:rPr>
      </w:pPr>
      <w:r w:rsidRPr="00E727AF">
        <w:rPr>
          <w:rFonts w:ascii="Arial" w:hAnsi="Arial"/>
          <w:sz w:val="22"/>
        </w:rPr>
        <w:t xml:space="preserve">The trust generated a net cash in-flow of £20.6 million from operations in 2021/22. The net cash surplus from operations was used to internally fund capital expenditure of £17.9 million (2020/21: £16.2 million) and loan repayment, net </w:t>
      </w:r>
      <w:proofErr w:type="gramStart"/>
      <w:r w:rsidRPr="00E727AF">
        <w:rPr>
          <w:rFonts w:ascii="Arial" w:hAnsi="Arial"/>
          <w:sz w:val="22"/>
        </w:rPr>
        <w:t>interest</w:t>
      </w:r>
      <w:proofErr w:type="gramEnd"/>
      <w:r w:rsidRPr="00E727AF">
        <w:rPr>
          <w:rFonts w:ascii="Arial" w:hAnsi="Arial"/>
          <w:sz w:val="22"/>
        </w:rPr>
        <w:t xml:space="preserve"> and Public Dividend Capital (PDC) payments of £3.1 million (2020/21: £3.0million)</w:t>
      </w:r>
    </w:p>
    <w:p w14:paraId="6C5CFA77" w14:textId="77777777" w:rsidR="00EB10AF" w:rsidRPr="00E727AF" w:rsidRDefault="00EB10AF" w:rsidP="00FB6278">
      <w:pPr>
        <w:ind w:left="-567" w:right="-613"/>
        <w:jc w:val="both"/>
        <w:rPr>
          <w:rFonts w:ascii="Arial" w:hAnsi="Arial"/>
          <w:sz w:val="22"/>
        </w:rPr>
      </w:pPr>
    </w:p>
    <w:p w14:paraId="46018557" w14:textId="4F2B1F47" w:rsidR="00EB10AF" w:rsidRPr="00E727AF" w:rsidRDefault="00EB10AF" w:rsidP="00FB6278">
      <w:pPr>
        <w:ind w:left="-567" w:right="-613"/>
        <w:jc w:val="both"/>
        <w:rPr>
          <w:rFonts w:ascii="Arial" w:hAnsi="Arial"/>
          <w:sz w:val="22"/>
        </w:rPr>
      </w:pPr>
      <w:r w:rsidRPr="00E727AF">
        <w:rPr>
          <w:rFonts w:ascii="Arial" w:hAnsi="Arial"/>
          <w:sz w:val="22"/>
        </w:rPr>
        <w:t>The trust ended the year with an improved level of cash at £69.3 million (2020/21 £68.4 million)</w:t>
      </w:r>
      <w:r w:rsidR="00821C56" w:rsidRPr="00E727AF">
        <w:rPr>
          <w:rFonts w:ascii="Arial" w:hAnsi="Arial"/>
          <w:sz w:val="22"/>
        </w:rPr>
        <w:t>,</w:t>
      </w:r>
      <w:r w:rsidRPr="00E727AF">
        <w:rPr>
          <w:rFonts w:ascii="Arial" w:hAnsi="Arial"/>
          <w:sz w:val="22"/>
        </w:rPr>
        <w:t xml:space="preserve"> an increase of £0.9 million. </w:t>
      </w:r>
    </w:p>
    <w:p w14:paraId="1D68C1C7" w14:textId="77777777" w:rsidR="00EB10AF" w:rsidRPr="00E727AF" w:rsidRDefault="00EB10AF" w:rsidP="00FB6278">
      <w:pPr>
        <w:ind w:right="-613"/>
        <w:jc w:val="both"/>
        <w:rPr>
          <w:rFonts w:ascii="Arial" w:hAnsi="Arial"/>
          <w:color w:val="FF0000"/>
          <w:sz w:val="22"/>
        </w:rPr>
      </w:pPr>
    </w:p>
    <w:bookmarkEnd w:id="4"/>
    <w:p w14:paraId="56DEAC82" w14:textId="77777777" w:rsidR="00EB10AF" w:rsidRPr="00E727AF" w:rsidRDefault="00EB10AF" w:rsidP="00FB6278">
      <w:pPr>
        <w:ind w:left="-567" w:right="-613"/>
        <w:jc w:val="both"/>
        <w:rPr>
          <w:rFonts w:ascii="Arial" w:hAnsi="Arial"/>
          <w:b/>
          <w:sz w:val="22"/>
        </w:rPr>
      </w:pPr>
      <w:r w:rsidRPr="00E727AF">
        <w:rPr>
          <w:rFonts w:ascii="Arial" w:hAnsi="Arial"/>
          <w:b/>
          <w:sz w:val="22"/>
        </w:rPr>
        <w:t>Counter-fraud arrangements</w:t>
      </w:r>
    </w:p>
    <w:p w14:paraId="378CE06D" w14:textId="05CAD72E" w:rsidR="00EB10AF" w:rsidRPr="00E727AF" w:rsidRDefault="00EB10AF" w:rsidP="00FB6278">
      <w:pPr>
        <w:ind w:left="-567" w:right="-613"/>
        <w:jc w:val="both"/>
        <w:rPr>
          <w:rFonts w:ascii="Arial" w:hAnsi="Arial"/>
          <w:sz w:val="22"/>
        </w:rPr>
      </w:pPr>
      <w:r w:rsidRPr="00E727AF">
        <w:rPr>
          <w:rFonts w:ascii="Arial" w:hAnsi="Arial"/>
          <w:sz w:val="22"/>
        </w:rPr>
        <w:t xml:space="preserve">The trust has established a counter-fraud policy and response plan to minimise the risk of fraud or corruption. The trust’s local counter-fraud specialist (LCFS) reports to the chief financial officer and performs a programme of work designed to provide assurance to the board </w:t>
      </w:r>
      <w:proofErr w:type="gramStart"/>
      <w:r w:rsidR="00E36EC2" w:rsidRPr="00E727AF">
        <w:rPr>
          <w:rFonts w:ascii="Arial" w:hAnsi="Arial"/>
          <w:sz w:val="22"/>
        </w:rPr>
        <w:t xml:space="preserve">with </w:t>
      </w:r>
      <w:r w:rsidRPr="00E727AF">
        <w:rPr>
          <w:rFonts w:ascii="Arial" w:hAnsi="Arial"/>
          <w:sz w:val="22"/>
        </w:rPr>
        <w:t>regard to</w:t>
      </w:r>
      <w:proofErr w:type="gramEnd"/>
      <w:r w:rsidRPr="00E727AF">
        <w:rPr>
          <w:rFonts w:ascii="Arial" w:hAnsi="Arial"/>
          <w:sz w:val="22"/>
        </w:rPr>
        <w:t xml:space="preserve"> fraud and corruption. The LCFS also gives regular fraud awareness sessions for Moorfields’ staff and investigates concerns reported by staff. If these are substantiated, the trust takes appropriate criminal, civil or disciplinary measures.</w:t>
      </w:r>
    </w:p>
    <w:p w14:paraId="328A9056" w14:textId="77777777" w:rsidR="00EB10AF" w:rsidRPr="00E727AF" w:rsidRDefault="00EB10AF" w:rsidP="00FB6278">
      <w:pPr>
        <w:ind w:right="-613"/>
        <w:jc w:val="both"/>
        <w:rPr>
          <w:rFonts w:ascii="Arial" w:hAnsi="Arial"/>
          <w:b/>
          <w:color w:val="FF0000"/>
          <w:sz w:val="22"/>
        </w:rPr>
      </w:pPr>
      <w:bookmarkStart w:id="5" w:name="_Toc483473496"/>
    </w:p>
    <w:p w14:paraId="08D00BD0" w14:textId="77777777" w:rsidR="00EB10AF" w:rsidRPr="00E727AF" w:rsidRDefault="00EB10AF" w:rsidP="00FB6278">
      <w:pPr>
        <w:ind w:left="-567" w:right="-613"/>
        <w:jc w:val="both"/>
        <w:rPr>
          <w:rFonts w:ascii="Arial" w:hAnsi="Arial"/>
          <w:b/>
          <w:sz w:val="22"/>
        </w:rPr>
      </w:pPr>
      <w:r w:rsidRPr="00E727AF">
        <w:rPr>
          <w:rFonts w:ascii="Arial" w:hAnsi="Arial"/>
          <w:b/>
          <w:sz w:val="22"/>
        </w:rPr>
        <w:t>Political donations</w:t>
      </w:r>
      <w:bookmarkEnd w:id="5"/>
    </w:p>
    <w:p w14:paraId="3061D280" w14:textId="77777777" w:rsidR="00EB10AF" w:rsidRPr="00E727AF" w:rsidRDefault="00EB10AF" w:rsidP="00FB6278">
      <w:pPr>
        <w:ind w:left="-567" w:right="-613"/>
        <w:jc w:val="both"/>
        <w:rPr>
          <w:rFonts w:ascii="Arial" w:hAnsi="Arial"/>
          <w:sz w:val="22"/>
        </w:rPr>
      </w:pPr>
      <w:r w:rsidRPr="00E727AF">
        <w:rPr>
          <w:rFonts w:ascii="Arial" w:hAnsi="Arial"/>
          <w:sz w:val="22"/>
        </w:rPr>
        <w:t>The trust made no political donations during 2021/22 (2020/21: nil).</w:t>
      </w:r>
    </w:p>
    <w:p w14:paraId="33D54B39" w14:textId="77777777" w:rsidR="00EB10AF" w:rsidRPr="00E727AF" w:rsidRDefault="00EB10AF" w:rsidP="00FB6278">
      <w:pPr>
        <w:ind w:left="-567" w:right="-613"/>
        <w:jc w:val="both"/>
        <w:rPr>
          <w:rFonts w:ascii="Arial" w:hAnsi="Arial"/>
          <w:color w:val="FF0000"/>
          <w:sz w:val="22"/>
        </w:rPr>
      </w:pPr>
    </w:p>
    <w:p w14:paraId="18B39191" w14:textId="77777777" w:rsidR="00EB10AF" w:rsidRPr="00E727AF" w:rsidRDefault="00EB10AF" w:rsidP="00FB6278">
      <w:pPr>
        <w:ind w:left="-567" w:right="-613"/>
        <w:jc w:val="both"/>
        <w:rPr>
          <w:rFonts w:ascii="Arial" w:hAnsi="Arial"/>
          <w:b/>
          <w:sz w:val="22"/>
        </w:rPr>
      </w:pPr>
      <w:bookmarkStart w:id="6" w:name="_Toc483473501"/>
      <w:r w:rsidRPr="00E727AF">
        <w:rPr>
          <w:rFonts w:ascii="Arial" w:hAnsi="Arial"/>
          <w:b/>
          <w:sz w:val="22"/>
        </w:rPr>
        <w:t>Commissioning arrangements</w:t>
      </w:r>
      <w:bookmarkEnd w:id="6"/>
    </w:p>
    <w:p w14:paraId="3BE42292" w14:textId="5D7F7C88" w:rsidR="00EB10AF" w:rsidRPr="00E727AF" w:rsidRDefault="00EB10AF" w:rsidP="00FB6278">
      <w:pPr>
        <w:ind w:left="-567" w:right="-613"/>
        <w:jc w:val="both"/>
        <w:rPr>
          <w:rFonts w:ascii="Arial" w:hAnsi="Arial"/>
          <w:sz w:val="22"/>
        </w:rPr>
      </w:pPr>
      <w:r w:rsidRPr="00E727AF">
        <w:rPr>
          <w:rFonts w:ascii="Arial" w:hAnsi="Arial"/>
          <w:sz w:val="22"/>
        </w:rPr>
        <w:t>During 2021/2</w:t>
      </w:r>
      <w:r w:rsidR="00E20576" w:rsidRPr="00E727AF">
        <w:rPr>
          <w:rFonts w:ascii="Arial" w:hAnsi="Arial"/>
          <w:sz w:val="22"/>
        </w:rPr>
        <w:t>,</w:t>
      </w:r>
      <w:r w:rsidRPr="00E727AF">
        <w:rPr>
          <w:rFonts w:ascii="Arial" w:hAnsi="Arial"/>
          <w:sz w:val="22"/>
        </w:rPr>
        <w:t xml:space="preserve"> transitional funding flows were implemented to reimburse organisations on a block contract value basis to provide certainty during the emergency response to </w:t>
      </w:r>
      <w:r w:rsidR="00E20576" w:rsidRPr="00B10B24">
        <w:rPr>
          <w:rFonts w:asciiTheme="majorHAnsi" w:hAnsiTheme="majorHAnsi" w:cstheme="majorHAnsi"/>
          <w:sz w:val="22"/>
          <w:szCs w:val="22"/>
        </w:rPr>
        <w:t>C</w:t>
      </w:r>
      <w:r w:rsidR="00E20576">
        <w:rPr>
          <w:rFonts w:asciiTheme="majorHAnsi" w:hAnsiTheme="majorHAnsi" w:cstheme="majorHAnsi"/>
          <w:sz w:val="22"/>
          <w:szCs w:val="22"/>
        </w:rPr>
        <w:t>ovid</w:t>
      </w:r>
      <w:r w:rsidR="00E20576" w:rsidRPr="00E727AF">
        <w:rPr>
          <w:rFonts w:ascii="Arial" w:hAnsi="Arial"/>
          <w:sz w:val="22"/>
        </w:rPr>
        <w:t>-19</w:t>
      </w:r>
      <w:r w:rsidRPr="00E727AF">
        <w:rPr>
          <w:rFonts w:ascii="Arial" w:hAnsi="Arial"/>
          <w:sz w:val="22"/>
        </w:rPr>
        <w:t>.</w:t>
      </w:r>
    </w:p>
    <w:p w14:paraId="3A0F0C0A" w14:textId="77777777" w:rsidR="00EB10AF" w:rsidRPr="00E727AF" w:rsidRDefault="00EB10AF" w:rsidP="00FB6278">
      <w:pPr>
        <w:ind w:left="-567" w:right="-613"/>
        <w:jc w:val="both"/>
        <w:rPr>
          <w:rFonts w:ascii="Arial" w:hAnsi="Arial"/>
          <w:sz w:val="22"/>
        </w:rPr>
      </w:pPr>
    </w:p>
    <w:p w14:paraId="6E4D9CAB" w14:textId="77777777" w:rsidR="00EB10AF" w:rsidRPr="00E727AF" w:rsidRDefault="00EB10AF" w:rsidP="00FB6278">
      <w:pPr>
        <w:ind w:left="-567" w:right="-613"/>
        <w:jc w:val="both"/>
        <w:rPr>
          <w:rFonts w:ascii="Arial" w:hAnsi="Arial"/>
          <w:sz w:val="22"/>
        </w:rPr>
      </w:pPr>
      <w:r w:rsidRPr="00E727AF">
        <w:rPr>
          <w:rFonts w:ascii="Arial" w:hAnsi="Arial"/>
          <w:sz w:val="22"/>
        </w:rPr>
        <w:lastRenderedPageBreak/>
        <w:t xml:space="preserve">Further information on the trust’s financial position can be found in the annual accounts. </w:t>
      </w:r>
    </w:p>
    <w:p w14:paraId="32803F70" w14:textId="77777777" w:rsidR="00EB10AF" w:rsidRPr="00E727AF" w:rsidRDefault="00EB10AF" w:rsidP="00FB6278">
      <w:pPr>
        <w:ind w:left="-567" w:right="-613"/>
        <w:jc w:val="both"/>
        <w:rPr>
          <w:rFonts w:ascii="Arial" w:hAnsi="Arial"/>
          <w:color w:val="FF0000"/>
          <w:sz w:val="22"/>
        </w:rPr>
      </w:pPr>
    </w:p>
    <w:p w14:paraId="7D0E7424" w14:textId="77777777" w:rsidR="00EB10AF" w:rsidRPr="00E727AF" w:rsidRDefault="00EB10AF" w:rsidP="00FB6278">
      <w:pPr>
        <w:ind w:left="-567" w:right="-613"/>
        <w:jc w:val="both"/>
        <w:rPr>
          <w:rFonts w:ascii="Arial" w:hAnsi="Arial"/>
          <w:sz w:val="22"/>
        </w:rPr>
      </w:pPr>
      <w:r w:rsidRPr="00E727AF">
        <w:rPr>
          <w:rFonts w:ascii="Arial" w:hAnsi="Arial"/>
          <w:b/>
          <w:sz w:val="22"/>
        </w:rPr>
        <w:t>Better payment practice code</w:t>
      </w:r>
    </w:p>
    <w:p w14:paraId="2E8A7BB8" w14:textId="77777777" w:rsidR="00EB10AF" w:rsidRPr="00E727AF" w:rsidRDefault="00EB10AF" w:rsidP="00FB6278">
      <w:pPr>
        <w:ind w:left="-567" w:right="-613"/>
        <w:jc w:val="both"/>
        <w:rPr>
          <w:rFonts w:ascii="Arial" w:hAnsi="Arial"/>
          <w:sz w:val="22"/>
        </w:rPr>
      </w:pPr>
      <w:r w:rsidRPr="00E727AF">
        <w:rPr>
          <w:rFonts w:ascii="Arial" w:hAnsi="Arial"/>
          <w:sz w:val="22"/>
        </w:rPr>
        <w:t xml:space="preserve">The better payments practice code requires the trust to aim to pay all undisputed invoices by the due date or within 30 days of receipt of goods or a valid invoice, whichever is later. </w:t>
      </w:r>
    </w:p>
    <w:p w14:paraId="11B91864" w14:textId="77777777" w:rsidR="00EB10AF" w:rsidRPr="00E727AF" w:rsidRDefault="00EB10AF" w:rsidP="00FB6278">
      <w:pPr>
        <w:ind w:left="-567" w:right="-613"/>
        <w:jc w:val="both"/>
        <w:rPr>
          <w:rFonts w:ascii="Arial" w:hAnsi="Arial"/>
          <w:sz w:val="22"/>
        </w:rPr>
      </w:pPr>
    </w:p>
    <w:p w14:paraId="04E95FF1" w14:textId="7ED9594D" w:rsidR="00EB10AF" w:rsidRPr="00E727AF" w:rsidRDefault="00EB10AF" w:rsidP="00FB6278">
      <w:pPr>
        <w:ind w:left="-567" w:right="-613"/>
        <w:jc w:val="both"/>
        <w:rPr>
          <w:rFonts w:ascii="Arial" w:hAnsi="Arial"/>
          <w:sz w:val="22"/>
        </w:rPr>
      </w:pPr>
      <w:r w:rsidRPr="00E727AF">
        <w:rPr>
          <w:rFonts w:ascii="Arial" w:hAnsi="Arial"/>
          <w:sz w:val="22"/>
        </w:rPr>
        <w:t xml:space="preserve">The trust achieves the aims of the better payment practice code in </w:t>
      </w:r>
      <w:proofErr w:type="gramStart"/>
      <w:r w:rsidRPr="00E727AF">
        <w:rPr>
          <w:rFonts w:ascii="Arial" w:hAnsi="Arial"/>
          <w:sz w:val="22"/>
        </w:rPr>
        <w:t>the majority of</w:t>
      </w:r>
      <w:proofErr w:type="gramEnd"/>
      <w:r w:rsidRPr="00E727AF">
        <w:rPr>
          <w:rFonts w:ascii="Arial" w:hAnsi="Arial"/>
          <w:sz w:val="22"/>
        </w:rPr>
        <w:t xml:space="preserve"> cases and works with staff and suppliers throughout the year to minimise the remaining cases.</w:t>
      </w:r>
    </w:p>
    <w:p w14:paraId="08124917" w14:textId="77777777" w:rsidR="00EB10AF" w:rsidRPr="00E727AF" w:rsidRDefault="00EB10AF" w:rsidP="00FB6278">
      <w:pPr>
        <w:ind w:left="-567" w:right="-613"/>
        <w:jc w:val="both"/>
        <w:rPr>
          <w:rFonts w:ascii="Arial" w:hAnsi="Arial"/>
          <w:sz w:val="22"/>
        </w:rPr>
      </w:pPr>
    </w:p>
    <w:p w14:paraId="408AB519" w14:textId="77777777" w:rsidR="00EB10AF" w:rsidRPr="00E727AF" w:rsidRDefault="00EB10AF" w:rsidP="00FB6278">
      <w:pPr>
        <w:ind w:left="-567" w:right="-613"/>
        <w:jc w:val="both"/>
        <w:rPr>
          <w:rFonts w:ascii="Arial" w:hAnsi="Arial"/>
          <w:sz w:val="22"/>
        </w:rPr>
      </w:pPr>
    </w:p>
    <w:tbl>
      <w:tblPr>
        <w:tblW w:w="10644" w:type="dxa"/>
        <w:tblInd w:w="-812" w:type="dxa"/>
        <w:tblLook w:val="04A0" w:firstRow="1" w:lastRow="0" w:firstColumn="1" w:lastColumn="0" w:noHBand="0" w:noVBand="1"/>
      </w:tblPr>
      <w:tblGrid>
        <w:gridCol w:w="3880"/>
        <w:gridCol w:w="1380"/>
        <w:gridCol w:w="1380"/>
        <w:gridCol w:w="2002"/>
        <w:gridCol w:w="2002"/>
      </w:tblGrid>
      <w:tr w:rsidR="00EB10AF" w:rsidRPr="00E711EE" w14:paraId="7EEE9C34" w14:textId="77777777" w:rsidTr="005E0560">
        <w:trPr>
          <w:trHeight w:val="300"/>
        </w:trPr>
        <w:tc>
          <w:tcPr>
            <w:tcW w:w="3880" w:type="dxa"/>
            <w:tcBorders>
              <w:top w:val="nil"/>
              <w:left w:val="nil"/>
              <w:bottom w:val="nil"/>
              <w:right w:val="nil"/>
            </w:tcBorders>
            <w:shd w:val="clear" w:color="auto" w:fill="auto"/>
            <w:noWrap/>
            <w:vAlign w:val="bottom"/>
            <w:hideMark/>
          </w:tcPr>
          <w:p w14:paraId="24524D56" w14:textId="77777777" w:rsidR="00EB10AF" w:rsidRPr="00E727AF" w:rsidRDefault="00EB10AF" w:rsidP="00FB6278">
            <w:pPr>
              <w:rPr>
                <w:rFonts w:ascii="Arial" w:hAnsi="Arial"/>
                <w:color w:val="000000"/>
                <w:sz w:val="22"/>
              </w:rPr>
            </w:pPr>
          </w:p>
        </w:tc>
        <w:tc>
          <w:tcPr>
            <w:tcW w:w="1380" w:type="dxa"/>
            <w:tcBorders>
              <w:top w:val="single" w:sz="4" w:space="0" w:color="auto"/>
              <w:left w:val="single" w:sz="4" w:space="0" w:color="auto"/>
              <w:bottom w:val="nil"/>
              <w:right w:val="single" w:sz="4" w:space="0" w:color="auto"/>
            </w:tcBorders>
            <w:shd w:val="clear" w:color="auto" w:fill="auto"/>
            <w:noWrap/>
            <w:vAlign w:val="bottom"/>
            <w:hideMark/>
          </w:tcPr>
          <w:p w14:paraId="046D9A23" w14:textId="77777777" w:rsidR="00EB10AF" w:rsidRPr="00E727AF" w:rsidRDefault="00EB10AF" w:rsidP="00FB6278">
            <w:pPr>
              <w:jc w:val="right"/>
              <w:rPr>
                <w:rFonts w:ascii="Arial" w:hAnsi="Arial"/>
                <w:b/>
                <w:color w:val="000000"/>
                <w:sz w:val="22"/>
              </w:rPr>
            </w:pPr>
            <w:r w:rsidRPr="00E727AF">
              <w:rPr>
                <w:rFonts w:ascii="Arial" w:hAnsi="Arial"/>
                <w:b/>
                <w:color w:val="000000"/>
                <w:sz w:val="22"/>
              </w:rPr>
              <w:t>2021/22</w:t>
            </w:r>
          </w:p>
        </w:tc>
        <w:tc>
          <w:tcPr>
            <w:tcW w:w="1380" w:type="dxa"/>
            <w:tcBorders>
              <w:top w:val="single" w:sz="4" w:space="0" w:color="auto"/>
              <w:left w:val="nil"/>
              <w:bottom w:val="nil"/>
              <w:right w:val="nil"/>
            </w:tcBorders>
            <w:shd w:val="clear" w:color="auto" w:fill="auto"/>
            <w:noWrap/>
            <w:vAlign w:val="bottom"/>
            <w:hideMark/>
          </w:tcPr>
          <w:p w14:paraId="7BBEE589" w14:textId="77777777" w:rsidR="00EB10AF" w:rsidRPr="00E727AF" w:rsidRDefault="00EB10AF" w:rsidP="00FB6278">
            <w:pPr>
              <w:jc w:val="right"/>
              <w:rPr>
                <w:rFonts w:ascii="Arial" w:hAnsi="Arial"/>
                <w:b/>
                <w:color w:val="000000"/>
                <w:sz w:val="22"/>
              </w:rPr>
            </w:pPr>
            <w:r w:rsidRPr="00E727AF">
              <w:rPr>
                <w:rFonts w:ascii="Arial" w:hAnsi="Arial"/>
                <w:b/>
                <w:color w:val="000000"/>
                <w:sz w:val="22"/>
              </w:rPr>
              <w:t>2021/22</w:t>
            </w:r>
          </w:p>
        </w:tc>
        <w:tc>
          <w:tcPr>
            <w:tcW w:w="2002" w:type="dxa"/>
            <w:tcBorders>
              <w:top w:val="single" w:sz="4" w:space="0" w:color="auto"/>
              <w:left w:val="single" w:sz="4" w:space="0" w:color="auto"/>
              <w:bottom w:val="nil"/>
              <w:right w:val="single" w:sz="4" w:space="0" w:color="auto"/>
            </w:tcBorders>
            <w:shd w:val="clear" w:color="auto" w:fill="auto"/>
            <w:noWrap/>
            <w:vAlign w:val="bottom"/>
            <w:hideMark/>
          </w:tcPr>
          <w:p w14:paraId="6578BB25" w14:textId="7C28F975" w:rsidR="00EB10AF" w:rsidRPr="00E727AF" w:rsidRDefault="00EB10AF" w:rsidP="00FB6278">
            <w:pPr>
              <w:jc w:val="right"/>
              <w:rPr>
                <w:rFonts w:ascii="Arial" w:hAnsi="Arial"/>
                <w:b/>
                <w:color w:val="000000"/>
                <w:sz w:val="22"/>
              </w:rPr>
            </w:pPr>
            <w:r w:rsidRPr="00E727AF">
              <w:rPr>
                <w:rFonts w:ascii="Arial" w:hAnsi="Arial"/>
                <w:b/>
                <w:color w:val="000000"/>
                <w:sz w:val="22"/>
              </w:rPr>
              <w:t>202</w:t>
            </w:r>
            <w:r w:rsidR="007F2C0C">
              <w:rPr>
                <w:rFonts w:ascii="Arial" w:hAnsi="Arial"/>
                <w:b/>
                <w:color w:val="000000"/>
                <w:sz w:val="22"/>
              </w:rPr>
              <w:t>0</w:t>
            </w:r>
            <w:r w:rsidRPr="00E727AF">
              <w:rPr>
                <w:rFonts w:ascii="Arial" w:hAnsi="Arial"/>
                <w:b/>
                <w:color w:val="000000"/>
                <w:sz w:val="22"/>
              </w:rPr>
              <w:t>/2</w:t>
            </w:r>
            <w:r w:rsidR="007F2C0C">
              <w:rPr>
                <w:rFonts w:ascii="Arial" w:hAnsi="Arial"/>
                <w:b/>
                <w:color w:val="000000"/>
                <w:sz w:val="22"/>
              </w:rPr>
              <w:t>1</w:t>
            </w:r>
          </w:p>
        </w:tc>
        <w:tc>
          <w:tcPr>
            <w:tcW w:w="2002" w:type="dxa"/>
            <w:tcBorders>
              <w:top w:val="single" w:sz="4" w:space="0" w:color="auto"/>
              <w:left w:val="nil"/>
              <w:bottom w:val="nil"/>
              <w:right w:val="single" w:sz="4" w:space="0" w:color="auto"/>
            </w:tcBorders>
            <w:shd w:val="clear" w:color="auto" w:fill="auto"/>
            <w:noWrap/>
            <w:vAlign w:val="bottom"/>
            <w:hideMark/>
          </w:tcPr>
          <w:p w14:paraId="63B05660" w14:textId="2792AD33" w:rsidR="00EB10AF" w:rsidRPr="00E727AF" w:rsidRDefault="00EB10AF" w:rsidP="00FB6278">
            <w:pPr>
              <w:jc w:val="right"/>
              <w:rPr>
                <w:rFonts w:ascii="Arial" w:hAnsi="Arial"/>
                <w:b/>
                <w:color w:val="000000"/>
                <w:sz w:val="22"/>
              </w:rPr>
            </w:pPr>
            <w:r w:rsidRPr="00E727AF">
              <w:rPr>
                <w:rFonts w:ascii="Arial" w:hAnsi="Arial"/>
                <w:b/>
                <w:color w:val="000000"/>
                <w:sz w:val="22"/>
              </w:rPr>
              <w:t>202</w:t>
            </w:r>
            <w:r w:rsidR="007F2C0C">
              <w:rPr>
                <w:rFonts w:ascii="Arial" w:hAnsi="Arial"/>
                <w:b/>
                <w:color w:val="000000"/>
                <w:sz w:val="22"/>
              </w:rPr>
              <w:t>0</w:t>
            </w:r>
            <w:r w:rsidRPr="00E727AF">
              <w:rPr>
                <w:rFonts w:ascii="Arial" w:hAnsi="Arial"/>
                <w:b/>
                <w:color w:val="000000"/>
                <w:sz w:val="22"/>
              </w:rPr>
              <w:t>/2</w:t>
            </w:r>
            <w:r w:rsidR="007F2C0C">
              <w:rPr>
                <w:rFonts w:ascii="Arial" w:hAnsi="Arial"/>
                <w:b/>
                <w:color w:val="000000"/>
                <w:sz w:val="22"/>
              </w:rPr>
              <w:t>1</w:t>
            </w:r>
          </w:p>
        </w:tc>
      </w:tr>
      <w:tr w:rsidR="00EB10AF" w:rsidRPr="00E711EE" w14:paraId="59C11087" w14:textId="77777777" w:rsidTr="005E0560">
        <w:trPr>
          <w:trHeight w:val="290"/>
        </w:trPr>
        <w:tc>
          <w:tcPr>
            <w:tcW w:w="3880" w:type="dxa"/>
            <w:tcBorders>
              <w:top w:val="nil"/>
              <w:left w:val="nil"/>
              <w:bottom w:val="nil"/>
              <w:right w:val="nil"/>
            </w:tcBorders>
            <w:shd w:val="clear" w:color="auto" w:fill="auto"/>
            <w:noWrap/>
            <w:vAlign w:val="bottom"/>
            <w:hideMark/>
          </w:tcPr>
          <w:p w14:paraId="22EB7659" w14:textId="77777777" w:rsidR="00EB10AF" w:rsidRPr="00E727AF" w:rsidRDefault="00EB10AF" w:rsidP="00FB6278">
            <w:pPr>
              <w:rPr>
                <w:rFonts w:ascii="Arial" w:hAnsi="Arial"/>
                <w:color w:val="000000"/>
                <w:sz w:val="22"/>
              </w:rPr>
            </w:pP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3E27E6C2" w14:textId="77777777" w:rsidR="00EB10AF" w:rsidRPr="00E727AF" w:rsidRDefault="00EB10AF" w:rsidP="00FB6278">
            <w:pPr>
              <w:jc w:val="right"/>
              <w:rPr>
                <w:rFonts w:ascii="Arial" w:hAnsi="Arial"/>
                <w:b/>
                <w:color w:val="000000"/>
                <w:sz w:val="22"/>
              </w:rPr>
            </w:pPr>
            <w:r w:rsidRPr="00E727AF">
              <w:rPr>
                <w:rFonts w:ascii="Arial" w:hAnsi="Arial"/>
                <w:b/>
                <w:color w:val="000000"/>
                <w:sz w:val="22"/>
              </w:rPr>
              <w:t>Number</w:t>
            </w:r>
          </w:p>
        </w:tc>
        <w:tc>
          <w:tcPr>
            <w:tcW w:w="1380" w:type="dxa"/>
            <w:tcBorders>
              <w:top w:val="nil"/>
              <w:left w:val="nil"/>
              <w:bottom w:val="single" w:sz="4" w:space="0" w:color="auto"/>
              <w:right w:val="nil"/>
            </w:tcBorders>
            <w:shd w:val="clear" w:color="auto" w:fill="auto"/>
            <w:noWrap/>
            <w:vAlign w:val="bottom"/>
            <w:hideMark/>
          </w:tcPr>
          <w:p w14:paraId="1BCC83AF" w14:textId="77777777" w:rsidR="00EB10AF" w:rsidRPr="00E727AF" w:rsidRDefault="00EB10AF" w:rsidP="00FB6278">
            <w:pPr>
              <w:jc w:val="right"/>
              <w:rPr>
                <w:rFonts w:ascii="Arial" w:hAnsi="Arial"/>
                <w:b/>
                <w:color w:val="000000"/>
                <w:sz w:val="22"/>
              </w:rPr>
            </w:pPr>
            <w:r w:rsidRPr="00E727AF">
              <w:rPr>
                <w:rFonts w:ascii="Arial" w:hAnsi="Arial"/>
                <w:b/>
                <w:color w:val="000000"/>
                <w:sz w:val="22"/>
              </w:rPr>
              <w:t>£000</w:t>
            </w:r>
          </w:p>
        </w:tc>
        <w:tc>
          <w:tcPr>
            <w:tcW w:w="2002" w:type="dxa"/>
            <w:tcBorders>
              <w:top w:val="nil"/>
              <w:left w:val="single" w:sz="4" w:space="0" w:color="auto"/>
              <w:bottom w:val="single" w:sz="4" w:space="0" w:color="auto"/>
              <w:right w:val="single" w:sz="4" w:space="0" w:color="auto"/>
            </w:tcBorders>
            <w:shd w:val="clear" w:color="auto" w:fill="auto"/>
            <w:noWrap/>
            <w:vAlign w:val="bottom"/>
            <w:hideMark/>
          </w:tcPr>
          <w:p w14:paraId="0FE496EF" w14:textId="77777777" w:rsidR="00EB10AF" w:rsidRPr="00E727AF" w:rsidRDefault="00EB10AF" w:rsidP="00FB6278">
            <w:pPr>
              <w:jc w:val="right"/>
              <w:rPr>
                <w:rFonts w:ascii="Arial" w:hAnsi="Arial"/>
                <w:b/>
                <w:color w:val="000000"/>
                <w:sz w:val="22"/>
              </w:rPr>
            </w:pPr>
            <w:r w:rsidRPr="00E727AF">
              <w:rPr>
                <w:rFonts w:ascii="Arial" w:hAnsi="Arial"/>
                <w:b/>
                <w:color w:val="000000"/>
                <w:sz w:val="22"/>
              </w:rPr>
              <w:t>Number</w:t>
            </w:r>
          </w:p>
        </w:tc>
        <w:tc>
          <w:tcPr>
            <w:tcW w:w="2002" w:type="dxa"/>
            <w:tcBorders>
              <w:top w:val="nil"/>
              <w:left w:val="nil"/>
              <w:bottom w:val="single" w:sz="4" w:space="0" w:color="auto"/>
              <w:right w:val="single" w:sz="4" w:space="0" w:color="auto"/>
            </w:tcBorders>
            <w:shd w:val="clear" w:color="auto" w:fill="auto"/>
            <w:noWrap/>
            <w:vAlign w:val="bottom"/>
            <w:hideMark/>
          </w:tcPr>
          <w:p w14:paraId="4F7F17CE" w14:textId="77777777" w:rsidR="00EB10AF" w:rsidRPr="00E727AF" w:rsidRDefault="00EB10AF" w:rsidP="00FB6278">
            <w:pPr>
              <w:jc w:val="right"/>
              <w:rPr>
                <w:rFonts w:ascii="Arial" w:hAnsi="Arial"/>
                <w:b/>
                <w:color w:val="000000"/>
                <w:sz w:val="22"/>
              </w:rPr>
            </w:pPr>
            <w:r w:rsidRPr="00E727AF">
              <w:rPr>
                <w:rFonts w:ascii="Arial" w:hAnsi="Arial"/>
                <w:b/>
                <w:color w:val="000000"/>
                <w:sz w:val="22"/>
              </w:rPr>
              <w:t>£000</w:t>
            </w:r>
          </w:p>
        </w:tc>
      </w:tr>
      <w:tr w:rsidR="00EB10AF" w:rsidRPr="00E711EE" w14:paraId="3323FDA7" w14:textId="77777777" w:rsidTr="005E0560">
        <w:trPr>
          <w:trHeight w:val="300"/>
        </w:trPr>
        <w:tc>
          <w:tcPr>
            <w:tcW w:w="3880" w:type="dxa"/>
            <w:tcBorders>
              <w:top w:val="single" w:sz="4" w:space="0" w:color="auto"/>
              <w:left w:val="single" w:sz="4" w:space="0" w:color="auto"/>
              <w:bottom w:val="nil"/>
              <w:right w:val="single" w:sz="4" w:space="0" w:color="auto"/>
            </w:tcBorders>
            <w:shd w:val="clear" w:color="auto" w:fill="auto"/>
            <w:noWrap/>
            <w:vAlign w:val="bottom"/>
            <w:hideMark/>
          </w:tcPr>
          <w:p w14:paraId="5EA3EAF3" w14:textId="7343E564" w:rsidR="00EB10AF" w:rsidRPr="00E727AF" w:rsidRDefault="00EB10AF" w:rsidP="00FB6278">
            <w:pPr>
              <w:rPr>
                <w:rFonts w:ascii="Arial" w:hAnsi="Arial"/>
                <w:b/>
                <w:color w:val="000000"/>
                <w:sz w:val="22"/>
              </w:rPr>
            </w:pPr>
            <w:r w:rsidRPr="00E727AF">
              <w:rPr>
                <w:rFonts w:ascii="Arial" w:hAnsi="Arial"/>
                <w:b/>
                <w:color w:val="000000"/>
                <w:sz w:val="22"/>
              </w:rPr>
              <w:t>Non</w:t>
            </w:r>
            <w:r w:rsidR="00E20576" w:rsidRPr="00E727AF">
              <w:rPr>
                <w:rFonts w:ascii="Arial" w:hAnsi="Arial"/>
                <w:b/>
                <w:color w:val="000000"/>
                <w:sz w:val="22"/>
              </w:rPr>
              <w:t>-</w:t>
            </w:r>
            <w:r w:rsidRPr="00E727AF">
              <w:rPr>
                <w:rFonts w:ascii="Arial" w:hAnsi="Arial"/>
                <w:b/>
                <w:color w:val="000000"/>
                <w:sz w:val="22"/>
              </w:rPr>
              <w:t>NHS</w:t>
            </w:r>
          </w:p>
        </w:tc>
        <w:tc>
          <w:tcPr>
            <w:tcW w:w="1380" w:type="dxa"/>
            <w:tcBorders>
              <w:top w:val="nil"/>
              <w:left w:val="nil"/>
              <w:bottom w:val="nil"/>
              <w:right w:val="single" w:sz="4" w:space="0" w:color="auto"/>
            </w:tcBorders>
            <w:shd w:val="clear" w:color="auto" w:fill="auto"/>
            <w:noWrap/>
            <w:vAlign w:val="bottom"/>
            <w:hideMark/>
          </w:tcPr>
          <w:p w14:paraId="5179594C" w14:textId="77777777" w:rsidR="00EB10AF" w:rsidRPr="00E727AF" w:rsidRDefault="00EB10AF" w:rsidP="00FB6278">
            <w:pPr>
              <w:jc w:val="right"/>
              <w:rPr>
                <w:rFonts w:ascii="Arial" w:hAnsi="Arial"/>
                <w:color w:val="000000"/>
                <w:sz w:val="22"/>
              </w:rPr>
            </w:pPr>
            <w:r w:rsidRPr="00E727AF">
              <w:rPr>
                <w:rFonts w:ascii="Arial" w:hAnsi="Arial"/>
                <w:color w:val="000000"/>
                <w:sz w:val="22"/>
              </w:rPr>
              <w:t> </w:t>
            </w:r>
          </w:p>
        </w:tc>
        <w:tc>
          <w:tcPr>
            <w:tcW w:w="1380" w:type="dxa"/>
            <w:tcBorders>
              <w:top w:val="nil"/>
              <w:left w:val="nil"/>
              <w:bottom w:val="nil"/>
              <w:right w:val="nil"/>
            </w:tcBorders>
            <w:shd w:val="clear" w:color="auto" w:fill="auto"/>
            <w:noWrap/>
            <w:vAlign w:val="bottom"/>
            <w:hideMark/>
          </w:tcPr>
          <w:p w14:paraId="37639D77" w14:textId="77777777" w:rsidR="00EB10AF" w:rsidRPr="00E727AF" w:rsidRDefault="00EB10AF" w:rsidP="00FB6278">
            <w:pPr>
              <w:jc w:val="right"/>
              <w:rPr>
                <w:rFonts w:ascii="Arial" w:hAnsi="Arial"/>
                <w:color w:val="000000"/>
                <w:sz w:val="22"/>
              </w:rPr>
            </w:pPr>
            <w:r w:rsidRPr="00E727AF">
              <w:rPr>
                <w:rFonts w:ascii="Arial" w:hAnsi="Arial"/>
                <w:color w:val="000000"/>
                <w:sz w:val="22"/>
              </w:rPr>
              <w:t> </w:t>
            </w:r>
          </w:p>
        </w:tc>
        <w:tc>
          <w:tcPr>
            <w:tcW w:w="2002" w:type="dxa"/>
            <w:tcBorders>
              <w:top w:val="nil"/>
              <w:left w:val="single" w:sz="4" w:space="0" w:color="auto"/>
              <w:bottom w:val="nil"/>
              <w:right w:val="single" w:sz="4" w:space="0" w:color="auto"/>
            </w:tcBorders>
            <w:shd w:val="clear" w:color="auto" w:fill="auto"/>
            <w:noWrap/>
            <w:vAlign w:val="bottom"/>
            <w:hideMark/>
          </w:tcPr>
          <w:p w14:paraId="039CA471" w14:textId="77777777" w:rsidR="00EB10AF" w:rsidRPr="00E727AF" w:rsidRDefault="00EB10AF" w:rsidP="00FB6278">
            <w:pPr>
              <w:jc w:val="right"/>
              <w:rPr>
                <w:rFonts w:ascii="Arial" w:hAnsi="Arial"/>
                <w:color w:val="000000"/>
                <w:sz w:val="22"/>
              </w:rPr>
            </w:pPr>
            <w:r w:rsidRPr="00E727AF">
              <w:rPr>
                <w:rFonts w:ascii="Arial" w:hAnsi="Arial"/>
                <w:color w:val="000000"/>
                <w:sz w:val="22"/>
              </w:rPr>
              <w:t> </w:t>
            </w:r>
          </w:p>
        </w:tc>
        <w:tc>
          <w:tcPr>
            <w:tcW w:w="2002" w:type="dxa"/>
            <w:tcBorders>
              <w:top w:val="nil"/>
              <w:left w:val="nil"/>
              <w:bottom w:val="nil"/>
              <w:right w:val="single" w:sz="4" w:space="0" w:color="auto"/>
            </w:tcBorders>
            <w:shd w:val="clear" w:color="auto" w:fill="auto"/>
            <w:noWrap/>
            <w:vAlign w:val="bottom"/>
            <w:hideMark/>
          </w:tcPr>
          <w:p w14:paraId="2B5D3E19" w14:textId="77777777" w:rsidR="00EB10AF" w:rsidRPr="00E727AF" w:rsidRDefault="00EB10AF" w:rsidP="00FB6278">
            <w:pPr>
              <w:jc w:val="right"/>
              <w:rPr>
                <w:rFonts w:ascii="Arial" w:hAnsi="Arial"/>
                <w:color w:val="000000"/>
                <w:sz w:val="22"/>
              </w:rPr>
            </w:pPr>
            <w:r w:rsidRPr="00E727AF">
              <w:rPr>
                <w:rFonts w:ascii="Arial" w:hAnsi="Arial"/>
                <w:color w:val="000000"/>
                <w:sz w:val="22"/>
              </w:rPr>
              <w:t> </w:t>
            </w:r>
          </w:p>
        </w:tc>
      </w:tr>
      <w:tr w:rsidR="00EB10AF" w:rsidRPr="00E711EE" w14:paraId="2C1888B7" w14:textId="77777777" w:rsidTr="005E0560">
        <w:trPr>
          <w:trHeight w:val="300"/>
        </w:trPr>
        <w:tc>
          <w:tcPr>
            <w:tcW w:w="3880" w:type="dxa"/>
            <w:tcBorders>
              <w:top w:val="nil"/>
              <w:left w:val="single" w:sz="4" w:space="0" w:color="auto"/>
              <w:bottom w:val="nil"/>
              <w:right w:val="single" w:sz="4" w:space="0" w:color="auto"/>
            </w:tcBorders>
            <w:shd w:val="clear" w:color="auto" w:fill="auto"/>
            <w:noWrap/>
            <w:vAlign w:val="bottom"/>
            <w:hideMark/>
          </w:tcPr>
          <w:p w14:paraId="06C6CED5" w14:textId="77777777" w:rsidR="00EB10AF" w:rsidRPr="00E727AF" w:rsidRDefault="00EB10AF" w:rsidP="00FB6278">
            <w:pPr>
              <w:rPr>
                <w:rFonts w:ascii="Arial" w:hAnsi="Arial"/>
                <w:color w:val="000000"/>
                <w:sz w:val="22"/>
              </w:rPr>
            </w:pPr>
            <w:r w:rsidRPr="00E727AF">
              <w:rPr>
                <w:rFonts w:ascii="Arial" w:hAnsi="Arial"/>
                <w:color w:val="000000"/>
                <w:sz w:val="22"/>
              </w:rPr>
              <w:t>Total bills paid in the year</w:t>
            </w:r>
          </w:p>
        </w:tc>
        <w:tc>
          <w:tcPr>
            <w:tcW w:w="1380" w:type="dxa"/>
            <w:tcBorders>
              <w:top w:val="nil"/>
              <w:left w:val="nil"/>
              <w:bottom w:val="nil"/>
              <w:right w:val="single" w:sz="4" w:space="0" w:color="auto"/>
            </w:tcBorders>
            <w:shd w:val="clear" w:color="auto" w:fill="auto"/>
            <w:noWrap/>
            <w:vAlign w:val="bottom"/>
            <w:hideMark/>
          </w:tcPr>
          <w:p w14:paraId="13F968B8" w14:textId="77777777" w:rsidR="00EB10AF" w:rsidRPr="00E727AF" w:rsidRDefault="00EB10AF" w:rsidP="00FB6278">
            <w:pPr>
              <w:jc w:val="right"/>
              <w:rPr>
                <w:rFonts w:ascii="Arial" w:hAnsi="Arial"/>
                <w:color w:val="000000"/>
                <w:sz w:val="22"/>
              </w:rPr>
            </w:pPr>
            <w:r w:rsidRPr="00E727AF">
              <w:rPr>
                <w:rFonts w:ascii="Arial" w:hAnsi="Arial"/>
                <w:color w:val="000000"/>
                <w:sz w:val="22"/>
              </w:rPr>
              <w:t>33,280</w:t>
            </w:r>
          </w:p>
        </w:tc>
        <w:tc>
          <w:tcPr>
            <w:tcW w:w="1380" w:type="dxa"/>
            <w:tcBorders>
              <w:top w:val="nil"/>
              <w:left w:val="nil"/>
              <w:bottom w:val="nil"/>
              <w:right w:val="nil"/>
            </w:tcBorders>
            <w:shd w:val="clear" w:color="auto" w:fill="auto"/>
            <w:noWrap/>
            <w:vAlign w:val="bottom"/>
            <w:hideMark/>
          </w:tcPr>
          <w:p w14:paraId="62331C2E" w14:textId="77777777" w:rsidR="00EB10AF" w:rsidRPr="00E727AF" w:rsidRDefault="00EB10AF" w:rsidP="00FB6278">
            <w:pPr>
              <w:jc w:val="right"/>
              <w:rPr>
                <w:rFonts w:ascii="Arial" w:hAnsi="Arial"/>
                <w:color w:val="000000"/>
                <w:sz w:val="22"/>
              </w:rPr>
            </w:pPr>
            <w:r w:rsidRPr="00E727AF">
              <w:rPr>
                <w:rFonts w:ascii="Arial" w:hAnsi="Arial"/>
                <w:color w:val="000000"/>
                <w:sz w:val="22"/>
              </w:rPr>
              <w:t>157,352</w:t>
            </w:r>
          </w:p>
        </w:tc>
        <w:tc>
          <w:tcPr>
            <w:tcW w:w="2002" w:type="dxa"/>
            <w:tcBorders>
              <w:top w:val="nil"/>
              <w:left w:val="single" w:sz="4" w:space="0" w:color="auto"/>
              <w:bottom w:val="nil"/>
              <w:right w:val="single" w:sz="4" w:space="0" w:color="auto"/>
            </w:tcBorders>
            <w:shd w:val="clear" w:color="auto" w:fill="auto"/>
            <w:noWrap/>
            <w:vAlign w:val="bottom"/>
            <w:hideMark/>
          </w:tcPr>
          <w:p w14:paraId="5DCCF989" w14:textId="77777777" w:rsidR="00EB10AF" w:rsidRPr="00E727AF" w:rsidRDefault="00EB10AF" w:rsidP="00FB6278">
            <w:pPr>
              <w:jc w:val="right"/>
              <w:rPr>
                <w:rFonts w:ascii="Arial" w:hAnsi="Arial"/>
                <w:color w:val="000000"/>
                <w:sz w:val="22"/>
              </w:rPr>
            </w:pPr>
            <w:r w:rsidRPr="00E727AF">
              <w:rPr>
                <w:rFonts w:ascii="Arial" w:hAnsi="Arial"/>
                <w:color w:val="000000"/>
                <w:sz w:val="22"/>
              </w:rPr>
              <w:t>23,762</w:t>
            </w:r>
          </w:p>
        </w:tc>
        <w:tc>
          <w:tcPr>
            <w:tcW w:w="2002" w:type="dxa"/>
            <w:tcBorders>
              <w:top w:val="nil"/>
              <w:left w:val="nil"/>
              <w:bottom w:val="nil"/>
              <w:right w:val="single" w:sz="4" w:space="0" w:color="auto"/>
            </w:tcBorders>
            <w:shd w:val="clear" w:color="auto" w:fill="auto"/>
            <w:noWrap/>
            <w:vAlign w:val="bottom"/>
            <w:hideMark/>
          </w:tcPr>
          <w:p w14:paraId="1B8DDB08" w14:textId="77777777" w:rsidR="00EB10AF" w:rsidRPr="00E727AF" w:rsidRDefault="00EB10AF" w:rsidP="00FB6278">
            <w:pPr>
              <w:jc w:val="right"/>
              <w:rPr>
                <w:rFonts w:ascii="Arial" w:hAnsi="Arial"/>
                <w:color w:val="000000"/>
                <w:sz w:val="22"/>
              </w:rPr>
            </w:pPr>
            <w:r w:rsidRPr="00E727AF">
              <w:rPr>
                <w:rFonts w:ascii="Arial" w:hAnsi="Arial"/>
                <w:color w:val="000000"/>
                <w:sz w:val="22"/>
              </w:rPr>
              <w:t>125,291</w:t>
            </w:r>
          </w:p>
        </w:tc>
      </w:tr>
      <w:tr w:rsidR="00EB10AF" w:rsidRPr="00E711EE" w14:paraId="786CA689" w14:textId="77777777" w:rsidTr="005E0560">
        <w:trPr>
          <w:trHeight w:val="300"/>
        </w:trPr>
        <w:tc>
          <w:tcPr>
            <w:tcW w:w="3880" w:type="dxa"/>
            <w:tcBorders>
              <w:top w:val="nil"/>
              <w:left w:val="single" w:sz="4" w:space="0" w:color="auto"/>
              <w:bottom w:val="nil"/>
              <w:right w:val="single" w:sz="4" w:space="0" w:color="auto"/>
            </w:tcBorders>
            <w:shd w:val="clear" w:color="auto" w:fill="auto"/>
            <w:noWrap/>
            <w:vAlign w:val="bottom"/>
            <w:hideMark/>
          </w:tcPr>
          <w:p w14:paraId="4441A0E8" w14:textId="77777777" w:rsidR="00EB10AF" w:rsidRPr="00E727AF" w:rsidRDefault="00EB10AF" w:rsidP="00FB6278">
            <w:pPr>
              <w:rPr>
                <w:rFonts w:ascii="Arial" w:hAnsi="Arial"/>
                <w:color w:val="000000"/>
                <w:sz w:val="22"/>
              </w:rPr>
            </w:pPr>
            <w:r w:rsidRPr="00E727AF">
              <w:rPr>
                <w:rFonts w:ascii="Arial" w:hAnsi="Arial"/>
                <w:color w:val="000000"/>
                <w:sz w:val="22"/>
              </w:rPr>
              <w:t>Total bills paid within target</w:t>
            </w:r>
          </w:p>
        </w:tc>
        <w:tc>
          <w:tcPr>
            <w:tcW w:w="1380" w:type="dxa"/>
            <w:tcBorders>
              <w:top w:val="nil"/>
              <w:left w:val="nil"/>
              <w:bottom w:val="nil"/>
              <w:right w:val="single" w:sz="4" w:space="0" w:color="auto"/>
            </w:tcBorders>
            <w:shd w:val="clear" w:color="auto" w:fill="auto"/>
            <w:noWrap/>
            <w:vAlign w:val="bottom"/>
            <w:hideMark/>
          </w:tcPr>
          <w:p w14:paraId="24C6C89D" w14:textId="77777777" w:rsidR="00EB10AF" w:rsidRPr="00E727AF" w:rsidRDefault="00EB10AF" w:rsidP="00FB6278">
            <w:pPr>
              <w:jc w:val="right"/>
              <w:rPr>
                <w:rFonts w:ascii="Arial" w:hAnsi="Arial"/>
                <w:color w:val="000000"/>
                <w:sz w:val="22"/>
              </w:rPr>
            </w:pPr>
            <w:r w:rsidRPr="00E727AF">
              <w:rPr>
                <w:rFonts w:ascii="Arial" w:hAnsi="Arial"/>
                <w:color w:val="000000"/>
                <w:sz w:val="22"/>
              </w:rPr>
              <w:t>30,237</w:t>
            </w:r>
          </w:p>
        </w:tc>
        <w:tc>
          <w:tcPr>
            <w:tcW w:w="1380" w:type="dxa"/>
            <w:tcBorders>
              <w:top w:val="nil"/>
              <w:left w:val="nil"/>
              <w:bottom w:val="nil"/>
              <w:right w:val="nil"/>
            </w:tcBorders>
            <w:shd w:val="clear" w:color="auto" w:fill="auto"/>
            <w:noWrap/>
            <w:vAlign w:val="bottom"/>
            <w:hideMark/>
          </w:tcPr>
          <w:p w14:paraId="790AEAD3" w14:textId="77777777" w:rsidR="00EB10AF" w:rsidRPr="00E727AF" w:rsidRDefault="00EB10AF" w:rsidP="00FB6278">
            <w:pPr>
              <w:jc w:val="right"/>
              <w:rPr>
                <w:rFonts w:ascii="Arial" w:hAnsi="Arial"/>
                <w:color w:val="000000"/>
                <w:sz w:val="22"/>
              </w:rPr>
            </w:pPr>
            <w:r w:rsidRPr="00E727AF">
              <w:rPr>
                <w:rFonts w:ascii="Arial" w:hAnsi="Arial"/>
                <w:color w:val="000000"/>
                <w:sz w:val="22"/>
              </w:rPr>
              <w:t>142,952</w:t>
            </w:r>
          </w:p>
        </w:tc>
        <w:tc>
          <w:tcPr>
            <w:tcW w:w="2002" w:type="dxa"/>
            <w:tcBorders>
              <w:top w:val="nil"/>
              <w:left w:val="single" w:sz="4" w:space="0" w:color="auto"/>
              <w:bottom w:val="nil"/>
              <w:right w:val="single" w:sz="4" w:space="0" w:color="auto"/>
            </w:tcBorders>
            <w:shd w:val="clear" w:color="auto" w:fill="auto"/>
            <w:noWrap/>
            <w:vAlign w:val="bottom"/>
            <w:hideMark/>
          </w:tcPr>
          <w:p w14:paraId="32DF9EE8" w14:textId="77777777" w:rsidR="00EB10AF" w:rsidRPr="00E727AF" w:rsidRDefault="00EB10AF" w:rsidP="00FB6278">
            <w:pPr>
              <w:jc w:val="right"/>
              <w:rPr>
                <w:rFonts w:ascii="Arial" w:hAnsi="Arial"/>
                <w:color w:val="000000"/>
                <w:sz w:val="22"/>
              </w:rPr>
            </w:pPr>
            <w:r w:rsidRPr="00E727AF">
              <w:rPr>
                <w:rFonts w:ascii="Arial" w:hAnsi="Arial"/>
                <w:color w:val="000000"/>
                <w:sz w:val="22"/>
              </w:rPr>
              <w:t>19,497</w:t>
            </w:r>
          </w:p>
        </w:tc>
        <w:tc>
          <w:tcPr>
            <w:tcW w:w="2002" w:type="dxa"/>
            <w:tcBorders>
              <w:top w:val="nil"/>
              <w:left w:val="nil"/>
              <w:bottom w:val="nil"/>
              <w:right w:val="single" w:sz="4" w:space="0" w:color="auto"/>
            </w:tcBorders>
            <w:shd w:val="clear" w:color="auto" w:fill="auto"/>
            <w:noWrap/>
            <w:vAlign w:val="bottom"/>
            <w:hideMark/>
          </w:tcPr>
          <w:p w14:paraId="47E006AB" w14:textId="77777777" w:rsidR="00EB10AF" w:rsidRPr="00E727AF" w:rsidRDefault="00EB10AF" w:rsidP="00FB6278">
            <w:pPr>
              <w:jc w:val="right"/>
              <w:rPr>
                <w:rFonts w:ascii="Arial" w:hAnsi="Arial"/>
                <w:color w:val="000000"/>
                <w:sz w:val="22"/>
              </w:rPr>
            </w:pPr>
            <w:r w:rsidRPr="00E727AF">
              <w:rPr>
                <w:rFonts w:ascii="Arial" w:hAnsi="Arial"/>
                <w:color w:val="000000"/>
                <w:sz w:val="22"/>
              </w:rPr>
              <w:t>103,515</w:t>
            </w:r>
          </w:p>
        </w:tc>
      </w:tr>
      <w:tr w:rsidR="00EB10AF" w:rsidRPr="00E711EE" w14:paraId="691833E7" w14:textId="77777777" w:rsidTr="005E0560">
        <w:trPr>
          <w:trHeight w:val="300"/>
        </w:trPr>
        <w:tc>
          <w:tcPr>
            <w:tcW w:w="3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DBC7E" w14:textId="77777777" w:rsidR="00EB10AF" w:rsidRPr="00E727AF" w:rsidRDefault="00EB10AF" w:rsidP="00FB6278">
            <w:pPr>
              <w:rPr>
                <w:rFonts w:ascii="Arial" w:hAnsi="Arial"/>
                <w:color w:val="000000"/>
                <w:sz w:val="22"/>
              </w:rPr>
            </w:pPr>
            <w:r w:rsidRPr="00E727AF">
              <w:rPr>
                <w:rFonts w:ascii="Arial" w:hAnsi="Arial"/>
                <w:color w:val="000000"/>
                <w:sz w:val="22"/>
              </w:rPr>
              <w:t>Percentages of bills paid within target</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0A752F2E" w14:textId="77777777" w:rsidR="00EB10AF" w:rsidRPr="00E727AF" w:rsidRDefault="00EB10AF" w:rsidP="00FB6278">
            <w:pPr>
              <w:jc w:val="right"/>
              <w:rPr>
                <w:rFonts w:ascii="Arial" w:hAnsi="Arial"/>
                <w:color w:val="000000"/>
                <w:sz w:val="22"/>
              </w:rPr>
            </w:pPr>
            <w:r w:rsidRPr="00E727AF">
              <w:rPr>
                <w:rFonts w:ascii="Arial" w:hAnsi="Arial"/>
                <w:color w:val="000000"/>
                <w:sz w:val="22"/>
              </w:rPr>
              <w:t>91%</w:t>
            </w:r>
          </w:p>
        </w:tc>
        <w:tc>
          <w:tcPr>
            <w:tcW w:w="1380" w:type="dxa"/>
            <w:tcBorders>
              <w:top w:val="single" w:sz="4" w:space="0" w:color="auto"/>
              <w:left w:val="nil"/>
              <w:bottom w:val="single" w:sz="4" w:space="0" w:color="auto"/>
              <w:right w:val="nil"/>
            </w:tcBorders>
            <w:shd w:val="clear" w:color="auto" w:fill="auto"/>
            <w:noWrap/>
            <w:vAlign w:val="bottom"/>
            <w:hideMark/>
          </w:tcPr>
          <w:p w14:paraId="4C9F9F7F" w14:textId="77777777" w:rsidR="00EB10AF" w:rsidRPr="00E727AF" w:rsidRDefault="00EB10AF" w:rsidP="00FB6278">
            <w:pPr>
              <w:jc w:val="right"/>
              <w:rPr>
                <w:rFonts w:ascii="Arial" w:hAnsi="Arial"/>
                <w:color w:val="000000"/>
                <w:sz w:val="22"/>
              </w:rPr>
            </w:pPr>
            <w:r w:rsidRPr="00E727AF">
              <w:rPr>
                <w:rFonts w:ascii="Arial" w:hAnsi="Arial"/>
                <w:color w:val="000000"/>
                <w:sz w:val="22"/>
              </w:rPr>
              <w:t>91%</w:t>
            </w: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6B649" w14:textId="77777777" w:rsidR="00EB10AF" w:rsidRPr="00E727AF" w:rsidRDefault="00EB10AF" w:rsidP="00FB6278">
            <w:pPr>
              <w:jc w:val="right"/>
              <w:rPr>
                <w:rFonts w:ascii="Arial" w:hAnsi="Arial"/>
                <w:color w:val="000000"/>
                <w:sz w:val="22"/>
              </w:rPr>
            </w:pPr>
            <w:r w:rsidRPr="00E727AF">
              <w:rPr>
                <w:rFonts w:ascii="Arial" w:hAnsi="Arial"/>
                <w:color w:val="000000"/>
                <w:sz w:val="22"/>
              </w:rPr>
              <w:t>82%</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14:paraId="567BDE9E" w14:textId="77777777" w:rsidR="00EB10AF" w:rsidRPr="00E727AF" w:rsidRDefault="00EB10AF" w:rsidP="00FB6278">
            <w:pPr>
              <w:jc w:val="right"/>
              <w:rPr>
                <w:rFonts w:ascii="Arial" w:hAnsi="Arial"/>
                <w:color w:val="000000"/>
                <w:sz w:val="22"/>
              </w:rPr>
            </w:pPr>
            <w:r w:rsidRPr="00E727AF">
              <w:rPr>
                <w:rFonts w:ascii="Arial" w:hAnsi="Arial"/>
                <w:color w:val="000000"/>
                <w:sz w:val="22"/>
              </w:rPr>
              <w:t>83%</w:t>
            </w:r>
          </w:p>
        </w:tc>
      </w:tr>
      <w:tr w:rsidR="00EB10AF" w:rsidRPr="00E711EE" w14:paraId="691F3AD6" w14:textId="77777777" w:rsidTr="005E0560">
        <w:trPr>
          <w:trHeight w:val="300"/>
        </w:trPr>
        <w:tc>
          <w:tcPr>
            <w:tcW w:w="3880" w:type="dxa"/>
            <w:tcBorders>
              <w:top w:val="nil"/>
              <w:left w:val="single" w:sz="4" w:space="0" w:color="auto"/>
              <w:bottom w:val="nil"/>
              <w:right w:val="single" w:sz="4" w:space="0" w:color="auto"/>
            </w:tcBorders>
            <w:shd w:val="clear" w:color="auto" w:fill="auto"/>
            <w:noWrap/>
            <w:vAlign w:val="bottom"/>
            <w:hideMark/>
          </w:tcPr>
          <w:p w14:paraId="608C2352" w14:textId="77777777" w:rsidR="00EB10AF" w:rsidRPr="00E727AF" w:rsidRDefault="00EB10AF" w:rsidP="00FB6278">
            <w:pPr>
              <w:rPr>
                <w:rFonts w:ascii="Arial" w:hAnsi="Arial"/>
                <w:b/>
                <w:color w:val="000000"/>
                <w:sz w:val="22"/>
              </w:rPr>
            </w:pPr>
            <w:r w:rsidRPr="00E727AF">
              <w:rPr>
                <w:rFonts w:ascii="Arial" w:hAnsi="Arial"/>
                <w:b/>
                <w:color w:val="000000"/>
                <w:sz w:val="22"/>
              </w:rPr>
              <w:t>NHS</w:t>
            </w:r>
          </w:p>
        </w:tc>
        <w:tc>
          <w:tcPr>
            <w:tcW w:w="1380" w:type="dxa"/>
            <w:tcBorders>
              <w:top w:val="nil"/>
              <w:left w:val="nil"/>
              <w:bottom w:val="nil"/>
              <w:right w:val="single" w:sz="4" w:space="0" w:color="auto"/>
            </w:tcBorders>
            <w:shd w:val="clear" w:color="auto" w:fill="auto"/>
            <w:noWrap/>
            <w:vAlign w:val="bottom"/>
            <w:hideMark/>
          </w:tcPr>
          <w:p w14:paraId="7B33EB09" w14:textId="77777777" w:rsidR="00EB10AF" w:rsidRPr="00E727AF" w:rsidRDefault="00EB10AF" w:rsidP="00FB6278">
            <w:pPr>
              <w:jc w:val="right"/>
              <w:rPr>
                <w:rFonts w:ascii="Arial" w:hAnsi="Arial"/>
                <w:color w:val="000000"/>
                <w:sz w:val="22"/>
              </w:rPr>
            </w:pPr>
            <w:r w:rsidRPr="00E727AF">
              <w:rPr>
                <w:rFonts w:ascii="Arial" w:hAnsi="Arial"/>
                <w:color w:val="000000"/>
                <w:sz w:val="22"/>
              </w:rPr>
              <w:t> </w:t>
            </w:r>
          </w:p>
        </w:tc>
        <w:tc>
          <w:tcPr>
            <w:tcW w:w="1380" w:type="dxa"/>
            <w:tcBorders>
              <w:top w:val="nil"/>
              <w:left w:val="nil"/>
              <w:bottom w:val="nil"/>
              <w:right w:val="nil"/>
            </w:tcBorders>
            <w:shd w:val="clear" w:color="auto" w:fill="auto"/>
            <w:noWrap/>
            <w:vAlign w:val="bottom"/>
            <w:hideMark/>
          </w:tcPr>
          <w:p w14:paraId="11CCA7D7" w14:textId="77777777" w:rsidR="00EB10AF" w:rsidRPr="00E727AF" w:rsidRDefault="00EB10AF" w:rsidP="00FB6278">
            <w:pPr>
              <w:jc w:val="right"/>
              <w:rPr>
                <w:rFonts w:ascii="Arial" w:hAnsi="Arial"/>
                <w:color w:val="000000"/>
                <w:sz w:val="22"/>
              </w:rPr>
            </w:pPr>
            <w:r w:rsidRPr="00E727AF">
              <w:rPr>
                <w:rFonts w:ascii="Arial" w:hAnsi="Arial"/>
                <w:color w:val="000000"/>
                <w:sz w:val="22"/>
              </w:rPr>
              <w:t> </w:t>
            </w:r>
          </w:p>
        </w:tc>
        <w:tc>
          <w:tcPr>
            <w:tcW w:w="2002" w:type="dxa"/>
            <w:tcBorders>
              <w:top w:val="nil"/>
              <w:left w:val="single" w:sz="4" w:space="0" w:color="auto"/>
              <w:bottom w:val="nil"/>
              <w:right w:val="single" w:sz="4" w:space="0" w:color="auto"/>
            </w:tcBorders>
            <w:shd w:val="clear" w:color="auto" w:fill="auto"/>
            <w:noWrap/>
            <w:vAlign w:val="bottom"/>
            <w:hideMark/>
          </w:tcPr>
          <w:p w14:paraId="734FA869" w14:textId="77777777" w:rsidR="00EB10AF" w:rsidRPr="00E727AF" w:rsidRDefault="00EB10AF" w:rsidP="00FB6278">
            <w:pPr>
              <w:jc w:val="right"/>
              <w:rPr>
                <w:rFonts w:ascii="Arial" w:hAnsi="Arial"/>
                <w:color w:val="000000"/>
                <w:sz w:val="22"/>
              </w:rPr>
            </w:pPr>
            <w:r w:rsidRPr="00E727AF">
              <w:rPr>
                <w:rFonts w:ascii="Arial" w:hAnsi="Arial"/>
                <w:color w:val="000000"/>
                <w:sz w:val="22"/>
              </w:rPr>
              <w:t> </w:t>
            </w:r>
          </w:p>
        </w:tc>
        <w:tc>
          <w:tcPr>
            <w:tcW w:w="2002" w:type="dxa"/>
            <w:tcBorders>
              <w:top w:val="nil"/>
              <w:left w:val="nil"/>
              <w:bottom w:val="nil"/>
              <w:right w:val="single" w:sz="4" w:space="0" w:color="auto"/>
            </w:tcBorders>
            <w:shd w:val="clear" w:color="auto" w:fill="auto"/>
            <w:noWrap/>
            <w:vAlign w:val="bottom"/>
            <w:hideMark/>
          </w:tcPr>
          <w:p w14:paraId="51FCC505" w14:textId="77777777" w:rsidR="00EB10AF" w:rsidRPr="00E727AF" w:rsidRDefault="00EB10AF" w:rsidP="00FB6278">
            <w:pPr>
              <w:jc w:val="right"/>
              <w:rPr>
                <w:rFonts w:ascii="Arial" w:hAnsi="Arial"/>
                <w:color w:val="000000"/>
                <w:sz w:val="22"/>
              </w:rPr>
            </w:pPr>
            <w:r w:rsidRPr="00E727AF">
              <w:rPr>
                <w:rFonts w:ascii="Arial" w:hAnsi="Arial"/>
                <w:color w:val="000000"/>
                <w:sz w:val="22"/>
              </w:rPr>
              <w:t> </w:t>
            </w:r>
          </w:p>
        </w:tc>
      </w:tr>
      <w:tr w:rsidR="00EB10AF" w:rsidRPr="00E711EE" w14:paraId="289D244B" w14:textId="77777777" w:rsidTr="005E0560">
        <w:trPr>
          <w:trHeight w:val="300"/>
        </w:trPr>
        <w:tc>
          <w:tcPr>
            <w:tcW w:w="3880" w:type="dxa"/>
            <w:tcBorders>
              <w:top w:val="nil"/>
              <w:left w:val="single" w:sz="4" w:space="0" w:color="auto"/>
              <w:bottom w:val="nil"/>
              <w:right w:val="single" w:sz="4" w:space="0" w:color="auto"/>
            </w:tcBorders>
            <w:shd w:val="clear" w:color="auto" w:fill="auto"/>
            <w:noWrap/>
            <w:vAlign w:val="bottom"/>
            <w:hideMark/>
          </w:tcPr>
          <w:p w14:paraId="6E2124C4" w14:textId="77777777" w:rsidR="00EB10AF" w:rsidRPr="00E727AF" w:rsidRDefault="00EB10AF" w:rsidP="00FB6278">
            <w:pPr>
              <w:rPr>
                <w:rFonts w:ascii="Arial" w:hAnsi="Arial"/>
                <w:color w:val="000000"/>
                <w:sz w:val="22"/>
              </w:rPr>
            </w:pPr>
            <w:r w:rsidRPr="00E727AF">
              <w:rPr>
                <w:rFonts w:ascii="Arial" w:hAnsi="Arial"/>
                <w:color w:val="000000"/>
                <w:sz w:val="22"/>
              </w:rPr>
              <w:t>Total bills paid in the year</w:t>
            </w:r>
          </w:p>
        </w:tc>
        <w:tc>
          <w:tcPr>
            <w:tcW w:w="1380" w:type="dxa"/>
            <w:tcBorders>
              <w:top w:val="nil"/>
              <w:left w:val="nil"/>
              <w:bottom w:val="nil"/>
              <w:right w:val="single" w:sz="4" w:space="0" w:color="auto"/>
            </w:tcBorders>
            <w:shd w:val="clear" w:color="auto" w:fill="auto"/>
            <w:noWrap/>
            <w:vAlign w:val="bottom"/>
            <w:hideMark/>
          </w:tcPr>
          <w:p w14:paraId="088C6B2B" w14:textId="77777777" w:rsidR="00EB10AF" w:rsidRPr="00E727AF" w:rsidRDefault="00EB10AF" w:rsidP="00FB6278">
            <w:pPr>
              <w:jc w:val="right"/>
              <w:rPr>
                <w:rFonts w:ascii="Arial" w:hAnsi="Arial"/>
                <w:color w:val="000000"/>
                <w:sz w:val="22"/>
              </w:rPr>
            </w:pPr>
            <w:r w:rsidRPr="00E727AF">
              <w:rPr>
                <w:rFonts w:ascii="Arial" w:hAnsi="Arial"/>
                <w:color w:val="000000"/>
                <w:sz w:val="22"/>
              </w:rPr>
              <w:t>1,830</w:t>
            </w:r>
          </w:p>
        </w:tc>
        <w:tc>
          <w:tcPr>
            <w:tcW w:w="1380" w:type="dxa"/>
            <w:tcBorders>
              <w:top w:val="nil"/>
              <w:left w:val="nil"/>
              <w:bottom w:val="nil"/>
              <w:right w:val="nil"/>
            </w:tcBorders>
            <w:shd w:val="clear" w:color="auto" w:fill="auto"/>
            <w:noWrap/>
            <w:vAlign w:val="bottom"/>
            <w:hideMark/>
          </w:tcPr>
          <w:p w14:paraId="0DF7FCC2" w14:textId="77777777" w:rsidR="00EB10AF" w:rsidRPr="00E727AF" w:rsidRDefault="00EB10AF" w:rsidP="00FB6278">
            <w:pPr>
              <w:jc w:val="right"/>
              <w:rPr>
                <w:rFonts w:ascii="Arial" w:hAnsi="Arial"/>
                <w:color w:val="000000"/>
                <w:sz w:val="22"/>
              </w:rPr>
            </w:pPr>
            <w:r w:rsidRPr="00E727AF">
              <w:rPr>
                <w:rFonts w:ascii="Arial" w:hAnsi="Arial"/>
                <w:color w:val="000000"/>
                <w:sz w:val="22"/>
              </w:rPr>
              <w:t>15,251</w:t>
            </w:r>
          </w:p>
        </w:tc>
        <w:tc>
          <w:tcPr>
            <w:tcW w:w="2002" w:type="dxa"/>
            <w:tcBorders>
              <w:top w:val="nil"/>
              <w:left w:val="single" w:sz="4" w:space="0" w:color="auto"/>
              <w:bottom w:val="nil"/>
              <w:right w:val="single" w:sz="4" w:space="0" w:color="auto"/>
            </w:tcBorders>
            <w:shd w:val="clear" w:color="auto" w:fill="auto"/>
            <w:noWrap/>
            <w:vAlign w:val="bottom"/>
            <w:hideMark/>
          </w:tcPr>
          <w:p w14:paraId="7DA8516D" w14:textId="77777777" w:rsidR="00EB10AF" w:rsidRPr="00E727AF" w:rsidRDefault="00EB10AF" w:rsidP="00FB6278">
            <w:pPr>
              <w:jc w:val="right"/>
              <w:rPr>
                <w:rFonts w:ascii="Arial" w:hAnsi="Arial"/>
                <w:color w:val="000000"/>
                <w:sz w:val="22"/>
              </w:rPr>
            </w:pPr>
            <w:r w:rsidRPr="00E727AF">
              <w:rPr>
                <w:rFonts w:ascii="Arial" w:hAnsi="Arial"/>
                <w:color w:val="000000"/>
                <w:sz w:val="22"/>
              </w:rPr>
              <w:t>1,736</w:t>
            </w:r>
          </w:p>
        </w:tc>
        <w:tc>
          <w:tcPr>
            <w:tcW w:w="2002" w:type="dxa"/>
            <w:tcBorders>
              <w:top w:val="nil"/>
              <w:left w:val="nil"/>
              <w:bottom w:val="nil"/>
              <w:right w:val="single" w:sz="4" w:space="0" w:color="auto"/>
            </w:tcBorders>
            <w:shd w:val="clear" w:color="auto" w:fill="auto"/>
            <w:noWrap/>
            <w:vAlign w:val="bottom"/>
            <w:hideMark/>
          </w:tcPr>
          <w:p w14:paraId="3D48B038" w14:textId="77777777" w:rsidR="00EB10AF" w:rsidRPr="00E727AF" w:rsidRDefault="00EB10AF" w:rsidP="00FB6278">
            <w:pPr>
              <w:jc w:val="right"/>
              <w:rPr>
                <w:rFonts w:ascii="Arial" w:hAnsi="Arial"/>
                <w:color w:val="000000"/>
                <w:sz w:val="22"/>
              </w:rPr>
            </w:pPr>
            <w:r w:rsidRPr="00E727AF">
              <w:rPr>
                <w:rFonts w:ascii="Arial" w:hAnsi="Arial"/>
                <w:color w:val="000000"/>
                <w:sz w:val="22"/>
              </w:rPr>
              <w:t>13,063</w:t>
            </w:r>
          </w:p>
        </w:tc>
      </w:tr>
      <w:tr w:rsidR="00EB10AF" w:rsidRPr="00E711EE" w14:paraId="546D8651" w14:textId="77777777" w:rsidTr="005E0560">
        <w:trPr>
          <w:trHeight w:val="300"/>
        </w:trPr>
        <w:tc>
          <w:tcPr>
            <w:tcW w:w="3880" w:type="dxa"/>
            <w:tcBorders>
              <w:top w:val="nil"/>
              <w:left w:val="single" w:sz="4" w:space="0" w:color="auto"/>
              <w:bottom w:val="nil"/>
              <w:right w:val="single" w:sz="4" w:space="0" w:color="auto"/>
            </w:tcBorders>
            <w:shd w:val="clear" w:color="auto" w:fill="auto"/>
            <w:noWrap/>
            <w:vAlign w:val="bottom"/>
            <w:hideMark/>
          </w:tcPr>
          <w:p w14:paraId="2F8623D2" w14:textId="77777777" w:rsidR="00EB10AF" w:rsidRPr="00E727AF" w:rsidRDefault="00EB10AF" w:rsidP="00FB6278">
            <w:pPr>
              <w:rPr>
                <w:rFonts w:ascii="Arial" w:hAnsi="Arial"/>
                <w:color w:val="000000"/>
                <w:sz w:val="22"/>
              </w:rPr>
            </w:pPr>
            <w:r w:rsidRPr="00E727AF">
              <w:rPr>
                <w:rFonts w:ascii="Arial" w:hAnsi="Arial"/>
                <w:color w:val="000000"/>
                <w:sz w:val="22"/>
              </w:rPr>
              <w:t>Total bills paid within target</w:t>
            </w:r>
          </w:p>
        </w:tc>
        <w:tc>
          <w:tcPr>
            <w:tcW w:w="1380" w:type="dxa"/>
            <w:tcBorders>
              <w:top w:val="nil"/>
              <w:left w:val="nil"/>
              <w:bottom w:val="nil"/>
              <w:right w:val="single" w:sz="4" w:space="0" w:color="auto"/>
            </w:tcBorders>
            <w:shd w:val="clear" w:color="auto" w:fill="auto"/>
            <w:noWrap/>
            <w:vAlign w:val="bottom"/>
            <w:hideMark/>
          </w:tcPr>
          <w:p w14:paraId="4818E935" w14:textId="77777777" w:rsidR="00EB10AF" w:rsidRPr="00E727AF" w:rsidRDefault="00EB10AF" w:rsidP="00FB6278">
            <w:pPr>
              <w:jc w:val="right"/>
              <w:rPr>
                <w:rFonts w:ascii="Arial" w:hAnsi="Arial"/>
                <w:color w:val="000000"/>
                <w:sz w:val="22"/>
              </w:rPr>
            </w:pPr>
            <w:r w:rsidRPr="00E727AF">
              <w:rPr>
                <w:rFonts w:ascii="Arial" w:hAnsi="Arial"/>
                <w:color w:val="000000"/>
                <w:sz w:val="22"/>
              </w:rPr>
              <w:t>1,724</w:t>
            </w:r>
          </w:p>
        </w:tc>
        <w:tc>
          <w:tcPr>
            <w:tcW w:w="1380" w:type="dxa"/>
            <w:tcBorders>
              <w:top w:val="nil"/>
              <w:left w:val="nil"/>
              <w:bottom w:val="nil"/>
              <w:right w:val="nil"/>
            </w:tcBorders>
            <w:shd w:val="clear" w:color="auto" w:fill="auto"/>
            <w:noWrap/>
            <w:vAlign w:val="bottom"/>
            <w:hideMark/>
          </w:tcPr>
          <w:p w14:paraId="7EB77FC0" w14:textId="77777777" w:rsidR="00EB10AF" w:rsidRPr="00E727AF" w:rsidRDefault="00EB10AF" w:rsidP="00FB6278">
            <w:pPr>
              <w:jc w:val="right"/>
              <w:rPr>
                <w:rFonts w:ascii="Arial" w:hAnsi="Arial"/>
                <w:color w:val="000000"/>
                <w:sz w:val="22"/>
              </w:rPr>
            </w:pPr>
            <w:r w:rsidRPr="00E727AF">
              <w:rPr>
                <w:rFonts w:ascii="Arial" w:hAnsi="Arial"/>
                <w:color w:val="000000"/>
                <w:sz w:val="22"/>
              </w:rPr>
              <w:t>13,382</w:t>
            </w:r>
          </w:p>
        </w:tc>
        <w:tc>
          <w:tcPr>
            <w:tcW w:w="2002" w:type="dxa"/>
            <w:tcBorders>
              <w:top w:val="nil"/>
              <w:left w:val="single" w:sz="4" w:space="0" w:color="auto"/>
              <w:bottom w:val="nil"/>
              <w:right w:val="single" w:sz="4" w:space="0" w:color="auto"/>
            </w:tcBorders>
            <w:shd w:val="clear" w:color="auto" w:fill="auto"/>
            <w:noWrap/>
            <w:vAlign w:val="bottom"/>
            <w:hideMark/>
          </w:tcPr>
          <w:p w14:paraId="60ACDF5C" w14:textId="77777777" w:rsidR="00EB10AF" w:rsidRPr="00E727AF" w:rsidRDefault="00EB10AF" w:rsidP="00FB6278">
            <w:pPr>
              <w:jc w:val="right"/>
              <w:rPr>
                <w:rFonts w:ascii="Arial" w:hAnsi="Arial"/>
                <w:color w:val="000000"/>
                <w:sz w:val="22"/>
              </w:rPr>
            </w:pPr>
            <w:r w:rsidRPr="00E727AF">
              <w:rPr>
                <w:rFonts w:ascii="Arial" w:hAnsi="Arial"/>
                <w:color w:val="000000"/>
                <w:sz w:val="22"/>
              </w:rPr>
              <w:t>1,012</w:t>
            </w:r>
          </w:p>
        </w:tc>
        <w:tc>
          <w:tcPr>
            <w:tcW w:w="2002" w:type="dxa"/>
            <w:tcBorders>
              <w:top w:val="nil"/>
              <w:left w:val="nil"/>
              <w:bottom w:val="nil"/>
              <w:right w:val="single" w:sz="4" w:space="0" w:color="auto"/>
            </w:tcBorders>
            <w:shd w:val="clear" w:color="auto" w:fill="auto"/>
            <w:noWrap/>
            <w:vAlign w:val="bottom"/>
            <w:hideMark/>
          </w:tcPr>
          <w:p w14:paraId="6301BAF0" w14:textId="77777777" w:rsidR="00EB10AF" w:rsidRPr="00E727AF" w:rsidRDefault="00EB10AF" w:rsidP="00FB6278">
            <w:pPr>
              <w:jc w:val="right"/>
              <w:rPr>
                <w:rFonts w:ascii="Arial" w:hAnsi="Arial"/>
                <w:color w:val="000000"/>
                <w:sz w:val="22"/>
              </w:rPr>
            </w:pPr>
            <w:r w:rsidRPr="00E727AF">
              <w:rPr>
                <w:rFonts w:ascii="Arial" w:hAnsi="Arial"/>
                <w:color w:val="000000"/>
                <w:sz w:val="22"/>
              </w:rPr>
              <w:t>5,180</w:t>
            </w:r>
          </w:p>
        </w:tc>
      </w:tr>
      <w:tr w:rsidR="00EB10AF" w:rsidRPr="00E711EE" w14:paraId="44CDAC6B" w14:textId="77777777" w:rsidTr="005E0560">
        <w:trPr>
          <w:trHeight w:val="300"/>
        </w:trPr>
        <w:tc>
          <w:tcPr>
            <w:tcW w:w="3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6B84E" w14:textId="77777777" w:rsidR="00EB10AF" w:rsidRPr="00E727AF" w:rsidRDefault="00EB10AF" w:rsidP="00FB6278">
            <w:pPr>
              <w:rPr>
                <w:rFonts w:ascii="Arial" w:hAnsi="Arial"/>
                <w:color w:val="000000"/>
                <w:sz w:val="22"/>
              </w:rPr>
            </w:pPr>
            <w:r w:rsidRPr="00E727AF">
              <w:rPr>
                <w:rFonts w:ascii="Arial" w:hAnsi="Arial"/>
                <w:color w:val="000000"/>
                <w:sz w:val="22"/>
              </w:rPr>
              <w:t>Percentages of bills paid within target</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4A994ADF" w14:textId="77777777" w:rsidR="00EB10AF" w:rsidRPr="00E727AF" w:rsidRDefault="00EB10AF" w:rsidP="00FB6278">
            <w:pPr>
              <w:jc w:val="right"/>
              <w:rPr>
                <w:rFonts w:ascii="Arial" w:hAnsi="Arial"/>
                <w:color w:val="000000"/>
                <w:sz w:val="22"/>
              </w:rPr>
            </w:pPr>
            <w:r w:rsidRPr="00E727AF">
              <w:rPr>
                <w:rFonts w:ascii="Arial" w:hAnsi="Arial"/>
                <w:color w:val="000000"/>
                <w:sz w:val="22"/>
              </w:rPr>
              <w:t>94%</w:t>
            </w:r>
          </w:p>
        </w:tc>
        <w:tc>
          <w:tcPr>
            <w:tcW w:w="1380" w:type="dxa"/>
            <w:tcBorders>
              <w:top w:val="single" w:sz="4" w:space="0" w:color="auto"/>
              <w:left w:val="nil"/>
              <w:bottom w:val="single" w:sz="4" w:space="0" w:color="auto"/>
              <w:right w:val="nil"/>
            </w:tcBorders>
            <w:shd w:val="clear" w:color="auto" w:fill="auto"/>
            <w:noWrap/>
            <w:vAlign w:val="bottom"/>
            <w:hideMark/>
          </w:tcPr>
          <w:p w14:paraId="75DA323D" w14:textId="77777777" w:rsidR="00EB10AF" w:rsidRPr="00E727AF" w:rsidRDefault="00EB10AF" w:rsidP="00FB6278">
            <w:pPr>
              <w:jc w:val="right"/>
              <w:rPr>
                <w:rFonts w:ascii="Arial" w:hAnsi="Arial"/>
                <w:color w:val="000000"/>
                <w:sz w:val="22"/>
              </w:rPr>
            </w:pPr>
            <w:r w:rsidRPr="00E727AF">
              <w:rPr>
                <w:rFonts w:ascii="Arial" w:hAnsi="Arial"/>
                <w:color w:val="000000"/>
                <w:sz w:val="22"/>
              </w:rPr>
              <w:t>88%</w:t>
            </w: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63736" w14:textId="77777777" w:rsidR="00EB10AF" w:rsidRPr="00E727AF" w:rsidRDefault="00EB10AF" w:rsidP="00FB6278">
            <w:pPr>
              <w:jc w:val="right"/>
              <w:rPr>
                <w:rFonts w:ascii="Arial" w:hAnsi="Arial"/>
                <w:color w:val="000000"/>
                <w:sz w:val="22"/>
              </w:rPr>
            </w:pPr>
            <w:r w:rsidRPr="00E727AF">
              <w:rPr>
                <w:rFonts w:ascii="Arial" w:hAnsi="Arial"/>
                <w:color w:val="000000"/>
                <w:sz w:val="22"/>
              </w:rPr>
              <w:t>58%</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14:paraId="2540DF92" w14:textId="77777777" w:rsidR="00EB10AF" w:rsidRPr="00E727AF" w:rsidRDefault="00EB10AF" w:rsidP="00FB6278">
            <w:pPr>
              <w:jc w:val="right"/>
              <w:rPr>
                <w:rFonts w:ascii="Arial" w:hAnsi="Arial"/>
                <w:color w:val="000000"/>
                <w:sz w:val="22"/>
              </w:rPr>
            </w:pPr>
            <w:r w:rsidRPr="00E727AF">
              <w:rPr>
                <w:rFonts w:ascii="Arial" w:hAnsi="Arial"/>
                <w:color w:val="000000"/>
                <w:sz w:val="22"/>
              </w:rPr>
              <w:t>40%</w:t>
            </w:r>
          </w:p>
        </w:tc>
      </w:tr>
      <w:tr w:rsidR="00EB10AF" w:rsidRPr="00E711EE" w14:paraId="687CC8FD" w14:textId="77777777" w:rsidTr="005E0560">
        <w:trPr>
          <w:trHeight w:val="300"/>
        </w:trPr>
        <w:tc>
          <w:tcPr>
            <w:tcW w:w="3880" w:type="dxa"/>
            <w:tcBorders>
              <w:top w:val="nil"/>
              <w:left w:val="single" w:sz="4" w:space="0" w:color="auto"/>
              <w:bottom w:val="nil"/>
              <w:right w:val="single" w:sz="4" w:space="0" w:color="auto"/>
            </w:tcBorders>
            <w:shd w:val="clear" w:color="auto" w:fill="auto"/>
            <w:noWrap/>
            <w:vAlign w:val="bottom"/>
            <w:hideMark/>
          </w:tcPr>
          <w:p w14:paraId="215C708C" w14:textId="77777777" w:rsidR="00EB10AF" w:rsidRPr="00E727AF" w:rsidRDefault="00EB10AF" w:rsidP="00FB6278">
            <w:pPr>
              <w:rPr>
                <w:rFonts w:ascii="Arial" w:hAnsi="Arial"/>
                <w:b/>
                <w:color w:val="000000"/>
                <w:sz w:val="22"/>
              </w:rPr>
            </w:pPr>
            <w:r w:rsidRPr="00E727AF">
              <w:rPr>
                <w:rFonts w:ascii="Arial" w:hAnsi="Arial"/>
                <w:b/>
                <w:color w:val="000000"/>
                <w:sz w:val="22"/>
              </w:rPr>
              <w:t>Total</w:t>
            </w:r>
          </w:p>
        </w:tc>
        <w:tc>
          <w:tcPr>
            <w:tcW w:w="1380" w:type="dxa"/>
            <w:tcBorders>
              <w:top w:val="nil"/>
              <w:left w:val="nil"/>
              <w:bottom w:val="nil"/>
              <w:right w:val="single" w:sz="4" w:space="0" w:color="auto"/>
            </w:tcBorders>
            <w:shd w:val="clear" w:color="auto" w:fill="auto"/>
            <w:noWrap/>
            <w:vAlign w:val="bottom"/>
            <w:hideMark/>
          </w:tcPr>
          <w:p w14:paraId="72565F02" w14:textId="77777777" w:rsidR="00EB10AF" w:rsidRPr="00E727AF" w:rsidRDefault="00EB10AF" w:rsidP="00FB6278">
            <w:pPr>
              <w:jc w:val="right"/>
              <w:rPr>
                <w:rFonts w:ascii="Arial" w:hAnsi="Arial"/>
                <w:color w:val="000000"/>
                <w:sz w:val="22"/>
              </w:rPr>
            </w:pPr>
            <w:r w:rsidRPr="00E727AF">
              <w:rPr>
                <w:rFonts w:ascii="Arial" w:hAnsi="Arial"/>
                <w:color w:val="000000"/>
                <w:sz w:val="22"/>
              </w:rPr>
              <w:t> </w:t>
            </w:r>
          </w:p>
        </w:tc>
        <w:tc>
          <w:tcPr>
            <w:tcW w:w="1380" w:type="dxa"/>
            <w:tcBorders>
              <w:top w:val="nil"/>
              <w:left w:val="nil"/>
              <w:bottom w:val="nil"/>
              <w:right w:val="nil"/>
            </w:tcBorders>
            <w:shd w:val="clear" w:color="auto" w:fill="auto"/>
            <w:noWrap/>
            <w:vAlign w:val="bottom"/>
            <w:hideMark/>
          </w:tcPr>
          <w:p w14:paraId="7687B9BF" w14:textId="77777777" w:rsidR="00EB10AF" w:rsidRPr="00E727AF" w:rsidRDefault="00EB10AF" w:rsidP="00FB6278">
            <w:pPr>
              <w:jc w:val="right"/>
              <w:rPr>
                <w:rFonts w:ascii="Arial" w:hAnsi="Arial"/>
                <w:color w:val="000000"/>
                <w:sz w:val="22"/>
              </w:rPr>
            </w:pPr>
          </w:p>
        </w:tc>
        <w:tc>
          <w:tcPr>
            <w:tcW w:w="2002" w:type="dxa"/>
            <w:tcBorders>
              <w:top w:val="nil"/>
              <w:left w:val="single" w:sz="4" w:space="0" w:color="auto"/>
              <w:bottom w:val="nil"/>
              <w:right w:val="single" w:sz="4" w:space="0" w:color="auto"/>
            </w:tcBorders>
            <w:shd w:val="clear" w:color="auto" w:fill="auto"/>
            <w:noWrap/>
            <w:vAlign w:val="bottom"/>
            <w:hideMark/>
          </w:tcPr>
          <w:p w14:paraId="4FEDD57D" w14:textId="77777777" w:rsidR="00EB10AF" w:rsidRPr="00E727AF" w:rsidRDefault="00EB10AF" w:rsidP="00FB6278">
            <w:pPr>
              <w:jc w:val="right"/>
              <w:rPr>
                <w:rFonts w:ascii="Arial" w:hAnsi="Arial"/>
                <w:color w:val="000000"/>
                <w:sz w:val="22"/>
              </w:rPr>
            </w:pPr>
            <w:r w:rsidRPr="00E727AF">
              <w:rPr>
                <w:rFonts w:ascii="Arial" w:hAnsi="Arial"/>
                <w:color w:val="000000"/>
                <w:sz w:val="22"/>
              </w:rPr>
              <w:t> </w:t>
            </w:r>
          </w:p>
        </w:tc>
        <w:tc>
          <w:tcPr>
            <w:tcW w:w="2002" w:type="dxa"/>
            <w:tcBorders>
              <w:top w:val="nil"/>
              <w:left w:val="nil"/>
              <w:bottom w:val="nil"/>
              <w:right w:val="single" w:sz="4" w:space="0" w:color="auto"/>
            </w:tcBorders>
            <w:shd w:val="clear" w:color="auto" w:fill="auto"/>
            <w:noWrap/>
            <w:vAlign w:val="bottom"/>
            <w:hideMark/>
          </w:tcPr>
          <w:p w14:paraId="7223F50C" w14:textId="77777777" w:rsidR="00EB10AF" w:rsidRPr="00E727AF" w:rsidRDefault="00EB10AF" w:rsidP="00FB6278">
            <w:pPr>
              <w:jc w:val="right"/>
              <w:rPr>
                <w:rFonts w:ascii="Arial" w:hAnsi="Arial"/>
                <w:color w:val="000000"/>
                <w:sz w:val="22"/>
              </w:rPr>
            </w:pPr>
          </w:p>
        </w:tc>
      </w:tr>
      <w:tr w:rsidR="00EB10AF" w:rsidRPr="00E711EE" w14:paraId="7DF94196" w14:textId="77777777" w:rsidTr="005E0560">
        <w:trPr>
          <w:trHeight w:val="300"/>
        </w:trPr>
        <w:tc>
          <w:tcPr>
            <w:tcW w:w="3880" w:type="dxa"/>
            <w:tcBorders>
              <w:top w:val="nil"/>
              <w:left w:val="single" w:sz="4" w:space="0" w:color="auto"/>
              <w:bottom w:val="nil"/>
              <w:right w:val="single" w:sz="4" w:space="0" w:color="auto"/>
            </w:tcBorders>
            <w:shd w:val="clear" w:color="auto" w:fill="auto"/>
            <w:noWrap/>
            <w:vAlign w:val="bottom"/>
            <w:hideMark/>
          </w:tcPr>
          <w:p w14:paraId="16378707" w14:textId="77777777" w:rsidR="00EB10AF" w:rsidRPr="00E727AF" w:rsidRDefault="00EB10AF" w:rsidP="00FB6278">
            <w:pPr>
              <w:rPr>
                <w:rFonts w:ascii="Arial" w:hAnsi="Arial"/>
                <w:color w:val="000000"/>
                <w:sz w:val="22"/>
              </w:rPr>
            </w:pPr>
            <w:r w:rsidRPr="00E727AF">
              <w:rPr>
                <w:rFonts w:ascii="Arial" w:hAnsi="Arial"/>
                <w:color w:val="000000"/>
                <w:sz w:val="22"/>
              </w:rPr>
              <w:t>Total bills paid in the year</w:t>
            </w:r>
          </w:p>
        </w:tc>
        <w:tc>
          <w:tcPr>
            <w:tcW w:w="1380" w:type="dxa"/>
            <w:tcBorders>
              <w:top w:val="nil"/>
              <w:left w:val="nil"/>
              <w:bottom w:val="nil"/>
              <w:right w:val="single" w:sz="4" w:space="0" w:color="auto"/>
            </w:tcBorders>
            <w:shd w:val="clear" w:color="auto" w:fill="auto"/>
            <w:noWrap/>
            <w:vAlign w:val="bottom"/>
            <w:hideMark/>
          </w:tcPr>
          <w:p w14:paraId="6B43C758" w14:textId="77777777" w:rsidR="00EB10AF" w:rsidRPr="00E727AF" w:rsidRDefault="00EB10AF" w:rsidP="00FB6278">
            <w:pPr>
              <w:jc w:val="right"/>
              <w:rPr>
                <w:rFonts w:ascii="Arial" w:hAnsi="Arial"/>
                <w:color w:val="000000"/>
                <w:sz w:val="22"/>
              </w:rPr>
            </w:pPr>
            <w:r w:rsidRPr="00E727AF">
              <w:rPr>
                <w:rFonts w:ascii="Arial" w:hAnsi="Arial"/>
                <w:color w:val="000000"/>
                <w:sz w:val="22"/>
              </w:rPr>
              <w:t>35,110</w:t>
            </w:r>
          </w:p>
        </w:tc>
        <w:tc>
          <w:tcPr>
            <w:tcW w:w="1380" w:type="dxa"/>
            <w:tcBorders>
              <w:top w:val="nil"/>
              <w:left w:val="nil"/>
              <w:bottom w:val="nil"/>
              <w:right w:val="nil"/>
            </w:tcBorders>
            <w:shd w:val="clear" w:color="auto" w:fill="auto"/>
            <w:noWrap/>
            <w:vAlign w:val="bottom"/>
            <w:hideMark/>
          </w:tcPr>
          <w:p w14:paraId="224376D4" w14:textId="77777777" w:rsidR="00EB10AF" w:rsidRPr="00E727AF" w:rsidRDefault="00EB10AF" w:rsidP="00FB6278">
            <w:pPr>
              <w:jc w:val="right"/>
              <w:rPr>
                <w:rFonts w:ascii="Arial" w:hAnsi="Arial"/>
                <w:color w:val="000000"/>
                <w:sz w:val="22"/>
              </w:rPr>
            </w:pPr>
            <w:r w:rsidRPr="00E727AF">
              <w:rPr>
                <w:rFonts w:ascii="Arial" w:hAnsi="Arial"/>
                <w:color w:val="000000"/>
                <w:sz w:val="22"/>
              </w:rPr>
              <w:t>172,603</w:t>
            </w:r>
          </w:p>
        </w:tc>
        <w:tc>
          <w:tcPr>
            <w:tcW w:w="2002" w:type="dxa"/>
            <w:tcBorders>
              <w:top w:val="nil"/>
              <w:left w:val="single" w:sz="4" w:space="0" w:color="auto"/>
              <w:bottom w:val="nil"/>
              <w:right w:val="single" w:sz="4" w:space="0" w:color="auto"/>
            </w:tcBorders>
            <w:shd w:val="clear" w:color="auto" w:fill="auto"/>
            <w:noWrap/>
            <w:vAlign w:val="bottom"/>
            <w:hideMark/>
          </w:tcPr>
          <w:p w14:paraId="1132603C" w14:textId="77777777" w:rsidR="00EB10AF" w:rsidRPr="00E727AF" w:rsidRDefault="00EB10AF" w:rsidP="00FB6278">
            <w:pPr>
              <w:jc w:val="right"/>
              <w:rPr>
                <w:rFonts w:ascii="Arial" w:hAnsi="Arial"/>
                <w:color w:val="000000"/>
                <w:sz w:val="22"/>
              </w:rPr>
            </w:pPr>
            <w:r w:rsidRPr="00E727AF">
              <w:rPr>
                <w:rFonts w:ascii="Arial" w:hAnsi="Arial"/>
                <w:color w:val="000000"/>
                <w:sz w:val="22"/>
              </w:rPr>
              <w:t>25,498</w:t>
            </w:r>
          </w:p>
        </w:tc>
        <w:tc>
          <w:tcPr>
            <w:tcW w:w="2002" w:type="dxa"/>
            <w:tcBorders>
              <w:top w:val="nil"/>
              <w:left w:val="nil"/>
              <w:bottom w:val="nil"/>
              <w:right w:val="single" w:sz="4" w:space="0" w:color="auto"/>
            </w:tcBorders>
            <w:shd w:val="clear" w:color="auto" w:fill="auto"/>
            <w:noWrap/>
            <w:vAlign w:val="bottom"/>
            <w:hideMark/>
          </w:tcPr>
          <w:p w14:paraId="54A2A0A2" w14:textId="77777777" w:rsidR="00EB10AF" w:rsidRPr="00E727AF" w:rsidRDefault="00EB10AF" w:rsidP="00FB6278">
            <w:pPr>
              <w:jc w:val="right"/>
              <w:rPr>
                <w:rFonts w:ascii="Arial" w:hAnsi="Arial"/>
                <w:color w:val="000000"/>
                <w:sz w:val="22"/>
              </w:rPr>
            </w:pPr>
            <w:r w:rsidRPr="00E727AF">
              <w:rPr>
                <w:rFonts w:ascii="Arial" w:hAnsi="Arial"/>
                <w:color w:val="000000"/>
                <w:sz w:val="22"/>
              </w:rPr>
              <w:t>138,354</w:t>
            </w:r>
          </w:p>
        </w:tc>
      </w:tr>
      <w:tr w:rsidR="00EB10AF" w:rsidRPr="00E711EE" w14:paraId="77E9DA1E" w14:textId="77777777" w:rsidTr="005E0560">
        <w:trPr>
          <w:trHeight w:val="300"/>
        </w:trPr>
        <w:tc>
          <w:tcPr>
            <w:tcW w:w="3880" w:type="dxa"/>
            <w:tcBorders>
              <w:top w:val="nil"/>
              <w:left w:val="single" w:sz="4" w:space="0" w:color="auto"/>
              <w:bottom w:val="nil"/>
              <w:right w:val="single" w:sz="4" w:space="0" w:color="auto"/>
            </w:tcBorders>
            <w:shd w:val="clear" w:color="auto" w:fill="auto"/>
            <w:noWrap/>
            <w:vAlign w:val="bottom"/>
            <w:hideMark/>
          </w:tcPr>
          <w:p w14:paraId="5E56166B" w14:textId="77777777" w:rsidR="00EB10AF" w:rsidRPr="00E727AF" w:rsidRDefault="00EB10AF" w:rsidP="00FB6278">
            <w:pPr>
              <w:rPr>
                <w:rFonts w:ascii="Arial" w:hAnsi="Arial"/>
                <w:color w:val="000000"/>
                <w:sz w:val="22"/>
              </w:rPr>
            </w:pPr>
            <w:r w:rsidRPr="00E727AF">
              <w:rPr>
                <w:rFonts w:ascii="Arial" w:hAnsi="Arial"/>
                <w:color w:val="000000"/>
                <w:sz w:val="22"/>
              </w:rPr>
              <w:t>Total bills paid within target</w:t>
            </w:r>
          </w:p>
        </w:tc>
        <w:tc>
          <w:tcPr>
            <w:tcW w:w="1380" w:type="dxa"/>
            <w:tcBorders>
              <w:top w:val="nil"/>
              <w:left w:val="nil"/>
              <w:bottom w:val="nil"/>
              <w:right w:val="single" w:sz="4" w:space="0" w:color="auto"/>
            </w:tcBorders>
            <w:shd w:val="clear" w:color="auto" w:fill="auto"/>
            <w:noWrap/>
            <w:vAlign w:val="bottom"/>
            <w:hideMark/>
          </w:tcPr>
          <w:p w14:paraId="27A6FBB0" w14:textId="77777777" w:rsidR="00EB10AF" w:rsidRPr="00E727AF" w:rsidRDefault="00EB10AF" w:rsidP="00FB6278">
            <w:pPr>
              <w:jc w:val="right"/>
              <w:rPr>
                <w:rFonts w:ascii="Arial" w:hAnsi="Arial"/>
                <w:color w:val="000000"/>
                <w:sz w:val="22"/>
              </w:rPr>
            </w:pPr>
            <w:r w:rsidRPr="00E727AF">
              <w:rPr>
                <w:rFonts w:ascii="Arial" w:hAnsi="Arial"/>
                <w:color w:val="000000"/>
                <w:sz w:val="22"/>
              </w:rPr>
              <w:t>31,961</w:t>
            </w:r>
          </w:p>
        </w:tc>
        <w:tc>
          <w:tcPr>
            <w:tcW w:w="1380" w:type="dxa"/>
            <w:tcBorders>
              <w:top w:val="nil"/>
              <w:left w:val="nil"/>
              <w:bottom w:val="nil"/>
              <w:right w:val="nil"/>
            </w:tcBorders>
            <w:shd w:val="clear" w:color="auto" w:fill="auto"/>
            <w:noWrap/>
            <w:vAlign w:val="bottom"/>
            <w:hideMark/>
          </w:tcPr>
          <w:p w14:paraId="4C12493B" w14:textId="77777777" w:rsidR="00EB10AF" w:rsidRPr="00E727AF" w:rsidRDefault="00EB10AF" w:rsidP="00FB6278">
            <w:pPr>
              <w:jc w:val="right"/>
              <w:rPr>
                <w:rFonts w:ascii="Arial" w:hAnsi="Arial"/>
                <w:color w:val="000000"/>
                <w:sz w:val="22"/>
              </w:rPr>
            </w:pPr>
            <w:r w:rsidRPr="00E727AF">
              <w:rPr>
                <w:rFonts w:ascii="Arial" w:hAnsi="Arial"/>
                <w:color w:val="000000"/>
                <w:sz w:val="22"/>
              </w:rPr>
              <w:t>156,334</w:t>
            </w:r>
          </w:p>
        </w:tc>
        <w:tc>
          <w:tcPr>
            <w:tcW w:w="2002" w:type="dxa"/>
            <w:tcBorders>
              <w:top w:val="nil"/>
              <w:left w:val="single" w:sz="4" w:space="0" w:color="auto"/>
              <w:bottom w:val="nil"/>
              <w:right w:val="single" w:sz="4" w:space="0" w:color="auto"/>
            </w:tcBorders>
            <w:shd w:val="clear" w:color="auto" w:fill="auto"/>
            <w:noWrap/>
            <w:vAlign w:val="bottom"/>
            <w:hideMark/>
          </w:tcPr>
          <w:p w14:paraId="74904268" w14:textId="77777777" w:rsidR="00EB10AF" w:rsidRPr="00E727AF" w:rsidRDefault="00EB10AF" w:rsidP="00FB6278">
            <w:pPr>
              <w:jc w:val="right"/>
              <w:rPr>
                <w:rFonts w:ascii="Arial" w:hAnsi="Arial"/>
                <w:color w:val="000000"/>
                <w:sz w:val="22"/>
              </w:rPr>
            </w:pPr>
            <w:r w:rsidRPr="00E727AF">
              <w:rPr>
                <w:rFonts w:ascii="Arial" w:hAnsi="Arial"/>
                <w:color w:val="000000"/>
                <w:sz w:val="22"/>
              </w:rPr>
              <w:t>20,509</w:t>
            </w:r>
          </w:p>
        </w:tc>
        <w:tc>
          <w:tcPr>
            <w:tcW w:w="2002" w:type="dxa"/>
            <w:tcBorders>
              <w:top w:val="nil"/>
              <w:left w:val="nil"/>
              <w:bottom w:val="nil"/>
              <w:right w:val="single" w:sz="4" w:space="0" w:color="auto"/>
            </w:tcBorders>
            <w:shd w:val="clear" w:color="auto" w:fill="auto"/>
            <w:noWrap/>
            <w:vAlign w:val="bottom"/>
            <w:hideMark/>
          </w:tcPr>
          <w:p w14:paraId="5D509826" w14:textId="77777777" w:rsidR="00EB10AF" w:rsidRPr="00E727AF" w:rsidRDefault="00EB10AF" w:rsidP="00FB6278">
            <w:pPr>
              <w:jc w:val="right"/>
              <w:rPr>
                <w:rFonts w:ascii="Arial" w:hAnsi="Arial"/>
                <w:color w:val="000000"/>
                <w:sz w:val="22"/>
              </w:rPr>
            </w:pPr>
            <w:r w:rsidRPr="00E727AF">
              <w:rPr>
                <w:rFonts w:ascii="Arial" w:hAnsi="Arial"/>
                <w:color w:val="000000"/>
                <w:sz w:val="22"/>
              </w:rPr>
              <w:t>108,695</w:t>
            </w:r>
          </w:p>
        </w:tc>
      </w:tr>
      <w:tr w:rsidR="00EB10AF" w:rsidRPr="00E711EE" w14:paraId="1775E45E" w14:textId="77777777" w:rsidTr="005E0560">
        <w:trPr>
          <w:trHeight w:val="300"/>
        </w:trPr>
        <w:tc>
          <w:tcPr>
            <w:tcW w:w="3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1BBD0" w14:textId="77777777" w:rsidR="00EB10AF" w:rsidRPr="00E727AF" w:rsidRDefault="00EB10AF" w:rsidP="00FB6278">
            <w:pPr>
              <w:rPr>
                <w:rFonts w:ascii="Arial" w:hAnsi="Arial"/>
                <w:color w:val="000000"/>
                <w:sz w:val="22"/>
              </w:rPr>
            </w:pPr>
            <w:r w:rsidRPr="00E727AF">
              <w:rPr>
                <w:rFonts w:ascii="Arial" w:hAnsi="Arial"/>
                <w:color w:val="000000"/>
                <w:sz w:val="22"/>
              </w:rPr>
              <w:t>Percentages of bills paid within target</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7D6F11C5" w14:textId="77777777" w:rsidR="00EB10AF" w:rsidRPr="00E727AF" w:rsidRDefault="00EB10AF" w:rsidP="00FB6278">
            <w:pPr>
              <w:jc w:val="right"/>
              <w:rPr>
                <w:rFonts w:ascii="Arial" w:hAnsi="Arial"/>
                <w:color w:val="000000"/>
                <w:sz w:val="22"/>
              </w:rPr>
            </w:pPr>
            <w:r w:rsidRPr="00E727AF">
              <w:rPr>
                <w:rFonts w:ascii="Arial" w:hAnsi="Arial"/>
                <w:color w:val="000000"/>
                <w:sz w:val="22"/>
              </w:rPr>
              <w:t>91%</w:t>
            </w:r>
          </w:p>
        </w:tc>
        <w:tc>
          <w:tcPr>
            <w:tcW w:w="1380" w:type="dxa"/>
            <w:tcBorders>
              <w:top w:val="single" w:sz="4" w:space="0" w:color="auto"/>
              <w:left w:val="nil"/>
              <w:bottom w:val="single" w:sz="4" w:space="0" w:color="auto"/>
              <w:right w:val="nil"/>
            </w:tcBorders>
            <w:shd w:val="clear" w:color="auto" w:fill="auto"/>
            <w:noWrap/>
            <w:vAlign w:val="bottom"/>
            <w:hideMark/>
          </w:tcPr>
          <w:p w14:paraId="2909B265" w14:textId="77777777" w:rsidR="00EB10AF" w:rsidRPr="00E727AF" w:rsidRDefault="00EB10AF" w:rsidP="00FB6278">
            <w:pPr>
              <w:jc w:val="right"/>
              <w:rPr>
                <w:rFonts w:ascii="Arial" w:hAnsi="Arial"/>
                <w:color w:val="000000"/>
                <w:sz w:val="22"/>
              </w:rPr>
            </w:pPr>
            <w:r w:rsidRPr="00E727AF">
              <w:rPr>
                <w:rFonts w:ascii="Arial" w:hAnsi="Arial"/>
                <w:color w:val="000000"/>
                <w:sz w:val="22"/>
              </w:rPr>
              <w:t>91%</w:t>
            </w: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DA208" w14:textId="77777777" w:rsidR="00EB10AF" w:rsidRPr="00E727AF" w:rsidRDefault="00EB10AF" w:rsidP="00FB6278">
            <w:pPr>
              <w:jc w:val="right"/>
              <w:rPr>
                <w:rFonts w:ascii="Arial" w:hAnsi="Arial"/>
                <w:color w:val="000000"/>
                <w:sz w:val="22"/>
              </w:rPr>
            </w:pPr>
            <w:r w:rsidRPr="00E727AF">
              <w:rPr>
                <w:rFonts w:ascii="Arial" w:hAnsi="Arial"/>
                <w:color w:val="000000"/>
                <w:sz w:val="22"/>
              </w:rPr>
              <w:t>80%</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14:paraId="4A0E08D6" w14:textId="77777777" w:rsidR="00EB10AF" w:rsidRPr="00E727AF" w:rsidRDefault="00EB10AF" w:rsidP="00FB6278">
            <w:pPr>
              <w:jc w:val="right"/>
              <w:rPr>
                <w:rFonts w:ascii="Arial" w:hAnsi="Arial"/>
                <w:color w:val="000000"/>
                <w:sz w:val="22"/>
              </w:rPr>
            </w:pPr>
            <w:r w:rsidRPr="00E727AF">
              <w:rPr>
                <w:rFonts w:ascii="Arial" w:hAnsi="Arial"/>
                <w:color w:val="000000"/>
                <w:sz w:val="22"/>
              </w:rPr>
              <w:t>79%</w:t>
            </w:r>
          </w:p>
        </w:tc>
      </w:tr>
    </w:tbl>
    <w:p w14:paraId="20C6AFD5" w14:textId="77777777" w:rsidR="00EB10AF" w:rsidRPr="00E727AF" w:rsidRDefault="00EB10AF" w:rsidP="00FB6278">
      <w:pPr>
        <w:ind w:left="-567" w:right="-613"/>
        <w:jc w:val="both"/>
        <w:rPr>
          <w:rFonts w:ascii="Arial" w:hAnsi="Arial"/>
          <w:sz w:val="22"/>
        </w:rPr>
      </w:pPr>
    </w:p>
    <w:p w14:paraId="01545560" w14:textId="77777777" w:rsidR="00EB10AF" w:rsidRPr="00E727AF" w:rsidRDefault="00EB10AF" w:rsidP="00FB6278">
      <w:pPr>
        <w:ind w:right="-613"/>
        <w:jc w:val="both"/>
        <w:rPr>
          <w:rFonts w:ascii="Arial" w:hAnsi="Arial"/>
          <w:sz w:val="22"/>
        </w:rPr>
      </w:pPr>
    </w:p>
    <w:p w14:paraId="1B5BF2EF" w14:textId="194073F7" w:rsidR="00EB10AF" w:rsidRPr="00E727AF" w:rsidRDefault="00E20576" w:rsidP="00FB6278">
      <w:pPr>
        <w:ind w:left="-567" w:right="-613"/>
        <w:jc w:val="both"/>
        <w:rPr>
          <w:rFonts w:ascii="Arial" w:hAnsi="Arial"/>
          <w:color w:val="FF0000"/>
          <w:sz w:val="22"/>
        </w:rPr>
      </w:pPr>
      <w:bookmarkStart w:id="7" w:name="_Toc483473545"/>
      <w:r w:rsidRPr="00E727AF">
        <w:rPr>
          <w:rFonts w:ascii="Arial" w:hAnsi="Arial"/>
          <w:b/>
          <w:sz w:val="22"/>
        </w:rPr>
        <w:t>‘</w:t>
      </w:r>
      <w:r w:rsidR="00EB10AF" w:rsidRPr="00E727AF">
        <w:rPr>
          <w:rFonts w:ascii="Arial" w:hAnsi="Arial"/>
          <w:b/>
          <w:sz w:val="22"/>
        </w:rPr>
        <w:t>Single oversight framework</w:t>
      </w:r>
      <w:r w:rsidRPr="00E727AF">
        <w:rPr>
          <w:rFonts w:ascii="Arial" w:hAnsi="Arial"/>
          <w:b/>
          <w:sz w:val="22"/>
        </w:rPr>
        <w:t>’</w:t>
      </w:r>
      <w:r w:rsidR="00EB10AF" w:rsidRPr="00E727AF">
        <w:rPr>
          <w:rFonts w:ascii="Arial" w:hAnsi="Arial"/>
          <w:b/>
          <w:sz w:val="22"/>
        </w:rPr>
        <w:t xml:space="preserve"> and </w:t>
      </w:r>
      <w:r w:rsidRPr="00E727AF">
        <w:rPr>
          <w:rFonts w:ascii="Arial" w:hAnsi="Arial"/>
          <w:b/>
          <w:sz w:val="22"/>
        </w:rPr>
        <w:t>‘</w:t>
      </w:r>
      <w:r w:rsidRPr="00E727AF">
        <w:rPr>
          <w:rFonts w:ascii="Arial" w:hAnsi="Arial" w:cs="Arial"/>
          <w:b/>
          <w:sz w:val="22"/>
          <w:szCs w:val="22"/>
        </w:rPr>
        <w:t>f</w:t>
      </w:r>
      <w:r w:rsidR="00EB10AF" w:rsidRPr="00E727AF">
        <w:rPr>
          <w:rFonts w:ascii="Arial" w:hAnsi="Arial" w:cs="Arial"/>
          <w:b/>
          <w:sz w:val="22"/>
          <w:szCs w:val="22"/>
        </w:rPr>
        <w:t>inance</w:t>
      </w:r>
      <w:r w:rsidR="00EB10AF" w:rsidRPr="00E727AF">
        <w:rPr>
          <w:rFonts w:ascii="Arial" w:hAnsi="Arial"/>
          <w:b/>
          <w:sz w:val="22"/>
        </w:rPr>
        <w:t xml:space="preserve"> and use of resources</w:t>
      </w:r>
      <w:r w:rsidRPr="00E727AF">
        <w:rPr>
          <w:rFonts w:ascii="Arial" w:hAnsi="Arial"/>
          <w:b/>
          <w:sz w:val="22"/>
        </w:rPr>
        <w:t>’</w:t>
      </w:r>
    </w:p>
    <w:p w14:paraId="31837100" w14:textId="77777777" w:rsidR="00EB10AF" w:rsidRPr="00E727AF" w:rsidRDefault="00EB10AF" w:rsidP="00FB6278">
      <w:pPr>
        <w:ind w:left="-567" w:right="-613"/>
        <w:jc w:val="both"/>
        <w:rPr>
          <w:rFonts w:ascii="Arial" w:hAnsi="Arial"/>
          <w:sz w:val="22"/>
        </w:rPr>
      </w:pPr>
    </w:p>
    <w:p w14:paraId="1A92D87E" w14:textId="208532EF" w:rsidR="00EB10AF" w:rsidRPr="00E727AF" w:rsidRDefault="00EB10AF" w:rsidP="00FB6278">
      <w:pPr>
        <w:ind w:left="-567" w:right="-613"/>
        <w:jc w:val="both"/>
        <w:rPr>
          <w:rFonts w:ascii="Arial" w:hAnsi="Arial"/>
          <w:sz w:val="22"/>
        </w:rPr>
      </w:pPr>
      <w:r w:rsidRPr="00E727AF">
        <w:rPr>
          <w:rFonts w:ascii="Arial" w:hAnsi="Arial"/>
          <w:sz w:val="22"/>
        </w:rPr>
        <w:t xml:space="preserve">During the </w:t>
      </w:r>
      <w:r w:rsidR="00E20576" w:rsidRPr="00E727AF">
        <w:rPr>
          <w:rFonts w:ascii="Arial" w:hAnsi="Arial"/>
          <w:sz w:val="22"/>
        </w:rPr>
        <w:t xml:space="preserve">Covid-19 </w:t>
      </w:r>
      <w:r w:rsidR="00E20576" w:rsidRPr="00E727AF">
        <w:rPr>
          <w:rFonts w:ascii="Arial" w:hAnsi="Arial" w:cs="Arial"/>
          <w:sz w:val="22"/>
          <w:szCs w:val="22"/>
        </w:rPr>
        <w:t>p</w:t>
      </w:r>
      <w:r w:rsidRPr="00E727AF">
        <w:rPr>
          <w:rFonts w:ascii="Arial" w:hAnsi="Arial" w:cs="Arial"/>
          <w:sz w:val="22"/>
          <w:szCs w:val="22"/>
        </w:rPr>
        <w:t>andemic</w:t>
      </w:r>
      <w:r w:rsidR="00E20576" w:rsidRPr="00E727AF">
        <w:rPr>
          <w:rFonts w:ascii="Arial" w:hAnsi="Arial"/>
          <w:sz w:val="22"/>
        </w:rPr>
        <w:t>,</w:t>
      </w:r>
      <w:r w:rsidRPr="00E727AF">
        <w:rPr>
          <w:rFonts w:ascii="Arial" w:hAnsi="Arial"/>
          <w:sz w:val="22"/>
        </w:rPr>
        <w:t xml:space="preserve"> the ‘single oversight framework’ and ‘finance and use of resources’ reporting was suspended.</w:t>
      </w:r>
    </w:p>
    <w:bookmarkEnd w:id="7"/>
    <w:p w14:paraId="0E88208C" w14:textId="77777777" w:rsidR="00EB10AF" w:rsidRPr="00E727AF" w:rsidRDefault="00EB10AF" w:rsidP="00FB6278">
      <w:pPr>
        <w:ind w:left="-567"/>
        <w:rPr>
          <w:rFonts w:ascii="Arial" w:hAnsi="Arial"/>
          <w:b/>
          <w:sz w:val="22"/>
          <w:u w:val="single"/>
        </w:rPr>
      </w:pPr>
    </w:p>
    <w:p w14:paraId="175550A0" w14:textId="77777777" w:rsidR="00EB10AF" w:rsidRPr="00E727AF" w:rsidRDefault="00EB10AF" w:rsidP="00FB6278">
      <w:pPr>
        <w:ind w:left="-567"/>
        <w:jc w:val="both"/>
        <w:rPr>
          <w:rFonts w:ascii="Arial" w:hAnsi="Arial"/>
          <w:sz w:val="22"/>
        </w:rPr>
      </w:pPr>
      <w:r w:rsidRPr="00E727AF">
        <w:rPr>
          <w:rFonts w:ascii="Arial" w:hAnsi="Arial"/>
          <w:sz w:val="22"/>
        </w:rPr>
        <w:t>The trust has complied with all cost allocation and charging guidance issued by HM Treasury.</w:t>
      </w:r>
    </w:p>
    <w:p w14:paraId="3F02B6F8" w14:textId="77777777" w:rsidR="00EB10AF" w:rsidRPr="00E727AF" w:rsidRDefault="00EB10AF" w:rsidP="00FB6278">
      <w:pPr>
        <w:ind w:left="-567"/>
        <w:jc w:val="both"/>
        <w:rPr>
          <w:rFonts w:ascii="Arial" w:hAnsi="Arial"/>
          <w:sz w:val="22"/>
        </w:rPr>
      </w:pPr>
    </w:p>
    <w:p w14:paraId="12B536EF" w14:textId="4346BF70" w:rsidR="00EB10AF" w:rsidRPr="00E727AF" w:rsidRDefault="00EB10AF" w:rsidP="00FB6278">
      <w:pPr>
        <w:ind w:left="-567"/>
        <w:jc w:val="both"/>
        <w:rPr>
          <w:rFonts w:ascii="Arial" w:hAnsi="Arial"/>
          <w:sz w:val="22"/>
        </w:rPr>
      </w:pPr>
      <w:r w:rsidRPr="00E727AF">
        <w:rPr>
          <w:rFonts w:ascii="Arial" w:hAnsi="Arial"/>
          <w:sz w:val="22"/>
        </w:rPr>
        <w:t>The trust has no income</w:t>
      </w:r>
      <w:r w:rsidR="00E20576" w:rsidRPr="00E727AF">
        <w:rPr>
          <w:rFonts w:ascii="Arial" w:hAnsi="Arial"/>
          <w:sz w:val="22"/>
        </w:rPr>
        <w:t>-</w:t>
      </w:r>
      <w:r w:rsidRPr="00E727AF">
        <w:rPr>
          <w:rFonts w:ascii="Arial" w:hAnsi="Arial"/>
          <w:sz w:val="22"/>
        </w:rPr>
        <w:t>generating schemes with an individual cost exceeding £1m.</w:t>
      </w:r>
    </w:p>
    <w:p w14:paraId="75023849" w14:textId="77777777" w:rsidR="00EB10AF" w:rsidRPr="00E727AF" w:rsidRDefault="00EB10AF" w:rsidP="00FB6278">
      <w:pPr>
        <w:ind w:left="-567"/>
        <w:jc w:val="both"/>
        <w:rPr>
          <w:rFonts w:ascii="Arial" w:hAnsi="Arial"/>
          <w:sz w:val="22"/>
        </w:rPr>
      </w:pPr>
    </w:p>
    <w:p w14:paraId="7D8DD7E3" w14:textId="71363982" w:rsidR="00EB10AF" w:rsidRPr="00E727AF" w:rsidRDefault="00EB10AF" w:rsidP="00FB6278">
      <w:pPr>
        <w:ind w:left="-567"/>
        <w:jc w:val="both"/>
        <w:rPr>
          <w:rFonts w:ascii="Arial" w:hAnsi="Arial"/>
          <w:sz w:val="22"/>
        </w:rPr>
      </w:pPr>
      <w:r w:rsidRPr="00E727AF">
        <w:rPr>
          <w:rFonts w:ascii="Arial" w:hAnsi="Arial"/>
          <w:b/>
          <w:sz w:val="22"/>
        </w:rPr>
        <w:t>Chief executive’s statement on performance 2021/22</w:t>
      </w:r>
    </w:p>
    <w:p w14:paraId="45A02117" w14:textId="77777777" w:rsidR="00EB10AF" w:rsidRPr="00E727AF" w:rsidRDefault="00EB10AF" w:rsidP="00FB6278">
      <w:pPr>
        <w:ind w:left="-567" w:right="-613"/>
        <w:jc w:val="both"/>
        <w:rPr>
          <w:rFonts w:ascii="Arial" w:hAnsi="Arial"/>
          <w:sz w:val="22"/>
        </w:rPr>
      </w:pPr>
    </w:p>
    <w:p w14:paraId="2B22527D" w14:textId="186964ED" w:rsidR="00EB10AF" w:rsidRPr="00E727AF" w:rsidRDefault="00EB10AF" w:rsidP="00FB6278">
      <w:pPr>
        <w:ind w:left="-567" w:right="-613"/>
        <w:jc w:val="both"/>
        <w:rPr>
          <w:rFonts w:ascii="Arial" w:hAnsi="Arial"/>
          <w:sz w:val="22"/>
        </w:rPr>
      </w:pPr>
      <w:r w:rsidRPr="00E727AF">
        <w:rPr>
          <w:rFonts w:ascii="Arial" w:hAnsi="Arial"/>
          <w:sz w:val="22"/>
        </w:rPr>
        <w:t xml:space="preserve">2021/22 was an exceptional period </w:t>
      </w:r>
      <w:proofErr w:type="gramStart"/>
      <w:r w:rsidRPr="00E727AF">
        <w:rPr>
          <w:rFonts w:ascii="Arial" w:hAnsi="Arial"/>
          <w:sz w:val="22"/>
        </w:rPr>
        <w:t>as a result of</w:t>
      </w:r>
      <w:proofErr w:type="gramEnd"/>
      <w:r w:rsidRPr="00E727AF">
        <w:rPr>
          <w:rFonts w:ascii="Arial" w:hAnsi="Arial"/>
          <w:sz w:val="22"/>
        </w:rPr>
        <w:t xml:space="preserve"> </w:t>
      </w:r>
      <w:r w:rsidR="00E20576" w:rsidRPr="00B827B1">
        <w:rPr>
          <w:rFonts w:asciiTheme="majorHAnsi" w:hAnsiTheme="majorHAnsi" w:cstheme="majorHAnsi"/>
          <w:sz w:val="22"/>
          <w:szCs w:val="22"/>
        </w:rPr>
        <w:t>C</w:t>
      </w:r>
      <w:r w:rsidR="00E20576">
        <w:rPr>
          <w:rFonts w:asciiTheme="majorHAnsi" w:hAnsiTheme="majorHAnsi" w:cstheme="majorHAnsi"/>
          <w:sz w:val="22"/>
          <w:szCs w:val="22"/>
        </w:rPr>
        <w:t>ovid</w:t>
      </w:r>
      <w:r w:rsidRPr="00E727AF">
        <w:rPr>
          <w:rFonts w:ascii="Arial" w:hAnsi="Arial"/>
          <w:sz w:val="22"/>
        </w:rPr>
        <w:t xml:space="preserve">-19 and </w:t>
      </w:r>
      <w:r w:rsidR="00E20576" w:rsidRPr="00E727AF">
        <w:rPr>
          <w:rFonts w:ascii="Arial" w:hAnsi="Arial"/>
          <w:sz w:val="22"/>
        </w:rPr>
        <w:t xml:space="preserve">the </w:t>
      </w:r>
      <w:r w:rsidRPr="00E727AF">
        <w:rPr>
          <w:rFonts w:ascii="Arial" w:hAnsi="Arial"/>
          <w:sz w:val="22"/>
        </w:rPr>
        <w:t xml:space="preserve">transitional funding regime for the NHS.  During the financial period, the </w:t>
      </w:r>
      <w:r w:rsidR="00E20576" w:rsidRPr="00E727AF">
        <w:rPr>
          <w:rFonts w:ascii="Arial" w:hAnsi="Arial" w:cs="Arial"/>
          <w:sz w:val="22"/>
          <w:szCs w:val="22"/>
        </w:rPr>
        <w:t>t</w:t>
      </w:r>
      <w:r w:rsidRPr="00E727AF">
        <w:rPr>
          <w:rFonts w:ascii="Arial" w:hAnsi="Arial" w:cs="Arial"/>
          <w:sz w:val="22"/>
          <w:szCs w:val="22"/>
        </w:rPr>
        <w:t>rust</w:t>
      </w:r>
      <w:r w:rsidRPr="00E727AF">
        <w:rPr>
          <w:rFonts w:ascii="Arial" w:hAnsi="Arial"/>
          <w:sz w:val="22"/>
        </w:rPr>
        <w:t xml:space="preserve"> reported a surplus of £19.4m compared </w:t>
      </w:r>
      <w:r w:rsidR="00E20576" w:rsidRPr="00E727AF">
        <w:rPr>
          <w:rFonts w:ascii="Arial" w:hAnsi="Arial"/>
          <w:sz w:val="22"/>
        </w:rPr>
        <w:t xml:space="preserve">with </w:t>
      </w:r>
      <w:r w:rsidRPr="00E727AF">
        <w:rPr>
          <w:rFonts w:ascii="Arial" w:hAnsi="Arial"/>
          <w:sz w:val="22"/>
        </w:rPr>
        <w:t xml:space="preserve">a surplus of £5.4 million in 2020/21, predominantly </w:t>
      </w:r>
      <w:proofErr w:type="gramStart"/>
      <w:r w:rsidRPr="00E727AF">
        <w:rPr>
          <w:rFonts w:ascii="Arial" w:hAnsi="Arial"/>
          <w:sz w:val="22"/>
        </w:rPr>
        <w:t>as a result of</w:t>
      </w:r>
      <w:proofErr w:type="gramEnd"/>
      <w:r w:rsidRPr="00E727AF">
        <w:rPr>
          <w:rFonts w:ascii="Arial" w:hAnsi="Arial"/>
          <w:sz w:val="22"/>
        </w:rPr>
        <w:t xml:space="preserve"> a largely elective organisation receiving funding income based on historical activity levels, whilst performing reduced activity during the emergency phases of the</w:t>
      </w:r>
      <w:r w:rsidR="00E727AF">
        <w:rPr>
          <w:rFonts w:ascii="Arial" w:hAnsi="Arial"/>
          <w:sz w:val="22"/>
        </w:rPr>
        <w:t xml:space="preserve"> </w:t>
      </w:r>
      <w:r w:rsidRPr="00E727AF">
        <w:rPr>
          <w:rFonts w:ascii="Arial" w:hAnsi="Arial"/>
          <w:sz w:val="22"/>
        </w:rPr>
        <w:t xml:space="preserve">pandemic.  </w:t>
      </w:r>
    </w:p>
    <w:p w14:paraId="5EC344CC" w14:textId="77777777" w:rsidR="00EB10AF" w:rsidRPr="00E727AF" w:rsidRDefault="00EB10AF" w:rsidP="00FB6278">
      <w:pPr>
        <w:ind w:left="-567" w:right="-613"/>
        <w:jc w:val="both"/>
        <w:rPr>
          <w:rFonts w:ascii="Arial" w:hAnsi="Arial"/>
          <w:sz w:val="22"/>
          <w:highlight w:val="yellow"/>
        </w:rPr>
      </w:pPr>
    </w:p>
    <w:p w14:paraId="04333994" w14:textId="425A9D4B" w:rsidR="00EB10AF" w:rsidRPr="00E727AF" w:rsidRDefault="00EB10AF" w:rsidP="00FB6278">
      <w:pPr>
        <w:ind w:left="-567" w:right="-613"/>
        <w:jc w:val="both"/>
        <w:rPr>
          <w:rFonts w:ascii="Arial" w:hAnsi="Arial"/>
          <w:sz w:val="22"/>
        </w:rPr>
      </w:pPr>
      <w:r w:rsidRPr="00E727AF">
        <w:rPr>
          <w:rFonts w:ascii="Arial" w:hAnsi="Arial"/>
          <w:sz w:val="22"/>
        </w:rPr>
        <w:t xml:space="preserve">The </w:t>
      </w:r>
      <w:r w:rsidR="00E20576" w:rsidRPr="00E727AF">
        <w:rPr>
          <w:rFonts w:ascii="Arial" w:hAnsi="Arial" w:cs="Arial"/>
          <w:sz w:val="22"/>
          <w:szCs w:val="22"/>
        </w:rPr>
        <w:t>t</w:t>
      </w:r>
      <w:r w:rsidRPr="00E727AF">
        <w:rPr>
          <w:rFonts w:ascii="Arial" w:hAnsi="Arial" w:cs="Arial"/>
          <w:sz w:val="22"/>
          <w:szCs w:val="22"/>
        </w:rPr>
        <w:t>rust</w:t>
      </w:r>
      <w:r w:rsidR="00E20576" w:rsidRPr="00E727AF">
        <w:rPr>
          <w:rFonts w:ascii="Arial" w:hAnsi="Arial" w:cs="Arial"/>
          <w:sz w:val="22"/>
          <w:szCs w:val="22"/>
        </w:rPr>
        <w:t>’</w:t>
      </w:r>
      <w:r w:rsidRPr="00E727AF">
        <w:rPr>
          <w:rFonts w:ascii="Arial" w:hAnsi="Arial" w:cs="Arial"/>
          <w:sz w:val="22"/>
          <w:szCs w:val="22"/>
        </w:rPr>
        <w:t>s</w:t>
      </w:r>
      <w:r w:rsidRPr="00E727AF">
        <w:rPr>
          <w:rFonts w:ascii="Arial" w:hAnsi="Arial"/>
          <w:sz w:val="22"/>
        </w:rPr>
        <w:t xml:space="preserve"> capital programme also supported the</w:t>
      </w:r>
      <w:r w:rsidR="00E727AF">
        <w:rPr>
          <w:rFonts w:ascii="Arial" w:hAnsi="Arial"/>
          <w:sz w:val="22"/>
        </w:rPr>
        <w:t xml:space="preserve"> </w:t>
      </w:r>
      <w:r w:rsidR="0016125A" w:rsidRPr="00E727AF">
        <w:rPr>
          <w:rFonts w:ascii="Arial" w:hAnsi="Arial"/>
          <w:sz w:val="22"/>
        </w:rPr>
        <w:t xml:space="preserve">Covid-19 </w:t>
      </w:r>
      <w:r w:rsidRPr="00E727AF">
        <w:rPr>
          <w:rFonts w:ascii="Arial" w:hAnsi="Arial"/>
          <w:sz w:val="22"/>
        </w:rPr>
        <w:t>emergency response, and total capital expenditure for the year was £14.8 million (2020/21 £17.5m). With cautious management of working capital</w:t>
      </w:r>
      <w:r w:rsidR="0016125A" w:rsidRPr="00E727AF">
        <w:rPr>
          <w:rFonts w:ascii="Arial" w:hAnsi="Arial"/>
          <w:sz w:val="22"/>
        </w:rPr>
        <w:t>,</w:t>
      </w:r>
      <w:r w:rsidRPr="00E727AF">
        <w:rPr>
          <w:rFonts w:ascii="Arial" w:hAnsi="Arial"/>
          <w:sz w:val="22"/>
        </w:rPr>
        <w:t xml:space="preserve"> this enabled the </w:t>
      </w:r>
      <w:r w:rsidR="0016125A" w:rsidRPr="00E727AF">
        <w:rPr>
          <w:rFonts w:ascii="Arial" w:hAnsi="Arial" w:cs="Arial"/>
          <w:sz w:val="22"/>
          <w:szCs w:val="22"/>
        </w:rPr>
        <w:t>t</w:t>
      </w:r>
      <w:r w:rsidRPr="00E727AF">
        <w:rPr>
          <w:rFonts w:ascii="Arial" w:hAnsi="Arial" w:cs="Arial"/>
          <w:sz w:val="22"/>
          <w:szCs w:val="22"/>
        </w:rPr>
        <w:t>rust</w:t>
      </w:r>
      <w:r w:rsidRPr="00E727AF">
        <w:rPr>
          <w:rFonts w:ascii="Arial" w:hAnsi="Arial"/>
          <w:sz w:val="22"/>
        </w:rPr>
        <w:t xml:space="preserve"> to maintain cash reserves to £69.3 million (2020/21 £68.4) and maintain a level of liquidity </w:t>
      </w:r>
      <w:proofErr w:type="gramStart"/>
      <w:r w:rsidRPr="00E727AF">
        <w:rPr>
          <w:rFonts w:ascii="Arial" w:hAnsi="Arial"/>
          <w:sz w:val="22"/>
        </w:rPr>
        <w:t>in order to</w:t>
      </w:r>
      <w:proofErr w:type="gramEnd"/>
      <w:r w:rsidRPr="00E727AF">
        <w:rPr>
          <w:rFonts w:ascii="Arial" w:hAnsi="Arial"/>
          <w:sz w:val="22"/>
        </w:rPr>
        <w:t xml:space="preserve"> respond to evolving external circumstances.</w:t>
      </w:r>
    </w:p>
    <w:p w14:paraId="484C72D5" w14:textId="05F56086" w:rsidR="00EB10AF" w:rsidRPr="00E727AF" w:rsidRDefault="00EB10AF" w:rsidP="00FB6278">
      <w:pPr>
        <w:ind w:left="-567" w:right="-613"/>
        <w:jc w:val="both"/>
        <w:rPr>
          <w:rFonts w:ascii="Arial" w:hAnsi="Arial"/>
          <w:sz w:val="22"/>
          <w:highlight w:val="yellow"/>
        </w:rPr>
      </w:pPr>
      <w:r w:rsidRPr="00E727AF">
        <w:rPr>
          <w:rFonts w:ascii="Arial" w:hAnsi="Arial"/>
          <w:sz w:val="22"/>
          <w:highlight w:val="yellow"/>
        </w:rPr>
        <w:t xml:space="preserve"> </w:t>
      </w:r>
    </w:p>
    <w:p w14:paraId="3CE28862" w14:textId="77777777" w:rsidR="00174459" w:rsidRPr="00E727AF" w:rsidRDefault="00174459" w:rsidP="00FB6278">
      <w:pPr>
        <w:ind w:left="-567" w:right="-613"/>
        <w:jc w:val="both"/>
        <w:rPr>
          <w:rFonts w:ascii="Arial" w:hAnsi="Arial"/>
          <w:b/>
          <w:sz w:val="22"/>
        </w:rPr>
      </w:pPr>
      <w:r w:rsidRPr="00E727AF">
        <w:rPr>
          <w:rFonts w:ascii="Arial" w:hAnsi="Arial"/>
          <w:b/>
          <w:sz w:val="22"/>
        </w:rPr>
        <w:t xml:space="preserve">Equality, </w:t>
      </w:r>
      <w:proofErr w:type="gramStart"/>
      <w:r w:rsidRPr="00E727AF">
        <w:rPr>
          <w:rFonts w:ascii="Arial" w:hAnsi="Arial"/>
          <w:b/>
          <w:sz w:val="22"/>
        </w:rPr>
        <w:t>diversity</w:t>
      </w:r>
      <w:proofErr w:type="gramEnd"/>
      <w:r w:rsidRPr="00E727AF">
        <w:rPr>
          <w:rFonts w:ascii="Arial" w:hAnsi="Arial"/>
          <w:b/>
          <w:sz w:val="22"/>
        </w:rPr>
        <w:t xml:space="preserve"> and inclusion </w:t>
      </w:r>
    </w:p>
    <w:p w14:paraId="5996F808" w14:textId="77777777" w:rsidR="00174459" w:rsidRPr="00E727AF" w:rsidRDefault="00174459" w:rsidP="00FB6278">
      <w:pPr>
        <w:ind w:left="-567" w:right="-613"/>
        <w:jc w:val="both"/>
        <w:rPr>
          <w:rFonts w:ascii="Arial" w:hAnsi="Arial"/>
          <w:b/>
          <w:sz w:val="22"/>
        </w:rPr>
      </w:pPr>
    </w:p>
    <w:p w14:paraId="0FB64258" w14:textId="77777777" w:rsidR="00174459" w:rsidRPr="00E727AF" w:rsidRDefault="00174459" w:rsidP="00FB6278">
      <w:pPr>
        <w:ind w:left="-567" w:right="-613"/>
        <w:jc w:val="both"/>
        <w:rPr>
          <w:rFonts w:ascii="Arial" w:hAnsi="Arial"/>
          <w:sz w:val="22"/>
        </w:rPr>
      </w:pPr>
      <w:r w:rsidRPr="00E727AF">
        <w:rPr>
          <w:rFonts w:ascii="Arial" w:hAnsi="Arial"/>
          <w:sz w:val="22"/>
        </w:rPr>
        <w:t xml:space="preserve">The trust's aspiration for equality, </w:t>
      </w:r>
      <w:proofErr w:type="gramStart"/>
      <w:r w:rsidRPr="00E727AF">
        <w:rPr>
          <w:rFonts w:ascii="Arial" w:hAnsi="Arial"/>
          <w:sz w:val="22"/>
        </w:rPr>
        <w:t>diversity</w:t>
      </w:r>
      <w:proofErr w:type="gramEnd"/>
      <w:r w:rsidRPr="00E727AF">
        <w:rPr>
          <w:rFonts w:ascii="Arial" w:hAnsi="Arial"/>
          <w:sz w:val="22"/>
        </w:rPr>
        <w:t xml:space="preserve"> and inclusion (ED&amp;I) is a culture that supports staff in realising their potential while helping patients in realising the best possible health outcomes.  </w:t>
      </w:r>
    </w:p>
    <w:p w14:paraId="5E1BF1F9" w14:textId="77777777" w:rsidR="00174459" w:rsidRPr="00E727AF" w:rsidRDefault="00174459" w:rsidP="00FB6278">
      <w:pPr>
        <w:ind w:left="-567" w:right="-613"/>
        <w:jc w:val="both"/>
        <w:rPr>
          <w:rFonts w:ascii="Arial" w:hAnsi="Arial"/>
          <w:sz w:val="22"/>
        </w:rPr>
      </w:pPr>
    </w:p>
    <w:p w14:paraId="711ECCA6" w14:textId="77777777" w:rsidR="00174459" w:rsidRPr="00E727AF" w:rsidRDefault="00174459" w:rsidP="00FB6278">
      <w:pPr>
        <w:ind w:left="-567" w:right="-613"/>
        <w:jc w:val="both"/>
        <w:rPr>
          <w:rFonts w:ascii="Arial" w:hAnsi="Arial"/>
          <w:sz w:val="22"/>
        </w:rPr>
      </w:pPr>
      <w:r w:rsidRPr="00E727AF">
        <w:rPr>
          <w:rFonts w:ascii="Arial" w:hAnsi="Arial"/>
          <w:sz w:val="22"/>
        </w:rPr>
        <w:lastRenderedPageBreak/>
        <w:t xml:space="preserve">Our equality, diversity and human rights policy sets out how we ensure that neither patients nor staff are treated differently because of any protected characteristic they may have. For new joiners, this is supported by a comprehensive recruitment policy and training for managers in managing equality, </w:t>
      </w:r>
      <w:proofErr w:type="gramStart"/>
      <w:r w:rsidRPr="00E727AF">
        <w:rPr>
          <w:rFonts w:ascii="Arial" w:hAnsi="Arial"/>
          <w:sz w:val="22"/>
        </w:rPr>
        <w:t>diversity</w:t>
      </w:r>
      <w:proofErr w:type="gramEnd"/>
      <w:r w:rsidRPr="00E727AF">
        <w:rPr>
          <w:rFonts w:ascii="Arial" w:hAnsi="Arial"/>
          <w:sz w:val="22"/>
        </w:rPr>
        <w:t xml:space="preserve"> and inclusion. </w:t>
      </w:r>
    </w:p>
    <w:p w14:paraId="459DEB6C" w14:textId="77777777" w:rsidR="00174459" w:rsidRPr="00E727AF" w:rsidRDefault="00174459" w:rsidP="00FB6278">
      <w:pPr>
        <w:ind w:left="-567" w:right="-613"/>
        <w:jc w:val="both"/>
        <w:rPr>
          <w:rFonts w:ascii="Arial" w:hAnsi="Arial"/>
          <w:sz w:val="22"/>
        </w:rPr>
      </w:pPr>
    </w:p>
    <w:p w14:paraId="565D7675" w14:textId="0C91CABF" w:rsidR="00174459" w:rsidRPr="00380B8D" w:rsidRDefault="00174459" w:rsidP="00FB6278">
      <w:pPr>
        <w:ind w:left="-567" w:right="-613"/>
        <w:jc w:val="both"/>
        <w:rPr>
          <w:rFonts w:ascii="Arial" w:hAnsi="Arial"/>
          <w:sz w:val="22"/>
        </w:rPr>
      </w:pPr>
      <w:r w:rsidRPr="00E727AF">
        <w:rPr>
          <w:rFonts w:ascii="Arial" w:hAnsi="Arial"/>
          <w:sz w:val="22"/>
        </w:rPr>
        <w:t xml:space="preserve">In 2020, an equality, diversity and human rights steering group, chaired by the </w:t>
      </w:r>
      <w:r w:rsidR="0016125A" w:rsidRPr="00E727AF">
        <w:rPr>
          <w:rFonts w:ascii="Arial" w:hAnsi="Arial" w:cs="Arial"/>
          <w:sz w:val="22"/>
          <w:szCs w:val="22"/>
        </w:rPr>
        <w:t>chief</w:t>
      </w:r>
      <w:r w:rsidR="00E727AF">
        <w:rPr>
          <w:rFonts w:ascii="Arial" w:hAnsi="Arial" w:cs="Arial"/>
          <w:sz w:val="22"/>
          <w:szCs w:val="22"/>
        </w:rPr>
        <w:t xml:space="preserve"> </w:t>
      </w:r>
      <w:r w:rsidR="0016125A" w:rsidRPr="00E727AF">
        <w:rPr>
          <w:rFonts w:ascii="Arial" w:hAnsi="Arial"/>
          <w:sz w:val="22"/>
        </w:rPr>
        <w:t>executive</w:t>
      </w:r>
      <w:r w:rsidRPr="00E727AF">
        <w:rPr>
          <w:rFonts w:ascii="Arial" w:hAnsi="Arial"/>
          <w:sz w:val="22"/>
        </w:rPr>
        <w:t xml:space="preserve">, was set up with a strong governance oversight and representation from staff, ED&amp;I </w:t>
      </w:r>
      <w:r w:rsidR="0016125A" w:rsidRPr="00E727AF">
        <w:rPr>
          <w:rFonts w:ascii="Arial" w:hAnsi="Arial" w:cs="Arial"/>
          <w:sz w:val="22"/>
          <w:szCs w:val="22"/>
        </w:rPr>
        <w:t>l</w:t>
      </w:r>
      <w:r w:rsidRPr="00E727AF">
        <w:rPr>
          <w:rFonts w:ascii="Arial" w:hAnsi="Arial" w:cs="Arial"/>
          <w:sz w:val="22"/>
          <w:szCs w:val="22"/>
        </w:rPr>
        <w:t>eads</w:t>
      </w:r>
      <w:r w:rsidRPr="00380B8D">
        <w:rPr>
          <w:rFonts w:ascii="Arial" w:hAnsi="Arial"/>
          <w:sz w:val="22"/>
        </w:rPr>
        <w:t>, patient</w:t>
      </w:r>
      <w:r w:rsidR="00380B8D">
        <w:rPr>
          <w:rFonts w:ascii="Arial" w:hAnsi="Arial"/>
          <w:sz w:val="22"/>
        </w:rPr>
        <w:t xml:space="preserve"> </w:t>
      </w:r>
      <w:r w:rsidRPr="00380B8D">
        <w:rPr>
          <w:rFonts w:ascii="Arial" w:hAnsi="Arial"/>
          <w:sz w:val="22"/>
        </w:rPr>
        <w:t>governor</w:t>
      </w:r>
      <w:r w:rsidR="005B29DE">
        <w:rPr>
          <w:rFonts w:ascii="Arial" w:hAnsi="Arial"/>
          <w:sz w:val="22"/>
        </w:rPr>
        <w:t>s</w:t>
      </w:r>
      <w:r w:rsidRPr="00380B8D">
        <w:rPr>
          <w:rFonts w:ascii="Arial" w:hAnsi="Arial"/>
          <w:sz w:val="22"/>
        </w:rPr>
        <w:t xml:space="preserve"> and executive sponsors. </w:t>
      </w:r>
    </w:p>
    <w:p w14:paraId="5A9659BE" w14:textId="77777777" w:rsidR="00174459" w:rsidRPr="00380B8D" w:rsidRDefault="00174459" w:rsidP="00FB6278">
      <w:pPr>
        <w:ind w:left="-567" w:right="-613"/>
        <w:jc w:val="both"/>
        <w:rPr>
          <w:rFonts w:ascii="Arial" w:hAnsi="Arial"/>
          <w:sz w:val="22"/>
        </w:rPr>
      </w:pPr>
    </w:p>
    <w:p w14:paraId="54FDB5CC" w14:textId="604D0EBE" w:rsidR="00174459" w:rsidRPr="00380B8D" w:rsidRDefault="00174459" w:rsidP="00FB6278">
      <w:pPr>
        <w:ind w:left="-567" w:right="-613"/>
        <w:jc w:val="both"/>
        <w:rPr>
          <w:rFonts w:ascii="Arial" w:hAnsi="Arial"/>
          <w:sz w:val="22"/>
        </w:rPr>
      </w:pPr>
      <w:r w:rsidRPr="00380B8D">
        <w:rPr>
          <w:rFonts w:ascii="Arial" w:hAnsi="Arial"/>
          <w:sz w:val="22"/>
        </w:rPr>
        <w:t>The steering group has set four objectives for building a programme of work in 2021/22:</w:t>
      </w:r>
    </w:p>
    <w:p w14:paraId="243442E8" w14:textId="77777777" w:rsidR="00174459" w:rsidRPr="00380B8D" w:rsidRDefault="00174459" w:rsidP="00FB6278">
      <w:pPr>
        <w:ind w:left="-567" w:right="-613"/>
        <w:jc w:val="both"/>
        <w:rPr>
          <w:rFonts w:ascii="Arial" w:hAnsi="Arial"/>
          <w:sz w:val="22"/>
        </w:rPr>
      </w:pPr>
    </w:p>
    <w:p w14:paraId="03F77210" w14:textId="6E0AEAF6" w:rsidR="00174459" w:rsidRPr="00380B8D" w:rsidRDefault="00174459" w:rsidP="00FB6278">
      <w:pPr>
        <w:pStyle w:val="ListParagraph"/>
        <w:numPr>
          <w:ilvl w:val="0"/>
          <w:numId w:val="40"/>
        </w:numPr>
        <w:ind w:right="-613"/>
        <w:jc w:val="both"/>
        <w:rPr>
          <w:rFonts w:ascii="Arial" w:hAnsi="Arial"/>
          <w:sz w:val="22"/>
        </w:rPr>
      </w:pPr>
      <w:r w:rsidRPr="00380B8D">
        <w:rPr>
          <w:rFonts w:ascii="Arial" w:hAnsi="Arial"/>
          <w:sz w:val="22"/>
        </w:rPr>
        <w:t>Supporting career progression for staff from ethnic minority backgrounds (previously BAME backgrounds</w:t>
      </w:r>
      <w:proofErr w:type="gramStart"/>
      <w:r w:rsidRPr="00380B8D">
        <w:rPr>
          <w:rFonts w:ascii="Arial" w:hAnsi="Arial"/>
          <w:sz w:val="22"/>
        </w:rPr>
        <w:t>);</w:t>
      </w:r>
      <w:proofErr w:type="gramEnd"/>
    </w:p>
    <w:p w14:paraId="46DF70A2" w14:textId="76852FC1" w:rsidR="00174459" w:rsidRPr="00380B8D" w:rsidRDefault="00174459" w:rsidP="00FB6278">
      <w:pPr>
        <w:pStyle w:val="ListParagraph"/>
        <w:numPr>
          <w:ilvl w:val="0"/>
          <w:numId w:val="40"/>
        </w:numPr>
        <w:ind w:right="-613"/>
        <w:jc w:val="both"/>
        <w:rPr>
          <w:rFonts w:ascii="Arial" w:hAnsi="Arial"/>
          <w:sz w:val="22"/>
        </w:rPr>
      </w:pPr>
      <w:r w:rsidRPr="00380B8D">
        <w:rPr>
          <w:rFonts w:ascii="Arial" w:hAnsi="Arial"/>
          <w:sz w:val="22"/>
        </w:rPr>
        <w:t xml:space="preserve">Understanding patient population demographic and accessing language </w:t>
      </w:r>
      <w:proofErr w:type="gramStart"/>
      <w:r w:rsidRPr="00380B8D">
        <w:rPr>
          <w:rFonts w:ascii="Arial" w:hAnsi="Arial"/>
          <w:sz w:val="22"/>
        </w:rPr>
        <w:t>services;</w:t>
      </w:r>
      <w:proofErr w:type="gramEnd"/>
    </w:p>
    <w:p w14:paraId="04F0BFC3" w14:textId="2966A7A0" w:rsidR="00174459" w:rsidRPr="00380B8D" w:rsidRDefault="00174459" w:rsidP="00FB6278">
      <w:pPr>
        <w:pStyle w:val="ListParagraph"/>
        <w:numPr>
          <w:ilvl w:val="0"/>
          <w:numId w:val="40"/>
        </w:numPr>
        <w:ind w:right="-613"/>
        <w:jc w:val="both"/>
        <w:rPr>
          <w:rFonts w:ascii="Arial" w:hAnsi="Arial"/>
          <w:sz w:val="22"/>
        </w:rPr>
      </w:pPr>
      <w:r w:rsidRPr="00380B8D">
        <w:rPr>
          <w:rFonts w:ascii="Arial" w:hAnsi="Arial"/>
          <w:sz w:val="22"/>
        </w:rPr>
        <w:t>Investing in infrastructure to support the capability and maturity of staff networks; and</w:t>
      </w:r>
    </w:p>
    <w:p w14:paraId="22F94534" w14:textId="78D19E62" w:rsidR="00174459" w:rsidRPr="00380B8D" w:rsidRDefault="00174459" w:rsidP="00FB6278">
      <w:pPr>
        <w:pStyle w:val="ListParagraph"/>
        <w:numPr>
          <w:ilvl w:val="0"/>
          <w:numId w:val="40"/>
        </w:numPr>
        <w:ind w:right="-613"/>
        <w:jc w:val="both"/>
        <w:rPr>
          <w:rFonts w:ascii="Arial" w:hAnsi="Arial"/>
          <w:sz w:val="22"/>
        </w:rPr>
      </w:pPr>
      <w:r w:rsidRPr="00380B8D">
        <w:rPr>
          <w:rFonts w:ascii="Arial" w:hAnsi="Arial"/>
          <w:sz w:val="22"/>
        </w:rPr>
        <w:t>Reducing bullying &amp; harassment.</w:t>
      </w:r>
    </w:p>
    <w:p w14:paraId="4FE0998E" w14:textId="77777777" w:rsidR="00174459" w:rsidRPr="00380B8D" w:rsidRDefault="00174459" w:rsidP="00FB6278">
      <w:pPr>
        <w:ind w:left="-567" w:right="-613"/>
        <w:jc w:val="both"/>
        <w:rPr>
          <w:rFonts w:ascii="Arial" w:hAnsi="Arial"/>
          <w:sz w:val="22"/>
        </w:rPr>
      </w:pPr>
    </w:p>
    <w:p w14:paraId="766FC93B" w14:textId="4B70DFBB" w:rsidR="00174459" w:rsidRPr="00380B8D" w:rsidRDefault="00174459" w:rsidP="00FB6278">
      <w:pPr>
        <w:ind w:left="-567" w:right="-613"/>
        <w:jc w:val="both"/>
        <w:rPr>
          <w:rFonts w:ascii="Arial" w:hAnsi="Arial"/>
          <w:sz w:val="22"/>
        </w:rPr>
      </w:pPr>
      <w:r w:rsidRPr="00380B8D">
        <w:rPr>
          <w:rFonts w:ascii="Arial" w:hAnsi="Arial"/>
          <w:sz w:val="22"/>
        </w:rPr>
        <w:t xml:space="preserve">Further progress has been made against additional objectives to include recruitment of an organisational development consultant role and </w:t>
      </w:r>
      <w:r w:rsidR="002B5603" w:rsidRPr="00380B8D">
        <w:rPr>
          <w:rFonts w:ascii="Arial" w:hAnsi="Arial"/>
          <w:sz w:val="22"/>
        </w:rPr>
        <w:t xml:space="preserve">to establish </w:t>
      </w:r>
      <w:r w:rsidRPr="00380B8D">
        <w:rPr>
          <w:rFonts w:ascii="Arial" w:hAnsi="Arial"/>
          <w:sz w:val="22"/>
        </w:rPr>
        <w:t>an engagement officer role to drive forward our inclusion and diversity agenda. The trust intends to re</w:t>
      </w:r>
      <w:r w:rsidR="005B29DE">
        <w:rPr>
          <w:rFonts w:ascii="Arial" w:hAnsi="Arial"/>
          <w:sz w:val="22"/>
        </w:rPr>
        <w:t xml:space="preserve">view </w:t>
      </w:r>
      <w:r w:rsidRPr="00380B8D">
        <w:rPr>
          <w:rFonts w:ascii="Arial" w:hAnsi="Arial"/>
          <w:sz w:val="22"/>
        </w:rPr>
        <w:t xml:space="preserve">the bullying and harassment pathway to relaunch with alternative pre-intervention support. We are also accredited with the 'two ticks' status, which guarantees people with a disability an interview if they meet the minimum criteria for a role. </w:t>
      </w:r>
    </w:p>
    <w:p w14:paraId="3987C4CF" w14:textId="77777777" w:rsidR="00174459" w:rsidRPr="00380B8D" w:rsidRDefault="00174459" w:rsidP="00FB6278">
      <w:pPr>
        <w:ind w:left="-567" w:right="-613"/>
        <w:jc w:val="both"/>
        <w:rPr>
          <w:rFonts w:ascii="Arial" w:hAnsi="Arial"/>
          <w:sz w:val="22"/>
        </w:rPr>
      </w:pPr>
    </w:p>
    <w:p w14:paraId="28961417" w14:textId="5560E03C" w:rsidR="00174459" w:rsidRPr="00380B8D" w:rsidRDefault="00174459" w:rsidP="00FB6278">
      <w:pPr>
        <w:ind w:left="-567" w:right="-613"/>
        <w:jc w:val="both"/>
        <w:rPr>
          <w:rFonts w:ascii="Arial" w:hAnsi="Arial"/>
          <w:sz w:val="22"/>
        </w:rPr>
      </w:pPr>
      <w:r w:rsidRPr="00380B8D">
        <w:rPr>
          <w:rFonts w:ascii="Arial" w:hAnsi="Arial"/>
          <w:sz w:val="22"/>
        </w:rPr>
        <w:t xml:space="preserve">A business case for additional resources is being developed to create a resource of ED&amp;I expertise for the trust on these matters, researching and keeping up to date with all legislative requirements, best </w:t>
      </w:r>
      <w:proofErr w:type="gramStart"/>
      <w:r w:rsidRPr="00380B8D">
        <w:rPr>
          <w:rFonts w:ascii="Arial" w:hAnsi="Arial"/>
          <w:sz w:val="22"/>
        </w:rPr>
        <w:t>practice</w:t>
      </w:r>
      <w:proofErr w:type="gramEnd"/>
      <w:r w:rsidRPr="00380B8D">
        <w:rPr>
          <w:rFonts w:ascii="Arial" w:hAnsi="Arial"/>
          <w:sz w:val="22"/>
        </w:rPr>
        <w:t xml:space="preserve"> and NHS</w:t>
      </w:r>
      <w:r w:rsidR="002B5603" w:rsidRPr="00380B8D">
        <w:rPr>
          <w:rFonts w:ascii="Arial" w:hAnsi="Arial"/>
          <w:sz w:val="22"/>
        </w:rPr>
        <w:t>-</w:t>
      </w:r>
      <w:r w:rsidRPr="00380B8D">
        <w:rPr>
          <w:rFonts w:ascii="Arial" w:hAnsi="Arial"/>
          <w:sz w:val="22"/>
        </w:rPr>
        <w:t xml:space="preserve">specific initiatives to support the trust to be at the forefront of ED&amp;I issues. This resource will provide strategic and operational leadership, </w:t>
      </w:r>
      <w:proofErr w:type="gramStart"/>
      <w:r w:rsidRPr="00380B8D">
        <w:rPr>
          <w:rFonts w:ascii="Arial" w:hAnsi="Arial"/>
          <w:sz w:val="22"/>
        </w:rPr>
        <w:t>coordination</w:t>
      </w:r>
      <w:proofErr w:type="gramEnd"/>
      <w:r w:rsidRPr="00380B8D">
        <w:rPr>
          <w:rFonts w:ascii="Arial" w:hAnsi="Arial"/>
          <w:sz w:val="22"/>
        </w:rPr>
        <w:t xml:space="preserve"> and support for delivering ambitious workforce equality, diversity and inclusion programme</w:t>
      </w:r>
      <w:r w:rsidR="002B5603" w:rsidRPr="00380B8D">
        <w:rPr>
          <w:rFonts w:ascii="Arial" w:hAnsi="Arial"/>
          <w:sz w:val="22"/>
        </w:rPr>
        <w:t>s</w:t>
      </w:r>
      <w:r w:rsidRPr="00380B8D">
        <w:rPr>
          <w:rFonts w:ascii="Arial" w:hAnsi="Arial"/>
          <w:sz w:val="22"/>
        </w:rPr>
        <w:t xml:space="preserve"> for staff and patients at Moorfields. </w:t>
      </w:r>
    </w:p>
    <w:p w14:paraId="208D767F" w14:textId="77777777" w:rsidR="00174459" w:rsidRPr="00380B8D" w:rsidRDefault="00174459" w:rsidP="00FB6278">
      <w:pPr>
        <w:ind w:left="-567" w:right="-613"/>
        <w:jc w:val="both"/>
        <w:rPr>
          <w:rFonts w:ascii="Arial" w:hAnsi="Arial"/>
          <w:sz w:val="22"/>
        </w:rPr>
      </w:pPr>
    </w:p>
    <w:p w14:paraId="6E07AC31" w14:textId="77777777" w:rsidR="00174459" w:rsidRPr="00380B8D" w:rsidRDefault="00174459" w:rsidP="00FB6278">
      <w:pPr>
        <w:ind w:left="-567" w:right="-613"/>
        <w:jc w:val="both"/>
        <w:rPr>
          <w:rFonts w:ascii="Arial" w:hAnsi="Arial"/>
          <w:b/>
          <w:sz w:val="22"/>
        </w:rPr>
      </w:pPr>
      <w:r w:rsidRPr="00380B8D">
        <w:rPr>
          <w:rFonts w:ascii="Arial" w:hAnsi="Arial"/>
          <w:b/>
          <w:sz w:val="22"/>
        </w:rPr>
        <w:t>Our equality objectives</w:t>
      </w:r>
    </w:p>
    <w:p w14:paraId="3765CDA3" w14:textId="77777777" w:rsidR="00174459" w:rsidRPr="00380B8D" w:rsidRDefault="00174459" w:rsidP="00FB6278">
      <w:pPr>
        <w:ind w:left="-567" w:right="-613"/>
        <w:jc w:val="both"/>
        <w:rPr>
          <w:rFonts w:ascii="Arial" w:hAnsi="Arial"/>
          <w:sz w:val="22"/>
        </w:rPr>
      </w:pPr>
      <w:r w:rsidRPr="00380B8D">
        <w:rPr>
          <w:rFonts w:ascii="Arial" w:hAnsi="Arial"/>
          <w:sz w:val="22"/>
        </w:rPr>
        <w:t xml:space="preserve">To improve the equality outcomes for patients, </w:t>
      </w:r>
      <w:proofErr w:type="gramStart"/>
      <w:r w:rsidRPr="00380B8D">
        <w:rPr>
          <w:rFonts w:ascii="Arial" w:hAnsi="Arial"/>
          <w:sz w:val="22"/>
        </w:rPr>
        <w:t>carers</w:t>
      </w:r>
      <w:proofErr w:type="gramEnd"/>
      <w:r w:rsidRPr="00380B8D">
        <w:rPr>
          <w:rFonts w:ascii="Arial" w:hAnsi="Arial"/>
          <w:sz w:val="22"/>
        </w:rPr>
        <w:t xml:space="preserve"> and visitors, we are committed to:</w:t>
      </w:r>
    </w:p>
    <w:p w14:paraId="578EA72D" w14:textId="77777777" w:rsidR="00174459" w:rsidRPr="00380B8D" w:rsidRDefault="00174459" w:rsidP="00FB6278">
      <w:pPr>
        <w:ind w:left="-567" w:right="-613"/>
        <w:jc w:val="both"/>
        <w:rPr>
          <w:rFonts w:ascii="Arial" w:hAnsi="Arial"/>
          <w:sz w:val="22"/>
        </w:rPr>
      </w:pPr>
    </w:p>
    <w:p w14:paraId="16B055B2" w14:textId="77777777" w:rsidR="00174459" w:rsidRPr="00380B8D" w:rsidRDefault="00174459" w:rsidP="00FB6278">
      <w:pPr>
        <w:numPr>
          <w:ilvl w:val="0"/>
          <w:numId w:val="37"/>
        </w:numPr>
        <w:ind w:right="-613"/>
        <w:jc w:val="both"/>
        <w:rPr>
          <w:rFonts w:ascii="Arial" w:hAnsi="Arial"/>
          <w:sz w:val="22"/>
          <w:lang w:val="en-US"/>
        </w:rPr>
      </w:pPr>
      <w:r w:rsidRPr="00380B8D">
        <w:rPr>
          <w:rFonts w:ascii="Arial" w:hAnsi="Arial"/>
          <w:sz w:val="22"/>
          <w:lang w:val="en-US"/>
        </w:rPr>
        <w:t>improving the experience of people identified by the protected characteristics when waiting for their appointment; and</w:t>
      </w:r>
    </w:p>
    <w:p w14:paraId="05D45A2B" w14:textId="77777777" w:rsidR="00174459" w:rsidRPr="00380B8D" w:rsidRDefault="00174459" w:rsidP="00FB6278">
      <w:pPr>
        <w:numPr>
          <w:ilvl w:val="0"/>
          <w:numId w:val="37"/>
        </w:numPr>
        <w:ind w:right="-613"/>
        <w:jc w:val="both"/>
        <w:rPr>
          <w:rFonts w:ascii="Arial" w:hAnsi="Arial"/>
          <w:sz w:val="22"/>
          <w:lang w:val="en-US"/>
        </w:rPr>
      </w:pPr>
      <w:r w:rsidRPr="00380B8D">
        <w:rPr>
          <w:rFonts w:ascii="Arial" w:hAnsi="Arial"/>
          <w:sz w:val="22"/>
          <w:lang w:val="en-US"/>
        </w:rPr>
        <w:t>making information more accessible and specific to patients who have a clinical need.</w:t>
      </w:r>
    </w:p>
    <w:p w14:paraId="3E93E88E" w14:textId="77777777" w:rsidR="00174459" w:rsidRPr="00380B8D" w:rsidRDefault="00174459" w:rsidP="00FB6278">
      <w:pPr>
        <w:ind w:left="-567" w:right="-613"/>
        <w:jc w:val="both"/>
        <w:rPr>
          <w:rFonts w:ascii="Arial" w:hAnsi="Arial"/>
          <w:sz w:val="22"/>
        </w:rPr>
      </w:pPr>
    </w:p>
    <w:p w14:paraId="4B4D6D9F" w14:textId="77777777" w:rsidR="00174459" w:rsidRPr="00380B8D" w:rsidRDefault="00174459" w:rsidP="00FB6278">
      <w:pPr>
        <w:ind w:left="-567" w:right="-613"/>
        <w:jc w:val="both"/>
        <w:rPr>
          <w:rFonts w:ascii="Arial" w:hAnsi="Arial"/>
          <w:b/>
          <w:sz w:val="22"/>
        </w:rPr>
      </w:pPr>
      <w:r w:rsidRPr="00380B8D">
        <w:rPr>
          <w:rFonts w:ascii="Arial" w:hAnsi="Arial"/>
          <w:b/>
          <w:sz w:val="22"/>
        </w:rPr>
        <w:t>To improve the equality outcomes for our staff we are committed to:</w:t>
      </w:r>
    </w:p>
    <w:p w14:paraId="74734506" w14:textId="77777777" w:rsidR="00174459" w:rsidRPr="00380B8D" w:rsidRDefault="00174459" w:rsidP="00FB6278">
      <w:pPr>
        <w:numPr>
          <w:ilvl w:val="0"/>
          <w:numId w:val="38"/>
        </w:numPr>
        <w:ind w:right="-613"/>
        <w:jc w:val="both"/>
        <w:rPr>
          <w:rFonts w:ascii="Arial" w:hAnsi="Arial"/>
          <w:sz w:val="22"/>
          <w:lang w:val="en-US"/>
        </w:rPr>
      </w:pPr>
      <w:r w:rsidRPr="00380B8D">
        <w:rPr>
          <w:rFonts w:ascii="Arial" w:hAnsi="Arial"/>
          <w:sz w:val="22"/>
          <w:lang w:val="en-US"/>
        </w:rPr>
        <w:t xml:space="preserve">increasing the diversity of people in leadership and management </w:t>
      </w:r>
      <w:proofErr w:type="gramStart"/>
      <w:r w:rsidRPr="00380B8D">
        <w:rPr>
          <w:rFonts w:ascii="Arial" w:hAnsi="Arial"/>
          <w:sz w:val="22"/>
          <w:lang w:val="en-US"/>
        </w:rPr>
        <w:t>roles;</w:t>
      </w:r>
      <w:proofErr w:type="gramEnd"/>
    </w:p>
    <w:p w14:paraId="052BF656" w14:textId="77777777" w:rsidR="00174459" w:rsidRPr="00380B8D" w:rsidRDefault="00174459" w:rsidP="00FB6278">
      <w:pPr>
        <w:numPr>
          <w:ilvl w:val="0"/>
          <w:numId w:val="38"/>
        </w:numPr>
        <w:ind w:right="-613"/>
        <w:jc w:val="both"/>
        <w:rPr>
          <w:rFonts w:ascii="Arial" w:hAnsi="Arial"/>
          <w:sz w:val="22"/>
          <w:lang w:val="en-US"/>
        </w:rPr>
      </w:pPr>
      <w:r w:rsidRPr="00380B8D">
        <w:rPr>
          <w:rFonts w:ascii="Arial" w:hAnsi="Arial"/>
          <w:sz w:val="22"/>
          <w:lang w:val="en-US"/>
        </w:rPr>
        <w:t xml:space="preserve">continuing to build a strong and positive culture of </w:t>
      </w:r>
      <w:proofErr w:type="gramStart"/>
      <w:r w:rsidRPr="00380B8D">
        <w:rPr>
          <w:rFonts w:ascii="Arial" w:hAnsi="Arial"/>
          <w:sz w:val="22"/>
          <w:lang w:val="en-US"/>
        </w:rPr>
        <w:t>inclusion;</w:t>
      </w:r>
      <w:proofErr w:type="gramEnd"/>
    </w:p>
    <w:p w14:paraId="0295FE2A" w14:textId="77777777" w:rsidR="00174459" w:rsidRPr="00380B8D" w:rsidRDefault="00174459" w:rsidP="00FB6278">
      <w:pPr>
        <w:numPr>
          <w:ilvl w:val="0"/>
          <w:numId w:val="38"/>
        </w:numPr>
        <w:ind w:right="-613"/>
        <w:jc w:val="both"/>
        <w:rPr>
          <w:rFonts w:ascii="Arial" w:hAnsi="Arial"/>
          <w:sz w:val="22"/>
          <w:lang w:val="en-US"/>
        </w:rPr>
      </w:pPr>
      <w:r w:rsidRPr="00380B8D">
        <w:rPr>
          <w:rFonts w:ascii="Arial" w:hAnsi="Arial"/>
          <w:sz w:val="22"/>
          <w:lang w:val="en-US"/>
        </w:rPr>
        <w:t xml:space="preserve">improving our collection of equality </w:t>
      </w:r>
      <w:proofErr w:type="gramStart"/>
      <w:r w:rsidRPr="00380B8D">
        <w:rPr>
          <w:rFonts w:ascii="Arial" w:hAnsi="Arial"/>
          <w:sz w:val="22"/>
          <w:lang w:val="en-US"/>
        </w:rPr>
        <w:t>data;</w:t>
      </w:r>
      <w:proofErr w:type="gramEnd"/>
    </w:p>
    <w:p w14:paraId="4F443838" w14:textId="77777777" w:rsidR="00174459" w:rsidRPr="00380B8D" w:rsidRDefault="00174459" w:rsidP="00FB6278">
      <w:pPr>
        <w:numPr>
          <w:ilvl w:val="0"/>
          <w:numId w:val="38"/>
        </w:numPr>
        <w:ind w:right="-613"/>
        <w:jc w:val="both"/>
        <w:rPr>
          <w:rFonts w:ascii="Arial" w:hAnsi="Arial"/>
          <w:sz w:val="22"/>
          <w:lang w:val="en-US"/>
        </w:rPr>
      </w:pPr>
      <w:r w:rsidRPr="00380B8D">
        <w:rPr>
          <w:rFonts w:ascii="Arial" w:hAnsi="Arial"/>
          <w:sz w:val="22"/>
          <w:lang w:val="en-US"/>
        </w:rPr>
        <w:t>sharing our leadership of inclusion across our community; and</w:t>
      </w:r>
    </w:p>
    <w:p w14:paraId="072DA793" w14:textId="77777777" w:rsidR="00174459" w:rsidRPr="00380B8D" w:rsidRDefault="00174459" w:rsidP="00FB6278">
      <w:pPr>
        <w:numPr>
          <w:ilvl w:val="0"/>
          <w:numId w:val="38"/>
        </w:numPr>
        <w:ind w:right="-613"/>
        <w:jc w:val="both"/>
        <w:rPr>
          <w:rFonts w:ascii="Arial" w:hAnsi="Arial"/>
          <w:sz w:val="22"/>
          <w:lang w:val="en-US"/>
        </w:rPr>
      </w:pPr>
      <w:r w:rsidRPr="00380B8D">
        <w:rPr>
          <w:rFonts w:ascii="Arial" w:hAnsi="Arial"/>
          <w:sz w:val="22"/>
          <w:lang w:val="en-US"/>
        </w:rPr>
        <w:t>broadening our reach to voluntary partners to gain different perspectives.</w:t>
      </w:r>
    </w:p>
    <w:p w14:paraId="5DADADC7" w14:textId="77777777" w:rsidR="00BF493F" w:rsidRDefault="00BF493F" w:rsidP="00FB6278">
      <w:pPr>
        <w:ind w:left="-567" w:right="-613"/>
        <w:jc w:val="both"/>
        <w:rPr>
          <w:rFonts w:ascii="Arial" w:hAnsi="Arial"/>
          <w:b/>
          <w:sz w:val="22"/>
        </w:rPr>
      </w:pPr>
    </w:p>
    <w:p w14:paraId="7B0B3DCF" w14:textId="50A1790C" w:rsidR="00CD0F66" w:rsidRPr="00380B8D" w:rsidRDefault="00CD0F66" w:rsidP="00FB6278">
      <w:pPr>
        <w:ind w:left="-567" w:right="-613"/>
        <w:jc w:val="both"/>
        <w:rPr>
          <w:rFonts w:ascii="Arial" w:hAnsi="Arial"/>
          <w:b/>
          <w:sz w:val="22"/>
        </w:rPr>
      </w:pPr>
      <w:r w:rsidRPr="00380B8D">
        <w:rPr>
          <w:rFonts w:ascii="Arial" w:hAnsi="Arial"/>
          <w:b/>
          <w:sz w:val="22"/>
        </w:rPr>
        <w:t xml:space="preserve">Modern </w:t>
      </w:r>
      <w:r w:rsidR="00F42231" w:rsidRPr="00380B8D">
        <w:rPr>
          <w:rFonts w:ascii="Arial" w:hAnsi="Arial" w:cs="Arial"/>
          <w:b/>
          <w:sz w:val="22"/>
          <w:szCs w:val="22"/>
          <w:lang w:eastAsia="en-GB"/>
        </w:rPr>
        <w:t>s</w:t>
      </w:r>
      <w:r w:rsidRPr="00380B8D">
        <w:rPr>
          <w:rFonts w:ascii="Arial" w:hAnsi="Arial" w:cs="Arial"/>
          <w:b/>
          <w:sz w:val="22"/>
          <w:szCs w:val="22"/>
          <w:lang w:eastAsia="en-GB"/>
        </w:rPr>
        <w:t>lavery</w:t>
      </w:r>
      <w:r w:rsidRPr="00380B8D">
        <w:rPr>
          <w:rFonts w:ascii="Arial" w:hAnsi="Arial"/>
          <w:b/>
          <w:sz w:val="22"/>
        </w:rPr>
        <w:t xml:space="preserve"> and human trafficking</w:t>
      </w:r>
    </w:p>
    <w:p w14:paraId="0F5E5C61" w14:textId="2052CEDD" w:rsidR="00CD0F66" w:rsidRPr="00380B8D" w:rsidRDefault="00CD0F66" w:rsidP="00FB6278">
      <w:pPr>
        <w:ind w:left="-567" w:right="-613"/>
        <w:jc w:val="both"/>
        <w:rPr>
          <w:rFonts w:ascii="Arial" w:hAnsi="Arial"/>
          <w:sz w:val="22"/>
        </w:rPr>
      </w:pPr>
      <w:r w:rsidRPr="00380B8D">
        <w:rPr>
          <w:rFonts w:ascii="Arial" w:hAnsi="Arial"/>
          <w:sz w:val="22"/>
        </w:rPr>
        <w:t xml:space="preserve">The Modern Slavery Act 2015 establishes a duty for commercial organisations with an annual turnover </w:t>
      </w:r>
      <w:proofErr w:type="gramStart"/>
      <w:r w:rsidRPr="00380B8D">
        <w:rPr>
          <w:rFonts w:ascii="Arial" w:hAnsi="Arial"/>
          <w:sz w:val="22"/>
        </w:rPr>
        <w:t>in excess of</w:t>
      </w:r>
      <w:proofErr w:type="gramEnd"/>
      <w:r w:rsidRPr="00380B8D">
        <w:rPr>
          <w:rFonts w:ascii="Arial" w:hAnsi="Arial"/>
          <w:sz w:val="22"/>
        </w:rPr>
        <w:t xml:space="preserve"> £36 million to prepare an annual slavery and human trafficking statement. This organisation takes the following steps during the financial year to ensure that slavery and human trafficking is not taking place in any of its supply chains or </w:t>
      </w:r>
      <w:r w:rsidR="007D0062" w:rsidRPr="00380B8D">
        <w:rPr>
          <w:rFonts w:ascii="Arial" w:hAnsi="Arial"/>
          <w:sz w:val="22"/>
        </w:rPr>
        <w:t>in any part of its own business:</w:t>
      </w:r>
    </w:p>
    <w:p w14:paraId="60642A37" w14:textId="77777777" w:rsidR="00CD0F66" w:rsidRPr="00380B8D" w:rsidRDefault="00CD0F66" w:rsidP="00FB6278">
      <w:pPr>
        <w:ind w:left="-567" w:right="-613"/>
        <w:jc w:val="both"/>
        <w:rPr>
          <w:rFonts w:ascii="Arial" w:hAnsi="Arial"/>
          <w:sz w:val="22"/>
        </w:rPr>
      </w:pPr>
    </w:p>
    <w:p w14:paraId="3123E160" w14:textId="25033589" w:rsidR="00CD0F66" w:rsidRPr="00380B8D" w:rsidRDefault="007D0062" w:rsidP="00FB6278">
      <w:pPr>
        <w:pStyle w:val="ListParagraph"/>
        <w:numPr>
          <w:ilvl w:val="0"/>
          <w:numId w:val="34"/>
        </w:numPr>
        <w:ind w:right="-613"/>
        <w:jc w:val="both"/>
        <w:rPr>
          <w:rFonts w:ascii="Arial" w:hAnsi="Arial"/>
          <w:sz w:val="22"/>
        </w:rPr>
      </w:pPr>
      <w:r w:rsidRPr="00380B8D">
        <w:rPr>
          <w:rFonts w:ascii="Arial" w:hAnsi="Arial"/>
          <w:color w:val="000000"/>
          <w:sz w:val="22"/>
        </w:rPr>
        <w:t>i</w:t>
      </w:r>
      <w:r w:rsidR="00CD0F66" w:rsidRPr="00380B8D">
        <w:rPr>
          <w:rFonts w:ascii="Arial" w:hAnsi="Arial"/>
          <w:color w:val="000000"/>
          <w:sz w:val="22"/>
        </w:rPr>
        <w:t>dentifies and mitigate the risks of modern slavery and human trafficking in our own business and our supply chain the trust:</w:t>
      </w:r>
    </w:p>
    <w:p w14:paraId="720CBB26" w14:textId="26AA40FF" w:rsidR="00CD0F66" w:rsidRPr="00380B8D" w:rsidRDefault="007D0062" w:rsidP="00FB6278">
      <w:pPr>
        <w:pStyle w:val="ListParagraph"/>
        <w:numPr>
          <w:ilvl w:val="0"/>
          <w:numId w:val="34"/>
        </w:numPr>
        <w:ind w:right="-613"/>
        <w:jc w:val="both"/>
        <w:rPr>
          <w:rFonts w:ascii="Arial" w:hAnsi="Arial"/>
          <w:sz w:val="22"/>
        </w:rPr>
      </w:pPr>
      <w:r w:rsidRPr="00380B8D">
        <w:rPr>
          <w:rFonts w:ascii="Arial" w:hAnsi="Arial"/>
          <w:color w:val="000000"/>
          <w:sz w:val="22"/>
        </w:rPr>
        <w:t>a</w:t>
      </w:r>
      <w:r w:rsidR="00CD0F66" w:rsidRPr="00380B8D">
        <w:rPr>
          <w:rFonts w:ascii="Arial" w:hAnsi="Arial"/>
          <w:color w:val="000000"/>
          <w:sz w:val="22"/>
        </w:rPr>
        <w:t xml:space="preserve">dheres to the national NHS employment checks/standards (this includes employees UK address, right to work in the UK and suitable </w:t>
      </w:r>
      <w:proofErr w:type="gramStart"/>
      <w:r w:rsidR="00CD0F66" w:rsidRPr="00380B8D">
        <w:rPr>
          <w:rFonts w:ascii="Arial" w:hAnsi="Arial"/>
          <w:color w:val="000000"/>
          <w:sz w:val="22"/>
        </w:rPr>
        <w:t>references;</w:t>
      </w:r>
      <w:proofErr w:type="gramEnd"/>
      <w:r w:rsidR="00CD0F66" w:rsidRPr="00380B8D">
        <w:rPr>
          <w:rFonts w:ascii="Arial" w:hAnsi="Arial"/>
          <w:color w:val="000000"/>
          <w:sz w:val="22"/>
        </w:rPr>
        <w:t xml:space="preserve"> </w:t>
      </w:r>
    </w:p>
    <w:p w14:paraId="1964DBD0" w14:textId="56746108" w:rsidR="00CD0F66" w:rsidRPr="00380B8D" w:rsidRDefault="00CD0F66" w:rsidP="00FB6278">
      <w:pPr>
        <w:pStyle w:val="ListParagraph"/>
        <w:numPr>
          <w:ilvl w:val="0"/>
          <w:numId w:val="34"/>
        </w:numPr>
        <w:ind w:right="-613"/>
        <w:jc w:val="both"/>
        <w:rPr>
          <w:rFonts w:ascii="Arial" w:hAnsi="Arial"/>
          <w:sz w:val="22"/>
        </w:rPr>
      </w:pPr>
      <w:r w:rsidRPr="00380B8D">
        <w:rPr>
          <w:rFonts w:ascii="Arial" w:hAnsi="Arial"/>
          <w:color w:val="000000"/>
          <w:sz w:val="22"/>
        </w:rPr>
        <w:t xml:space="preserve">follows NHS Agenda for Change terms and conditions to ensure that staff receive fair pay rates and contractual </w:t>
      </w:r>
      <w:proofErr w:type="gramStart"/>
      <w:r w:rsidRPr="00380B8D">
        <w:rPr>
          <w:rFonts w:ascii="Arial" w:hAnsi="Arial"/>
          <w:color w:val="000000"/>
          <w:sz w:val="22"/>
        </w:rPr>
        <w:t>terms;</w:t>
      </w:r>
      <w:proofErr w:type="gramEnd"/>
    </w:p>
    <w:p w14:paraId="03AA1A30" w14:textId="49BB40D4" w:rsidR="00CD0F66" w:rsidRPr="00380B8D" w:rsidRDefault="00CD0F66" w:rsidP="00FB6278">
      <w:pPr>
        <w:pStyle w:val="ListParagraph"/>
        <w:numPr>
          <w:ilvl w:val="0"/>
          <w:numId w:val="34"/>
        </w:numPr>
        <w:ind w:right="-613"/>
        <w:jc w:val="both"/>
        <w:rPr>
          <w:rFonts w:ascii="Arial" w:hAnsi="Arial"/>
          <w:sz w:val="22"/>
        </w:rPr>
      </w:pPr>
      <w:r w:rsidRPr="00380B8D">
        <w:rPr>
          <w:rFonts w:ascii="Arial" w:hAnsi="Arial"/>
          <w:color w:val="000000"/>
          <w:sz w:val="22"/>
        </w:rPr>
        <w:lastRenderedPageBreak/>
        <w:t xml:space="preserve">consults Trade Unions on any proposed changes to employment terms and </w:t>
      </w:r>
      <w:proofErr w:type="gramStart"/>
      <w:r w:rsidRPr="00380B8D">
        <w:rPr>
          <w:rFonts w:ascii="Arial" w:hAnsi="Arial"/>
          <w:color w:val="000000"/>
          <w:sz w:val="22"/>
        </w:rPr>
        <w:t>conditions;</w:t>
      </w:r>
      <w:proofErr w:type="gramEnd"/>
    </w:p>
    <w:p w14:paraId="1060D214" w14:textId="2FB2E573" w:rsidR="00CD0F66" w:rsidRPr="00380B8D" w:rsidRDefault="00CD0F66" w:rsidP="00FB6278">
      <w:pPr>
        <w:pStyle w:val="ListParagraph"/>
        <w:numPr>
          <w:ilvl w:val="0"/>
          <w:numId w:val="34"/>
        </w:numPr>
        <w:ind w:right="-613"/>
        <w:jc w:val="both"/>
        <w:rPr>
          <w:rFonts w:ascii="Arial" w:hAnsi="Arial"/>
          <w:sz w:val="22"/>
        </w:rPr>
      </w:pPr>
      <w:r w:rsidRPr="00380B8D">
        <w:rPr>
          <w:rFonts w:ascii="Arial" w:hAnsi="Arial"/>
          <w:color w:val="000000"/>
          <w:sz w:val="22"/>
        </w:rPr>
        <w:t xml:space="preserve">has systems to encourage the reporting of concerns and the protection of whistle </w:t>
      </w:r>
      <w:proofErr w:type="gramStart"/>
      <w:r w:rsidRPr="00380B8D">
        <w:rPr>
          <w:rFonts w:ascii="Arial" w:hAnsi="Arial"/>
          <w:color w:val="000000"/>
          <w:sz w:val="22"/>
        </w:rPr>
        <w:t>blowers;</w:t>
      </w:r>
      <w:proofErr w:type="gramEnd"/>
    </w:p>
    <w:p w14:paraId="3E3BD113" w14:textId="7D193DD9" w:rsidR="00CD0F66" w:rsidRPr="00380B8D" w:rsidRDefault="00CD0F66" w:rsidP="00FB6278">
      <w:pPr>
        <w:pStyle w:val="ListParagraph"/>
        <w:numPr>
          <w:ilvl w:val="0"/>
          <w:numId w:val="34"/>
        </w:numPr>
        <w:ind w:right="-613"/>
        <w:jc w:val="both"/>
        <w:rPr>
          <w:rFonts w:ascii="Arial" w:hAnsi="Arial"/>
          <w:sz w:val="22"/>
        </w:rPr>
      </w:pPr>
      <w:r w:rsidRPr="00380B8D">
        <w:rPr>
          <w:rFonts w:ascii="Arial" w:hAnsi="Arial"/>
          <w:color w:val="000000"/>
          <w:sz w:val="22"/>
        </w:rPr>
        <w:t xml:space="preserve">purchases a significant number of products through NHS Supply Chain, whose ‘supplier code of conduct’ includes a provision around forced labour. Other contracts are governed by standard NHS terms and </w:t>
      </w:r>
      <w:proofErr w:type="gramStart"/>
      <w:r w:rsidRPr="00380B8D">
        <w:rPr>
          <w:rFonts w:ascii="Arial" w:hAnsi="Arial"/>
          <w:color w:val="000000"/>
          <w:sz w:val="22"/>
        </w:rPr>
        <w:t>conditions;</w:t>
      </w:r>
      <w:proofErr w:type="gramEnd"/>
      <w:r w:rsidRPr="00380B8D">
        <w:rPr>
          <w:rFonts w:ascii="Arial" w:hAnsi="Arial"/>
          <w:color w:val="000000"/>
          <w:sz w:val="22"/>
        </w:rPr>
        <w:t> </w:t>
      </w:r>
    </w:p>
    <w:p w14:paraId="5F5BA5E1" w14:textId="4C669C33" w:rsidR="00CD0F66" w:rsidRPr="00380B8D" w:rsidRDefault="00CD0F66" w:rsidP="00FB6278">
      <w:pPr>
        <w:pStyle w:val="ListParagraph"/>
        <w:numPr>
          <w:ilvl w:val="0"/>
          <w:numId w:val="34"/>
        </w:numPr>
        <w:ind w:right="-613"/>
        <w:jc w:val="both"/>
        <w:rPr>
          <w:rFonts w:ascii="Arial" w:hAnsi="Arial"/>
          <w:sz w:val="22"/>
        </w:rPr>
      </w:pPr>
      <w:r w:rsidRPr="00380B8D">
        <w:rPr>
          <w:rFonts w:ascii="Arial" w:hAnsi="Arial"/>
          <w:color w:val="000000"/>
          <w:sz w:val="22"/>
        </w:rPr>
        <w:t xml:space="preserve">upholds professional practices relating to procurement and supply, and ensures procurement staff attend regular training on changes to procurement </w:t>
      </w:r>
      <w:proofErr w:type="gramStart"/>
      <w:r w:rsidRPr="00380B8D">
        <w:rPr>
          <w:rFonts w:ascii="Arial" w:hAnsi="Arial"/>
          <w:color w:val="000000"/>
          <w:sz w:val="22"/>
        </w:rPr>
        <w:t>legislation;</w:t>
      </w:r>
      <w:proofErr w:type="gramEnd"/>
    </w:p>
    <w:p w14:paraId="4A02A0F2" w14:textId="17833FCC" w:rsidR="00CD0F66" w:rsidRPr="00380B8D" w:rsidRDefault="00CD0F66" w:rsidP="00FB6278">
      <w:pPr>
        <w:pStyle w:val="ListParagraph"/>
        <w:numPr>
          <w:ilvl w:val="0"/>
          <w:numId w:val="34"/>
        </w:numPr>
        <w:ind w:right="-613"/>
        <w:jc w:val="both"/>
        <w:rPr>
          <w:rFonts w:ascii="Arial" w:hAnsi="Arial"/>
          <w:sz w:val="22"/>
        </w:rPr>
      </w:pPr>
      <w:r w:rsidRPr="00380B8D">
        <w:rPr>
          <w:rFonts w:ascii="Arial" w:hAnsi="Arial"/>
          <w:color w:val="000000"/>
          <w:sz w:val="22"/>
        </w:rPr>
        <w:t xml:space="preserve">ensures </w:t>
      </w:r>
      <w:proofErr w:type="gramStart"/>
      <w:r w:rsidRPr="00380B8D">
        <w:rPr>
          <w:rFonts w:ascii="Arial" w:hAnsi="Arial"/>
          <w:color w:val="000000"/>
          <w:sz w:val="22"/>
        </w:rPr>
        <w:t>the majority of</w:t>
      </w:r>
      <w:proofErr w:type="gramEnd"/>
      <w:r w:rsidRPr="00380B8D">
        <w:rPr>
          <w:rFonts w:ascii="Arial" w:hAnsi="Arial"/>
          <w:color w:val="000000"/>
          <w:sz w:val="22"/>
        </w:rPr>
        <w:t xml:space="preserve"> our purchases utilise existing supply contracts or frameworks which have been negotiated under the NHS standard terms and conditions of contract, which all have the requirement for suppliers to have modern slavery and human trafficking policies and processes in place; and </w:t>
      </w:r>
    </w:p>
    <w:p w14:paraId="3470306A" w14:textId="289A57A9" w:rsidR="00CD0F66" w:rsidRPr="00380B8D" w:rsidRDefault="00CD0F66" w:rsidP="00FB6278">
      <w:pPr>
        <w:pStyle w:val="ListParagraph"/>
        <w:numPr>
          <w:ilvl w:val="0"/>
          <w:numId w:val="34"/>
        </w:numPr>
        <w:ind w:right="-613"/>
        <w:jc w:val="both"/>
        <w:rPr>
          <w:rFonts w:ascii="Arial" w:hAnsi="Arial"/>
          <w:sz w:val="22"/>
        </w:rPr>
      </w:pPr>
      <w:r w:rsidRPr="00380B8D">
        <w:rPr>
          <w:rFonts w:ascii="Arial" w:hAnsi="Arial"/>
          <w:color w:val="000000"/>
          <w:sz w:val="22"/>
        </w:rPr>
        <w:t>requests all suppliers comply with the provisions of the Modern Slavery Act (2015), through agreement of our ‘</w:t>
      </w:r>
      <w:r w:rsidRPr="00380B8D">
        <w:rPr>
          <w:rFonts w:ascii="Arial" w:hAnsi="Arial"/>
          <w:color w:val="000000"/>
          <w:sz w:val="22"/>
          <w:bdr w:val="none" w:sz="0" w:space="0" w:color="auto" w:frame="1"/>
        </w:rPr>
        <w:t>supplier code of conduct</w:t>
      </w:r>
      <w:r w:rsidRPr="00380B8D">
        <w:rPr>
          <w:rFonts w:ascii="Arial" w:hAnsi="Arial"/>
          <w:color w:val="000000"/>
          <w:sz w:val="22"/>
        </w:rPr>
        <w:t>’, purchase orders and tender specifications.</w:t>
      </w:r>
    </w:p>
    <w:p w14:paraId="4421BD5E" w14:textId="77777777" w:rsidR="00CD0F66" w:rsidRPr="00380B8D" w:rsidRDefault="00CD0F66" w:rsidP="00FB6278">
      <w:pPr>
        <w:ind w:right="-613"/>
        <w:jc w:val="both"/>
        <w:rPr>
          <w:rFonts w:ascii="Arial" w:hAnsi="Arial"/>
          <w:sz w:val="22"/>
        </w:rPr>
      </w:pPr>
    </w:p>
    <w:p w14:paraId="23D2FD1E" w14:textId="77777777" w:rsidR="003355F3" w:rsidRPr="00380B8D" w:rsidRDefault="00CD0F66" w:rsidP="00FB6278">
      <w:pPr>
        <w:ind w:left="-567" w:right="-613"/>
        <w:jc w:val="both"/>
        <w:rPr>
          <w:rFonts w:ascii="Arial" w:hAnsi="Arial"/>
        </w:rPr>
      </w:pPr>
      <w:r w:rsidRPr="00380B8D">
        <w:rPr>
          <w:rFonts w:ascii="Arial" w:hAnsi="Arial"/>
          <w:sz w:val="22"/>
        </w:rPr>
        <w:t xml:space="preserve">Further information on policies and procedures and training can be found here: </w:t>
      </w:r>
      <w:hyperlink r:id="rId17" w:history="1">
        <w:r w:rsidRPr="00380B8D">
          <w:rPr>
            <w:rStyle w:val="Hyperlink"/>
            <w:rFonts w:ascii="Arial" w:hAnsi="Arial"/>
            <w:sz w:val="22"/>
          </w:rPr>
          <w:t>Modern slavery and human trafficking statement | Moorfields Eye Hospital NHS Foundation Trust</w:t>
        </w:r>
      </w:hyperlink>
    </w:p>
    <w:p w14:paraId="26C36D47" w14:textId="77777777" w:rsidR="003355F3" w:rsidRPr="00380B8D" w:rsidRDefault="003355F3" w:rsidP="00FB6278">
      <w:pPr>
        <w:ind w:left="-567" w:right="-613"/>
        <w:jc w:val="both"/>
        <w:rPr>
          <w:rFonts w:ascii="Arial" w:hAnsi="Arial"/>
        </w:rPr>
      </w:pPr>
    </w:p>
    <w:p w14:paraId="5D133F09" w14:textId="2562154D" w:rsidR="003355F3" w:rsidRPr="00380B8D" w:rsidRDefault="003355F3" w:rsidP="00FB6278">
      <w:pPr>
        <w:ind w:left="-567" w:right="-613"/>
        <w:jc w:val="both"/>
        <w:rPr>
          <w:rFonts w:ascii="Arial" w:hAnsi="Arial"/>
          <w:sz w:val="22"/>
        </w:rPr>
      </w:pPr>
      <w:r w:rsidRPr="00380B8D">
        <w:rPr>
          <w:rFonts w:ascii="Arial" w:hAnsi="Arial"/>
          <w:b/>
          <w:sz w:val="22"/>
        </w:rPr>
        <w:t xml:space="preserve">Improved facilities and sustainability </w:t>
      </w:r>
    </w:p>
    <w:p w14:paraId="5F9A4A5C" w14:textId="7D66B39A" w:rsidR="003355F3" w:rsidRPr="00380B8D" w:rsidRDefault="003355F3" w:rsidP="00FB6278">
      <w:pPr>
        <w:ind w:left="-567" w:right="-613"/>
        <w:jc w:val="both"/>
        <w:rPr>
          <w:rFonts w:ascii="Arial" w:hAnsi="Arial"/>
          <w:sz w:val="22"/>
        </w:rPr>
      </w:pPr>
      <w:r w:rsidRPr="00380B8D">
        <w:rPr>
          <w:rFonts w:ascii="Arial" w:hAnsi="Arial"/>
          <w:sz w:val="22"/>
        </w:rPr>
        <w:t>The Covid</w:t>
      </w:r>
      <w:r w:rsidR="00BE3E88" w:rsidRPr="00380B8D">
        <w:rPr>
          <w:rFonts w:ascii="Arial" w:hAnsi="Arial"/>
          <w:sz w:val="22"/>
        </w:rPr>
        <w:t>-19</w:t>
      </w:r>
      <w:r w:rsidRPr="00380B8D">
        <w:rPr>
          <w:rFonts w:ascii="Arial" w:hAnsi="Arial"/>
          <w:sz w:val="22"/>
        </w:rPr>
        <w:t xml:space="preserve"> pandemic has affected much of the planned activity of the projects team, driving change through previously established schemes in favour of improved pathways and learning from our 2020/21 implementations of diagnostic hubs in City Road and Hoxton.</w:t>
      </w:r>
    </w:p>
    <w:p w14:paraId="1A6262FC" w14:textId="77777777" w:rsidR="003355F3" w:rsidRPr="00380B8D" w:rsidRDefault="003355F3" w:rsidP="00FB6278">
      <w:pPr>
        <w:ind w:left="-567" w:right="-613"/>
        <w:jc w:val="both"/>
        <w:rPr>
          <w:rFonts w:ascii="Arial" w:hAnsi="Arial"/>
          <w:sz w:val="22"/>
        </w:rPr>
      </w:pPr>
    </w:p>
    <w:p w14:paraId="74C02A1D" w14:textId="4DEDE5E5" w:rsidR="0001576B" w:rsidRDefault="003355F3" w:rsidP="00FB6278">
      <w:pPr>
        <w:ind w:left="-567" w:right="-613"/>
        <w:jc w:val="both"/>
        <w:rPr>
          <w:rFonts w:ascii="Arial" w:hAnsi="Arial"/>
          <w:sz w:val="22"/>
        </w:rPr>
      </w:pPr>
      <w:r w:rsidRPr="00380B8D">
        <w:rPr>
          <w:rFonts w:ascii="Arial" w:hAnsi="Arial"/>
          <w:sz w:val="22"/>
        </w:rPr>
        <w:t xml:space="preserve">Specifically, the Moorfields estates capital projects </w:t>
      </w:r>
      <w:r w:rsidR="00BE3E88" w:rsidRPr="00380B8D">
        <w:rPr>
          <w:rFonts w:ascii="Arial" w:hAnsi="Arial"/>
          <w:sz w:val="22"/>
        </w:rPr>
        <w:t xml:space="preserve">team </w:t>
      </w:r>
      <w:r w:rsidR="0001576B" w:rsidRPr="00380B8D">
        <w:rPr>
          <w:rFonts w:ascii="Arial" w:eastAsia="Calibri" w:hAnsi="Arial" w:cs="Arial"/>
          <w:sz w:val="22"/>
          <w:szCs w:val="22"/>
        </w:rPr>
        <w:t>w</w:t>
      </w:r>
      <w:r w:rsidR="0001576B">
        <w:rPr>
          <w:rFonts w:ascii="Arial" w:eastAsia="Calibri" w:hAnsi="Arial" w:cs="Arial"/>
          <w:sz w:val="22"/>
          <w:szCs w:val="22"/>
        </w:rPr>
        <w:t>ere</w:t>
      </w:r>
      <w:r w:rsidR="0001576B" w:rsidRPr="00380B8D">
        <w:rPr>
          <w:rFonts w:ascii="Arial" w:hAnsi="Arial"/>
          <w:sz w:val="22"/>
        </w:rPr>
        <w:t xml:space="preserve"> </w:t>
      </w:r>
      <w:r w:rsidRPr="00380B8D">
        <w:rPr>
          <w:rFonts w:ascii="Arial" w:hAnsi="Arial"/>
          <w:sz w:val="22"/>
        </w:rPr>
        <w:t>instrumental in developing the Brent Cross diagnostic hub with our UCL colleagues. The facility is the next iteration of outpatient diagnostic hubs</w:t>
      </w:r>
      <w:r w:rsidR="00BE3E88" w:rsidRPr="00380B8D">
        <w:rPr>
          <w:rFonts w:ascii="Arial" w:hAnsi="Arial"/>
          <w:sz w:val="22"/>
        </w:rPr>
        <w:t>, with</w:t>
      </w:r>
      <w:r w:rsidR="006356F9" w:rsidRPr="00380B8D">
        <w:rPr>
          <w:rFonts w:ascii="Arial" w:hAnsi="Arial"/>
          <w:sz w:val="22"/>
        </w:rPr>
        <w:t xml:space="preserve"> researchers</w:t>
      </w:r>
      <w:r w:rsidR="0001576B">
        <w:rPr>
          <w:rFonts w:ascii="Arial" w:hAnsi="Arial"/>
          <w:sz w:val="22"/>
        </w:rPr>
        <w:t xml:space="preserve"> striving to create the most time efficient and cost-effective layout for patient flow to guide further configurations.</w:t>
      </w:r>
    </w:p>
    <w:p w14:paraId="61B86DFC" w14:textId="77777777" w:rsidR="003355F3" w:rsidRPr="00380B8D" w:rsidRDefault="003355F3" w:rsidP="00FB6278">
      <w:pPr>
        <w:ind w:right="-613"/>
        <w:jc w:val="both"/>
        <w:rPr>
          <w:rFonts w:ascii="Arial" w:hAnsi="Arial"/>
          <w:sz w:val="22"/>
        </w:rPr>
      </w:pPr>
    </w:p>
    <w:p w14:paraId="3CC1C4E6" w14:textId="77777777" w:rsidR="003355F3" w:rsidRPr="00380B8D" w:rsidRDefault="003355F3" w:rsidP="00FB6278">
      <w:pPr>
        <w:ind w:left="-567" w:right="-613"/>
        <w:jc w:val="both"/>
        <w:rPr>
          <w:rFonts w:ascii="Arial" w:hAnsi="Arial"/>
          <w:sz w:val="22"/>
        </w:rPr>
      </w:pPr>
      <w:r w:rsidRPr="00380B8D">
        <w:rPr>
          <w:rFonts w:ascii="Arial" w:hAnsi="Arial"/>
          <w:sz w:val="22"/>
        </w:rPr>
        <w:t xml:space="preserve">The third floor of City Road saw more clinical development, with the introduction of a new glaucoma space with five diagnostic lanes. The same estates team that delivered Brent Cross designed and constructed the clinic, utilising much of the learning from the research project alongside further iterations undertaken at Hoxton. </w:t>
      </w:r>
    </w:p>
    <w:p w14:paraId="000C5B27" w14:textId="77777777" w:rsidR="003355F3" w:rsidRPr="00380B8D" w:rsidRDefault="003355F3" w:rsidP="00FB6278">
      <w:pPr>
        <w:ind w:left="-567" w:right="-613"/>
        <w:jc w:val="both"/>
        <w:rPr>
          <w:rFonts w:ascii="Arial" w:hAnsi="Arial"/>
          <w:sz w:val="22"/>
        </w:rPr>
      </w:pPr>
    </w:p>
    <w:p w14:paraId="11542BC8" w14:textId="17517E17" w:rsidR="00476EE0" w:rsidRDefault="00476EE0" w:rsidP="001A79B4">
      <w:pPr>
        <w:ind w:left="-567" w:right="-613"/>
        <w:jc w:val="both"/>
        <w:rPr>
          <w:rFonts w:ascii="Arial" w:hAnsi="Arial"/>
          <w:sz w:val="22"/>
        </w:rPr>
      </w:pPr>
      <w:r w:rsidRPr="00386E9E">
        <w:rPr>
          <w:rFonts w:ascii="Arial" w:hAnsi="Arial"/>
          <w:sz w:val="22"/>
        </w:rPr>
        <w:t xml:space="preserve">Our team has also undertaken refurbishment work at our sites in City Road and Croydon, updating flooring, </w:t>
      </w:r>
      <w:proofErr w:type="gramStart"/>
      <w:r w:rsidRPr="00386E9E">
        <w:rPr>
          <w:rFonts w:ascii="Arial" w:hAnsi="Arial"/>
          <w:sz w:val="22"/>
        </w:rPr>
        <w:t>lighting</w:t>
      </w:r>
      <w:proofErr w:type="gramEnd"/>
      <w:r w:rsidRPr="00386E9E">
        <w:rPr>
          <w:rFonts w:ascii="Arial" w:hAnsi="Arial"/>
          <w:sz w:val="22"/>
        </w:rPr>
        <w:t xml:space="preserve"> and ventilation systems without disrupting our services to patients. As well as enabling us to continue to deliver </w:t>
      </w:r>
      <w:r w:rsidR="001A79B4" w:rsidRPr="00386E9E">
        <w:rPr>
          <w:rFonts w:ascii="Arial" w:hAnsi="Arial"/>
          <w:sz w:val="22"/>
        </w:rPr>
        <w:t>the care our patients need in a modern environment, the upgrades also benefit the wider environment by being more energy efficient.</w:t>
      </w:r>
      <w:r w:rsidR="001A79B4">
        <w:rPr>
          <w:rFonts w:ascii="Arial" w:hAnsi="Arial"/>
          <w:sz w:val="22"/>
        </w:rPr>
        <w:t xml:space="preserve"> </w:t>
      </w:r>
    </w:p>
    <w:p w14:paraId="26841FC5" w14:textId="77777777" w:rsidR="00476EE0" w:rsidRPr="00380B8D" w:rsidRDefault="00476EE0" w:rsidP="00FB6278">
      <w:pPr>
        <w:ind w:left="-567" w:right="-613"/>
        <w:jc w:val="both"/>
        <w:rPr>
          <w:rFonts w:ascii="Arial" w:hAnsi="Arial"/>
          <w:sz w:val="22"/>
        </w:rPr>
      </w:pPr>
    </w:p>
    <w:p w14:paraId="3925ECAA" w14:textId="6BB90863" w:rsidR="003355F3" w:rsidRPr="00952C33" w:rsidRDefault="00AF5CC6" w:rsidP="00FB6278">
      <w:pPr>
        <w:ind w:left="-567" w:right="-613"/>
        <w:jc w:val="both"/>
        <w:rPr>
          <w:rFonts w:ascii="Arial" w:hAnsi="Arial"/>
          <w:sz w:val="22"/>
        </w:rPr>
      </w:pPr>
      <w:r w:rsidRPr="00380B8D">
        <w:rPr>
          <w:rFonts w:ascii="Arial" w:eastAsia="Times New Roman" w:hAnsi="Arial" w:cs="Arial"/>
          <w:sz w:val="22"/>
          <w:szCs w:val="22"/>
        </w:rPr>
        <w:t>We</w:t>
      </w:r>
      <w:r w:rsidRPr="00380B8D">
        <w:rPr>
          <w:rFonts w:ascii="Arial" w:hAnsi="Arial"/>
          <w:sz w:val="22"/>
        </w:rPr>
        <w:t xml:space="preserve"> took</w:t>
      </w:r>
      <w:r w:rsidR="003355F3" w:rsidRPr="00380B8D">
        <w:rPr>
          <w:rFonts w:ascii="Arial" w:hAnsi="Arial"/>
          <w:sz w:val="22"/>
        </w:rPr>
        <w:t xml:space="preserve"> steps </w:t>
      </w:r>
      <w:r w:rsidRPr="00380B8D">
        <w:rPr>
          <w:rFonts w:ascii="Arial" w:eastAsia="Times New Roman" w:hAnsi="Arial" w:cs="Arial"/>
          <w:sz w:val="22"/>
          <w:szCs w:val="22"/>
        </w:rPr>
        <w:t>during</w:t>
      </w:r>
      <w:r w:rsidR="003355F3" w:rsidRPr="00380B8D">
        <w:rPr>
          <w:rFonts w:ascii="Arial" w:hAnsi="Arial"/>
          <w:sz w:val="22"/>
        </w:rPr>
        <w:t xml:space="preserve"> 2021</w:t>
      </w:r>
      <w:r w:rsidR="00C5408A">
        <w:rPr>
          <w:rFonts w:ascii="Arial" w:hAnsi="Arial"/>
          <w:sz w:val="22"/>
        </w:rPr>
        <w:t>/</w:t>
      </w:r>
      <w:r w:rsidR="003355F3" w:rsidRPr="00380B8D">
        <w:rPr>
          <w:rFonts w:ascii="Arial" w:hAnsi="Arial"/>
          <w:sz w:val="22"/>
        </w:rPr>
        <w:t>22 to support the greener NHS campaign and commitment to net-zero emissions by 2040. At Moorfields, we want to work in a way that has a positive effect on our communities. We strive to be a truly sustainable trust, which means we must make effective use of public funding and make smart and efficient use of natural resources to support healthy, resilient, and greener communities</w:t>
      </w:r>
      <w:r w:rsidR="003355F3" w:rsidRPr="00952C33">
        <w:rPr>
          <w:rFonts w:ascii="Arial" w:hAnsi="Arial"/>
          <w:sz w:val="22"/>
        </w:rPr>
        <w:t xml:space="preserve">. </w:t>
      </w:r>
    </w:p>
    <w:p w14:paraId="195BBE28" w14:textId="77777777" w:rsidR="003355F3" w:rsidRPr="00952C33" w:rsidRDefault="003355F3" w:rsidP="00FB6278">
      <w:pPr>
        <w:ind w:left="-567" w:right="-613"/>
        <w:jc w:val="both"/>
        <w:rPr>
          <w:rFonts w:ascii="Arial" w:hAnsi="Arial"/>
          <w:sz w:val="22"/>
        </w:rPr>
      </w:pPr>
    </w:p>
    <w:p w14:paraId="2F387C00" w14:textId="7C458D41" w:rsidR="003355F3" w:rsidRPr="00952C33" w:rsidRDefault="003355F3" w:rsidP="00FB6278">
      <w:pPr>
        <w:ind w:left="-567" w:right="-613"/>
        <w:jc w:val="both"/>
        <w:rPr>
          <w:rFonts w:ascii="Arial" w:hAnsi="Arial"/>
          <w:sz w:val="22"/>
        </w:rPr>
      </w:pPr>
      <w:r w:rsidRPr="00952C33">
        <w:rPr>
          <w:rFonts w:ascii="Arial" w:hAnsi="Arial"/>
          <w:sz w:val="22"/>
        </w:rPr>
        <w:t>Demonstrating that we consider the social and environmental impacts ensures that the legal requirements in the Public Services (Social Value) Act (2012) are met. We acknowledge this responsibility to our patients, local communities, and the environment by working hard to minimise our carbon footprint. The trust has now produced</w:t>
      </w:r>
      <w:r w:rsidR="005B29DE">
        <w:rPr>
          <w:rFonts w:ascii="Arial" w:hAnsi="Arial"/>
          <w:sz w:val="22"/>
        </w:rPr>
        <w:t xml:space="preserve"> </w:t>
      </w:r>
      <w:r w:rsidR="00AF5CC6" w:rsidRPr="00952C33">
        <w:rPr>
          <w:rFonts w:ascii="Arial" w:hAnsi="Arial"/>
          <w:sz w:val="22"/>
        </w:rPr>
        <w:t xml:space="preserve">its </w:t>
      </w:r>
      <w:r w:rsidRPr="00952C33">
        <w:rPr>
          <w:rFonts w:ascii="Arial" w:hAnsi="Arial"/>
          <w:sz w:val="22"/>
        </w:rPr>
        <w:t>board approved green plan, which details the efforts taken to meet our sustainability ambitions.</w:t>
      </w:r>
    </w:p>
    <w:p w14:paraId="1CD9FEAE" w14:textId="77777777" w:rsidR="003355F3" w:rsidRPr="00952C33" w:rsidRDefault="003355F3" w:rsidP="00FB6278">
      <w:pPr>
        <w:keepNext/>
        <w:ind w:right="662"/>
        <w:jc w:val="both"/>
        <w:outlineLvl w:val="1"/>
        <w:rPr>
          <w:rFonts w:ascii="Arial" w:hAnsi="Arial"/>
          <w:i/>
          <w:sz w:val="22"/>
        </w:rPr>
      </w:pPr>
    </w:p>
    <w:p w14:paraId="1D2D91BE" w14:textId="6F9AB336" w:rsidR="003355F3" w:rsidRPr="00CD4F89" w:rsidRDefault="003355F3" w:rsidP="00FB6278">
      <w:pPr>
        <w:keepNext/>
        <w:ind w:left="-567" w:right="662"/>
        <w:jc w:val="both"/>
        <w:outlineLvl w:val="1"/>
        <w:rPr>
          <w:rFonts w:ascii="Arial" w:hAnsi="Arial"/>
          <w:iCs/>
          <w:sz w:val="22"/>
        </w:rPr>
      </w:pPr>
      <w:r w:rsidRPr="00CD4F89">
        <w:rPr>
          <w:rFonts w:ascii="Arial" w:hAnsi="Arial"/>
          <w:iCs/>
          <w:sz w:val="22"/>
        </w:rPr>
        <w:t xml:space="preserve">Climate change is one of the most pressing challenges facing our society, but it also has considerable implications for health and wellbeing. Because of this, the trust is committed to </w:t>
      </w:r>
      <w:r w:rsidRPr="00CD4F89">
        <w:rPr>
          <w:rFonts w:ascii="Arial" w:hAnsi="Arial"/>
          <w:iCs/>
          <w:sz w:val="22"/>
        </w:rPr>
        <w:lastRenderedPageBreak/>
        <w:t xml:space="preserve">continually working towards integrating sustainability, and adaptation to climate change, into our core business. </w:t>
      </w:r>
    </w:p>
    <w:p w14:paraId="783CF226" w14:textId="77777777" w:rsidR="003355F3" w:rsidRPr="00CD4F89" w:rsidRDefault="003355F3" w:rsidP="00FB6278">
      <w:pPr>
        <w:keepNext/>
        <w:ind w:left="-567" w:right="662"/>
        <w:jc w:val="both"/>
        <w:outlineLvl w:val="1"/>
        <w:rPr>
          <w:rFonts w:ascii="Arial" w:hAnsi="Arial"/>
          <w:iCs/>
          <w:sz w:val="22"/>
        </w:rPr>
      </w:pPr>
    </w:p>
    <w:p w14:paraId="54D61021" w14:textId="6272F4A9" w:rsidR="003355F3" w:rsidRPr="00CD4F89" w:rsidRDefault="003355F3" w:rsidP="00FB6278">
      <w:pPr>
        <w:keepNext/>
        <w:ind w:left="-567" w:right="662"/>
        <w:jc w:val="both"/>
        <w:outlineLvl w:val="1"/>
        <w:rPr>
          <w:rFonts w:ascii="Arial" w:hAnsi="Arial"/>
          <w:iCs/>
          <w:sz w:val="22"/>
        </w:rPr>
      </w:pPr>
      <w:r w:rsidRPr="00CD4F89">
        <w:rPr>
          <w:rFonts w:ascii="Arial" w:hAnsi="Arial"/>
          <w:iCs/>
          <w:sz w:val="22"/>
        </w:rPr>
        <w:t>By making the most of our social, environmental, and economic assets, the trust can improve patient health, ensure critical care pathways remain sustainable, and minimise risk as our service delivery grows.</w:t>
      </w:r>
    </w:p>
    <w:p w14:paraId="6F20E756" w14:textId="77777777" w:rsidR="003355F3" w:rsidRPr="00952C33" w:rsidRDefault="003355F3" w:rsidP="00FB6278">
      <w:pPr>
        <w:keepNext/>
        <w:ind w:right="662"/>
        <w:jc w:val="both"/>
        <w:outlineLvl w:val="1"/>
        <w:rPr>
          <w:rFonts w:ascii="Arial" w:hAnsi="Arial"/>
          <w:i/>
          <w:sz w:val="22"/>
        </w:rPr>
      </w:pPr>
    </w:p>
    <w:p w14:paraId="3ADF6DAE" w14:textId="34839EB3" w:rsidR="003355F3" w:rsidRPr="00952C33" w:rsidRDefault="003355F3" w:rsidP="00FB6278">
      <w:pPr>
        <w:ind w:left="-567" w:right="-613"/>
        <w:jc w:val="both"/>
        <w:rPr>
          <w:rFonts w:ascii="Arial" w:hAnsi="Arial"/>
          <w:i/>
          <w:sz w:val="22"/>
        </w:rPr>
      </w:pPr>
      <w:r w:rsidRPr="00952C33">
        <w:rPr>
          <w:rFonts w:ascii="Arial" w:hAnsi="Arial"/>
          <w:sz w:val="22"/>
        </w:rPr>
        <w:t xml:space="preserve">We achieved our last target of a 28% reduction from our 2014 baseline, and we are targeting a further 10% reduction by 2025. These reductions will be made from optimising our control systems and </w:t>
      </w:r>
      <w:r w:rsidR="00AF5CC6" w:rsidRPr="00952C33">
        <w:rPr>
          <w:rFonts w:ascii="Arial" w:eastAsia="Times New Roman" w:hAnsi="Arial" w:cs="Arial"/>
          <w:sz w:val="22"/>
          <w:szCs w:val="22"/>
        </w:rPr>
        <w:t>changing</w:t>
      </w:r>
      <w:r w:rsidR="00AF5CC6" w:rsidRPr="00952C33">
        <w:rPr>
          <w:rFonts w:ascii="Arial" w:hAnsi="Arial"/>
          <w:sz w:val="22"/>
        </w:rPr>
        <w:t xml:space="preserve"> the behaviours</w:t>
      </w:r>
      <w:r w:rsidRPr="00952C33">
        <w:rPr>
          <w:rFonts w:ascii="Arial" w:hAnsi="Arial"/>
          <w:sz w:val="22"/>
        </w:rPr>
        <w:t xml:space="preserve"> of our staff and visitors.</w:t>
      </w:r>
    </w:p>
    <w:p w14:paraId="2BFA26CE" w14:textId="77777777" w:rsidR="003355F3" w:rsidRPr="00952C33" w:rsidRDefault="003355F3" w:rsidP="00FB6278">
      <w:pPr>
        <w:spacing w:after="160"/>
        <w:jc w:val="both"/>
        <w:rPr>
          <w:rFonts w:ascii="Arial" w:hAnsi="Arial"/>
          <w:b/>
          <w:sz w:val="22"/>
        </w:rPr>
      </w:pPr>
    </w:p>
    <w:p w14:paraId="41239CED" w14:textId="7A920598" w:rsidR="003355F3" w:rsidRDefault="003355F3" w:rsidP="00FB6278">
      <w:pPr>
        <w:ind w:left="-567" w:right="-613"/>
        <w:jc w:val="both"/>
        <w:rPr>
          <w:rFonts w:ascii="Arial" w:hAnsi="Arial"/>
          <w:b/>
          <w:sz w:val="22"/>
        </w:rPr>
      </w:pPr>
      <w:r w:rsidRPr="00952C33">
        <w:rPr>
          <w:rFonts w:ascii="Arial" w:hAnsi="Arial"/>
          <w:b/>
          <w:sz w:val="22"/>
        </w:rPr>
        <w:t>Utilities – energy</w:t>
      </w:r>
    </w:p>
    <w:p w14:paraId="4EED82B1" w14:textId="77777777" w:rsidR="00C5408A" w:rsidRPr="00952C33" w:rsidRDefault="00C5408A" w:rsidP="00FB6278">
      <w:pPr>
        <w:ind w:left="-567" w:right="-613"/>
        <w:jc w:val="both"/>
        <w:rPr>
          <w:rFonts w:ascii="Arial" w:hAnsi="Arial"/>
          <w:b/>
          <w:sz w:val="22"/>
        </w:rPr>
      </w:pPr>
    </w:p>
    <w:p w14:paraId="6CDE3D99" w14:textId="6736B1A6" w:rsidR="008271DB" w:rsidRPr="00952C33" w:rsidRDefault="003355F3" w:rsidP="00FB6278">
      <w:pPr>
        <w:ind w:left="-567" w:right="-613"/>
        <w:jc w:val="both"/>
        <w:rPr>
          <w:rFonts w:ascii="Arial" w:hAnsi="Arial"/>
          <w:sz w:val="22"/>
        </w:rPr>
      </w:pPr>
      <w:r w:rsidRPr="00952C33">
        <w:rPr>
          <w:rFonts w:ascii="Arial" w:hAnsi="Arial"/>
          <w:sz w:val="22"/>
        </w:rPr>
        <w:t xml:space="preserve">This section provides a high-level view of how the trust is performing in relation to its energy performance and carbon emissions. We have spent £ 1,117k on energy and emitted 3,471 tCO2e in 2021/22. This represents an increase of 5% in comparison to the previous financial year, mainly due to increased ventilation usage through </w:t>
      </w:r>
      <w:r w:rsidR="00C5408A">
        <w:rPr>
          <w:rFonts w:ascii="Arial" w:hAnsi="Arial"/>
          <w:sz w:val="22"/>
        </w:rPr>
        <w:t>Covid-19</w:t>
      </w:r>
      <w:r w:rsidR="00C5408A" w:rsidRPr="00952C33">
        <w:rPr>
          <w:rFonts w:ascii="Arial" w:hAnsi="Arial"/>
          <w:sz w:val="22"/>
        </w:rPr>
        <w:t xml:space="preserve"> </w:t>
      </w:r>
      <w:r w:rsidRPr="00952C33">
        <w:rPr>
          <w:rFonts w:ascii="Arial" w:hAnsi="Arial"/>
          <w:sz w:val="22"/>
        </w:rPr>
        <w:t>guidelines.</w:t>
      </w:r>
    </w:p>
    <w:p w14:paraId="59243A6C" w14:textId="77777777" w:rsidR="008271DB" w:rsidRPr="00952C33" w:rsidRDefault="008271DB" w:rsidP="00FB6278">
      <w:pPr>
        <w:ind w:left="-567" w:right="-613"/>
        <w:jc w:val="both"/>
        <w:rPr>
          <w:rFonts w:ascii="Arial" w:hAnsi="Arial"/>
          <w:sz w:val="22"/>
        </w:rPr>
      </w:pPr>
    </w:p>
    <w:p w14:paraId="7D980383" w14:textId="548E024A" w:rsidR="003355F3" w:rsidRDefault="003355F3" w:rsidP="00FB6278">
      <w:pPr>
        <w:ind w:left="-567" w:right="-613"/>
        <w:jc w:val="both"/>
        <w:rPr>
          <w:rFonts w:ascii="Arial" w:hAnsi="Arial"/>
          <w:b/>
          <w:sz w:val="22"/>
        </w:rPr>
      </w:pPr>
      <w:r w:rsidRPr="00952C33">
        <w:rPr>
          <w:rFonts w:ascii="Arial" w:hAnsi="Arial"/>
          <w:b/>
          <w:sz w:val="22"/>
        </w:rPr>
        <w:t>Carbon footprint from energy</w:t>
      </w:r>
    </w:p>
    <w:p w14:paraId="66FABC1A" w14:textId="77777777" w:rsidR="00C5408A" w:rsidRPr="00952C33" w:rsidRDefault="00C5408A" w:rsidP="00FB6278">
      <w:pPr>
        <w:ind w:left="-567" w:right="-613"/>
        <w:jc w:val="both"/>
        <w:rPr>
          <w:rFonts w:ascii="Arial" w:hAnsi="Arial"/>
          <w:sz w:val="22"/>
        </w:rPr>
      </w:pPr>
    </w:p>
    <w:p w14:paraId="5E01FD95" w14:textId="77777777" w:rsidR="003355F3" w:rsidRPr="00952C33" w:rsidRDefault="003355F3" w:rsidP="00FB6278">
      <w:pPr>
        <w:keepNext/>
        <w:jc w:val="center"/>
        <w:outlineLvl w:val="1"/>
        <w:rPr>
          <w:rFonts w:ascii="Arial" w:hAnsi="Arial"/>
          <w:b/>
          <w:sz w:val="22"/>
        </w:rPr>
      </w:pPr>
      <w:r w:rsidRPr="003355F3">
        <w:rPr>
          <w:rFonts w:ascii="Arial" w:eastAsia="Calibri" w:hAnsi="Arial" w:cs="Arial"/>
          <w:b/>
          <w:bCs/>
          <w:noProof/>
        </w:rPr>
        <w:drawing>
          <wp:inline distT="0" distB="0" distL="0" distR="0" wp14:anchorId="5F7BEC7E" wp14:editId="37161BB6">
            <wp:extent cx="5731510" cy="3321050"/>
            <wp:effectExtent l="0" t="0" r="9525" b="9525"/>
            <wp:docPr id="12" name="Chart 12">
              <a:extLst xmlns:a="http://schemas.openxmlformats.org/drawingml/2006/main">
                <a:ext uri="{FF2B5EF4-FFF2-40B4-BE49-F238E27FC236}">
                  <a16:creationId xmlns:a16="http://schemas.microsoft.com/office/drawing/2014/main" id="{7EB78668-7F05-4675-926D-577060F612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D6A2907" w14:textId="77777777" w:rsidR="003355F3" w:rsidRPr="00952C33" w:rsidRDefault="003355F3" w:rsidP="00FB6278">
      <w:pPr>
        <w:keepNext/>
        <w:outlineLvl w:val="1"/>
        <w:rPr>
          <w:rFonts w:ascii="Arial" w:hAnsi="Arial"/>
          <w:color w:val="FF0000"/>
          <w:sz w:val="22"/>
        </w:rPr>
      </w:pPr>
    </w:p>
    <w:p w14:paraId="0DDA8899" w14:textId="384A2C75" w:rsidR="003355F3" w:rsidRPr="00952C33" w:rsidRDefault="003355F3" w:rsidP="00FB6278">
      <w:pPr>
        <w:ind w:left="-567" w:right="-613"/>
        <w:jc w:val="both"/>
        <w:rPr>
          <w:rFonts w:ascii="Arial" w:hAnsi="Arial"/>
          <w:sz w:val="22"/>
        </w:rPr>
      </w:pPr>
      <w:r w:rsidRPr="00952C33">
        <w:rPr>
          <w:rFonts w:ascii="Arial" w:hAnsi="Arial"/>
          <w:sz w:val="22"/>
        </w:rPr>
        <w:t xml:space="preserve">Though we met our 28% reduction target for 2020 from a 2014 baseline, this year there has been a small increase in carbon emissions due to the increased usage. However, this is still a reduction of 186tnCO2e from the previous, business as usual year 2019/20. </w:t>
      </w:r>
      <w:r w:rsidR="00A47B87">
        <w:rPr>
          <w:rFonts w:ascii="Arial" w:hAnsi="Arial"/>
          <w:sz w:val="22"/>
        </w:rPr>
        <w:t>W</w:t>
      </w:r>
      <w:r w:rsidRPr="00952C33">
        <w:rPr>
          <w:rFonts w:ascii="Arial" w:hAnsi="Arial"/>
          <w:sz w:val="22"/>
        </w:rPr>
        <w:t>e are still on track to meet our 10% target reduction by 2025.</w:t>
      </w:r>
    </w:p>
    <w:p w14:paraId="72617968" w14:textId="77777777" w:rsidR="003355F3" w:rsidRPr="00952C33" w:rsidRDefault="003355F3" w:rsidP="00FB6278">
      <w:pPr>
        <w:ind w:left="-567" w:right="-613"/>
        <w:jc w:val="both"/>
        <w:rPr>
          <w:rFonts w:ascii="Arial" w:hAnsi="Arial"/>
          <w:sz w:val="22"/>
        </w:rPr>
      </w:pPr>
    </w:p>
    <w:p w14:paraId="2E4560BC" w14:textId="0A9ED559" w:rsidR="003355F3" w:rsidRDefault="003355F3" w:rsidP="00FB6278">
      <w:pPr>
        <w:ind w:left="-567" w:right="-613"/>
        <w:jc w:val="both"/>
        <w:rPr>
          <w:rFonts w:ascii="Arial" w:hAnsi="Arial"/>
          <w:sz w:val="22"/>
        </w:rPr>
      </w:pPr>
      <w:r w:rsidRPr="00952C33">
        <w:rPr>
          <w:rFonts w:ascii="Arial" w:hAnsi="Arial"/>
          <w:sz w:val="22"/>
        </w:rPr>
        <w:t>From the energy and emissions table below, Moorfields successfully reduced our carbon emissions by nearly 2,000 tonnes from the 2013/14 baseline. Over the next year, we will benefit from renewable grid electricity, leading to another reduction in our carbon impact.</w:t>
      </w:r>
    </w:p>
    <w:p w14:paraId="0A6B7108" w14:textId="56DBEE23" w:rsidR="001A79B4" w:rsidRDefault="001A79B4" w:rsidP="00FB6278">
      <w:pPr>
        <w:ind w:left="-567" w:right="-613"/>
        <w:jc w:val="both"/>
        <w:rPr>
          <w:rFonts w:ascii="Arial" w:hAnsi="Arial"/>
          <w:sz w:val="22"/>
        </w:rPr>
      </w:pPr>
    </w:p>
    <w:p w14:paraId="66B275E6" w14:textId="0628DDC7" w:rsidR="003355F3" w:rsidRPr="001A79B4" w:rsidRDefault="001A79B4" w:rsidP="001A79B4">
      <w:pPr>
        <w:ind w:left="-567" w:right="-613"/>
        <w:jc w:val="both"/>
        <w:rPr>
          <w:rFonts w:ascii="Arial" w:hAnsi="Arial"/>
          <w:sz w:val="22"/>
        </w:rPr>
      </w:pPr>
      <w:r w:rsidRPr="00386E9E">
        <w:rPr>
          <w:rFonts w:ascii="Arial" w:hAnsi="Arial"/>
          <w:sz w:val="22"/>
        </w:rPr>
        <w:t>We continue to look to the future with Oriel, our plan to develop a new integrated centre for advancing eye health in the next five years. As our plans progress, we maintain our focus on our existing network site strategy which focuses on delivering low-cost improvements to our current sites to save energy in the short term.</w:t>
      </w:r>
    </w:p>
    <w:p w14:paraId="5E4BF316" w14:textId="08CD2861" w:rsidR="003355F3" w:rsidRPr="00952C33" w:rsidRDefault="003355F3" w:rsidP="00FB6278">
      <w:pPr>
        <w:ind w:left="-567" w:right="-613"/>
        <w:jc w:val="both"/>
        <w:rPr>
          <w:rFonts w:ascii="Arial" w:hAnsi="Arial"/>
          <w:b/>
          <w:color w:val="000000"/>
          <w:sz w:val="22"/>
        </w:rPr>
      </w:pPr>
      <w:r w:rsidRPr="00952C33">
        <w:rPr>
          <w:rFonts w:ascii="Arial" w:hAnsi="Arial"/>
          <w:b/>
          <w:color w:val="000000"/>
          <w:sz w:val="22"/>
        </w:rPr>
        <w:lastRenderedPageBreak/>
        <w:t>Energy and carbon performance table from baseline year 2013/14</w:t>
      </w:r>
    </w:p>
    <w:p w14:paraId="6161EF56" w14:textId="77777777" w:rsidR="00E93D6F" w:rsidRPr="00952C33" w:rsidRDefault="00E93D6F" w:rsidP="00FB6278">
      <w:pPr>
        <w:ind w:left="-567" w:right="-613"/>
        <w:jc w:val="both"/>
        <w:rPr>
          <w:rFonts w:ascii="Arial" w:hAnsi="Arial"/>
          <w:sz w:val="22"/>
        </w:rPr>
      </w:pPr>
    </w:p>
    <w:tbl>
      <w:tblPr>
        <w:tblpPr w:leftFromText="180" w:rightFromText="180" w:vertAnchor="text" w:horzAnchor="margin" w:tblpXSpec="center" w:tblpY="759"/>
        <w:tblW w:w="5323"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45"/>
        <w:gridCol w:w="850"/>
        <w:gridCol w:w="709"/>
        <w:gridCol w:w="749"/>
        <w:gridCol w:w="820"/>
        <w:gridCol w:w="816"/>
        <w:gridCol w:w="820"/>
        <w:gridCol w:w="820"/>
        <w:gridCol w:w="820"/>
        <w:gridCol w:w="820"/>
        <w:gridCol w:w="808"/>
      </w:tblGrid>
      <w:tr w:rsidR="00A47B87" w:rsidRPr="003355F3" w14:paraId="20157C6E" w14:textId="77777777" w:rsidTr="00CD4F89">
        <w:trPr>
          <w:cantSplit/>
          <w:trHeight w:val="300"/>
        </w:trPr>
        <w:tc>
          <w:tcPr>
            <w:tcW w:w="807" w:type="pct"/>
            <w:shd w:val="clear" w:color="000000" w:fill="FBD4B4"/>
            <w:noWrap/>
            <w:vAlign w:val="center"/>
            <w:hideMark/>
          </w:tcPr>
          <w:p w14:paraId="22B98902" w14:textId="77777777" w:rsidR="003355F3" w:rsidRPr="00952C33" w:rsidRDefault="003355F3" w:rsidP="00FB6278">
            <w:pPr>
              <w:jc w:val="both"/>
              <w:rPr>
                <w:rFonts w:ascii="Arial" w:hAnsi="Arial"/>
                <w:b/>
                <w:color w:val="000000"/>
                <w:sz w:val="20"/>
              </w:rPr>
            </w:pPr>
            <w:r w:rsidRPr="00952C33">
              <w:rPr>
                <w:rFonts w:ascii="Arial" w:hAnsi="Arial"/>
                <w:b/>
                <w:color w:val="000000"/>
                <w:sz w:val="18"/>
              </w:rPr>
              <w:t>Source</w:t>
            </w:r>
          </w:p>
        </w:tc>
        <w:tc>
          <w:tcPr>
            <w:tcW w:w="444" w:type="pct"/>
            <w:tcBorders>
              <w:bottom w:val="single" w:sz="12" w:space="0" w:color="auto"/>
            </w:tcBorders>
            <w:shd w:val="clear" w:color="000000" w:fill="FBD4B4"/>
            <w:noWrap/>
            <w:vAlign w:val="center"/>
            <w:hideMark/>
          </w:tcPr>
          <w:p w14:paraId="42C9C86D" w14:textId="77777777" w:rsidR="003355F3" w:rsidRPr="00952C33" w:rsidRDefault="003355F3" w:rsidP="00FB6278">
            <w:pPr>
              <w:jc w:val="both"/>
              <w:rPr>
                <w:rFonts w:ascii="Arial" w:hAnsi="Arial"/>
                <w:b/>
                <w:color w:val="000000"/>
                <w:sz w:val="20"/>
              </w:rPr>
            </w:pPr>
            <w:r w:rsidRPr="00952C33">
              <w:rPr>
                <w:rFonts w:ascii="Arial" w:hAnsi="Arial"/>
                <w:b/>
                <w:color w:val="000000"/>
                <w:sz w:val="20"/>
              </w:rPr>
              <w:t> Unit</w:t>
            </w:r>
          </w:p>
        </w:tc>
        <w:tc>
          <w:tcPr>
            <w:tcW w:w="370" w:type="pct"/>
            <w:tcBorders>
              <w:bottom w:val="single" w:sz="12" w:space="0" w:color="auto"/>
            </w:tcBorders>
            <w:shd w:val="clear" w:color="000000" w:fill="FBD4B4"/>
            <w:noWrap/>
            <w:vAlign w:val="center"/>
            <w:hideMark/>
          </w:tcPr>
          <w:p w14:paraId="521AC800" w14:textId="77777777" w:rsidR="003355F3" w:rsidRPr="00952C33" w:rsidRDefault="003355F3" w:rsidP="00FB6278">
            <w:pPr>
              <w:jc w:val="both"/>
              <w:rPr>
                <w:rFonts w:ascii="Arial" w:hAnsi="Arial"/>
                <w:b/>
                <w:color w:val="000000"/>
                <w:sz w:val="18"/>
              </w:rPr>
            </w:pPr>
            <w:r w:rsidRPr="00952C33">
              <w:rPr>
                <w:rFonts w:ascii="Arial" w:hAnsi="Arial"/>
                <w:b/>
                <w:color w:val="000000"/>
                <w:sz w:val="18"/>
              </w:rPr>
              <w:t>2013/ 14</w:t>
            </w:r>
          </w:p>
        </w:tc>
        <w:tc>
          <w:tcPr>
            <w:tcW w:w="391" w:type="pct"/>
            <w:tcBorders>
              <w:bottom w:val="single" w:sz="12" w:space="0" w:color="auto"/>
            </w:tcBorders>
            <w:shd w:val="clear" w:color="000000" w:fill="FBD4B4"/>
            <w:noWrap/>
            <w:vAlign w:val="center"/>
            <w:hideMark/>
          </w:tcPr>
          <w:p w14:paraId="68779000" w14:textId="77777777" w:rsidR="003355F3" w:rsidRPr="00952C33" w:rsidRDefault="003355F3" w:rsidP="00FB6278">
            <w:pPr>
              <w:jc w:val="both"/>
              <w:rPr>
                <w:rFonts w:ascii="Arial" w:hAnsi="Arial"/>
                <w:b/>
                <w:color w:val="000000"/>
                <w:sz w:val="18"/>
              </w:rPr>
            </w:pPr>
            <w:r w:rsidRPr="00952C33">
              <w:rPr>
                <w:rFonts w:ascii="Arial" w:hAnsi="Arial"/>
                <w:b/>
                <w:color w:val="000000"/>
                <w:sz w:val="18"/>
              </w:rPr>
              <w:t>2014 /15</w:t>
            </w:r>
          </w:p>
        </w:tc>
        <w:tc>
          <w:tcPr>
            <w:tcW w:w="428" w:type="pct"/>
            <w:tcBorders>
              <w:bottom w:val="single" w:sz="12" w:space="0" w:color="auto"/>
            </w:tcBorders>
            <w:shd w:val="clear" w:color="000000" w:fill="FBD4B4"/>
            <w:noWrap/>
            <w:vAlign w:val="center"/>
            <w:hideMark/>
          </w:tcPr>
          <w:p w14:paraId="4DDC2E56" w14:textId="77777777" w:rsidR="003355F3" w:rsidRPr="00952C33" w:rsidRDefault="003355F3" w:rsidP="00FB6278">
            <w:pPr>
              <w:jc w:val="both"/>
              <w:rPr>
                <w:rFonts w:ascii="Arial" w:hAnsi="Arial"/>
                <w:b/>
                <w:color w:val="000000"/>
                <w:sz w:val="18"/>
              </w:rPr>
            </w:pPr>
            <w:r w:rsidRPr="00952C33">
              <w:rPr>
                <w:rFonts w:ascii="Arial" w:hAnsi="Arial"/>
                <w:b/>
                <w:color w:val="000000"/>
                <w:sz w:val="18"/>
              </w:rPr>
              <w:t>2015/ 16</w:t>
            </w:r>
          </w:p>
        </w:tc>
        <w:tc>
          <w:tcPr>
            <w:tcW w:w="426" w:type="pct"/>
            <w:tcBorders>
              <w:bottom w:val="single" w:sz="12" w:space="0" w:color="auto"/>
            </w:tcBorders>
            <w:shd w:val="clear" w:color="000000" w:fill="FBD4B4"/>
            <w:noWrap/>
            <w:vAlign w:val="center"/>
            <w:hideMark/>
          </w:tcPr>
          <w:p w14:paraId="12EA6705" w14:textId="77777777" w:rsidR="003355F3" w:rsidRPr="00952C33" w:rsidRDefault="003355F3" w:rsidP="00FB6278">
            <w:pPr>
              <w:jc w:val="both"/>
              <w:rPr>
                <w:rFonts w:ascii="Arial" w:hAnsi="Arial"/>
                <w:b/>
                <w:color w:val="000000"/>
                <w:sz w:val="18"/>
              </w:rPr>
            </w:pPr>
            <w:r w:rsidRPr="00952C33">
              <w:rPr>
                <w:rFonts w:ascii="Arial" w:hAnsi="Arial"/>
                <w:b/>
                <w:color w:val="000000"/>
                <w:sz w:val="18"/>
              </w:rPr>
              <w:t>2016/ 17</w:t>
            </w:r>
          </w:p>
        </w:tc>
        <w:tc>
          <w:tcPr>
            <w:tcW w:w="428" w:type="pct"/>
            <w:tcBorders>
              <w:bottom w:val="single" w:sz="12" w:space="0" w:color="auto"/>
            </w:tcBorders>
            <w:shd w:val="clear" w:color="000000" w:fill="FBD4B4"/>
            <w:noWrap/>
            <w:vAlign w:val="center"/>
            <w:hideMark/>
          </w:tcPr>
          <w:p w14:paraId="457EF31F" w14:textId="77777777" w:rsidR="003355F3" w:rsidRPr="00952C33" w:rsidRDefault="003355F3" w:rsidP="00FB6278">
            <w:pPr>
              <w:jc w:val="both"/>
              <w:rPr>
                <w:rFonts w:ascii="Arial" w:hAnsi="Arial"/>
                <w:b/>
                <w:color w:val="000000"/>
                <w:sz w:val="18"/>
              </w:rPr>
            </w:pPr>
            <w:r w:rsidRPr="00952C33">
              <w:rPr>
                <w:rFonts w:ascii="Arial" w:hAnsi="Arial"/>
                <w:b/>
                <w:color w:val="000000"/>
                <w:sz w:val="18"/>
              </w:rPr>
              <w:t>2017/ 18</w:t>
            </w:r>
          </w:p>
        </w:tc>
        <w:tc>
          <w:tcPr>
            <w:tcW w:w="428" w:type="pct"/>
            <w:tcBorders>
              <w:bottom w:val="single" w:sz="12" w:space="0" w:color="auto"/>
            </w:tcBorders>
            <w:shd w:val="clear" w:color="000000" w:fill="FBD4B4"/>
            <w:noWrap/>
            <w:vAlign w:val="center"/>
            <w:hideMark/>
          </w:tcPr>
          <w:p w14:paraId="3241D0F7" w14:textId="77777777" w:rsidR="003355F3" w:rsidRPr="00952C33" w:rsidRDefault="003355F3" w:rsidP="00FB6278">
            <w:pPr>
              <w:jc w:val="both"/>
              <w:rPr>
                <w:rFonts w:ascii="Arial" w:hAnsi="Arial"/>
                <w:b/>
                <w:color w:val="000000"/>
                <w:sz w:val="18"/>
              </w:rPr>
            </w:pPr>
            <w:r w:rsidRPr="00952C33">
              <w:rPr>
                <w:rFonts w:ascii="Arial" w:hAnsi="Arial"/>
                <w:b/>
                <w:color w:val="000000"/>
                <w:sz w:val="18"/>
              </w:rPr>
              <w:t>2018/ 19</w:t>
            </w:r>
          </w:p>
        </w:tc>
        <w:tc>
          <w:tcPr>
            <w:tcW w:w="428" w:type="pct"/>
            <w:tcBorders>
              <w:bottom w:val="single" w:sz="12" w:space="0" w:color="auto"/>
            </w:tcBorders>
            <w:shd w:val="clear" w:color="000000" w:fill="FBD4B4"/>
            <w:vAlign w:val="center"/>
            <w:hideMark/>
          </w:tcPr>
          <w:p w14:paraId="21FA725E" w14:textId="77777777" w:rsidR="003355F3" w:rsidRPr="00952C33" w:rsidRDefault="003355F3" w:rsidP="00FB6278">
            <w:pPr>
              <w:jc w:val="center"/>
              <w:rPr>
                <w:rFonts w:ascii="Arial" w:hAnsi="Arial"/>
                <w:b/>
                <w:color w:val="000000"/>
                <w:sz w:val="18"/>
              </w:rPr>
            </w:pPr>
            <w:r w:rsidRPr="00952C33">
              <w:rPr>
                <w:rFonts w:ascii="Arial" w:hAnsi="Arial"/>
                <w:b/>
                <w:color w:val="000000"/>
                <w:sz w:val="18"/>
              </w:rPr>
              <w:t>2019/ 20</w:t>
            </w:r>
          </w:p>
        </w:tc>
        <w:tc>
          <w:tcPr>
            <w:tcW w:w="428" w:type="pct"/>
            <w:tcBorders>
              <w:bottom w:val="single" w:sz="12" w:space="0" w:color="auto"/>
            </w:tcBorders>
            <w:shd w:val="clear" w:color="000000" w:fill="FBD4B4"/>
            <w:noWrap/>
            <w:vAlign w:val="center"/>
            <w:hideMark/>
          </w:tcPr>
          <w:p w14:paraId="20024370" w14:textId="77777777" w:rsidR="003355F3" w:rsidRPr="00952C33" w:rsidRDefault="003355F3" w:rsidP="00FB6278">
            <w:pPr>
              <w:jc w:val="center"/>
              <w:rPr>
                <w:rFonts w:ascii="Arial" w:hAnsi="Arial"/>
                <w:b/>
                <w:color w:val="000000"/>
                <w:sz w:val="18"/>
              </w:rPr>
            </w:pPr>
            <w:r w:rsidRPr="00952C33">
              <w:rPr>
                <w:rFonts w:ascii="Arial" w:hAnsi="Arial"/>
                <w:b/>
                <w:color w:val="000000"/>
                <w:sz w:val="18"/>
              </w:rPr>
              <w:t>2020/ 21</w:t>
            </w:r>
          </w:p>
        </w:tc>
        <w:tc>
          <w:tcPr>
            <w:tcW w:w="422" w:type="pct"/>
            <w:tcBorders>
              <w:bottom w:val="single" w:sz="12" w:space="0" w:color="auto"/>
            </w:tcBorders>
            <w:shd w:val="clear" w:color="000000" w:fill="FBD4B4"/>
          </w:tcPr>
          <w:p w14:paraId="11E1D783" w14:textId="77777777" w:rsidR="003355F3" w:rsidRPr="00876560" w:rsidRDefault="003355F3" w:rsidP="00FB6278">
            <w:pPr>
              <w:jc w:val="center"/>
              <w:rPr>
                <w:rFonts w:ascii="Arial" w:hAnsi="Arial"/>
                <w:b/>
                <w:color w:val="000000"/>
                <w:sz w:val="18"/>
              </w:rPr>
            </w:pPr>
            <w:r w:rsidRPr="00952C33">
              <w:rPr>
                <w:rFonts w:ascii="Arial" w:hAnsi="Arial"/>
                <w:b/>
                <w:color w:val="000000"/>
                <w:sz w:val="18"/>
              </w:rPr>
              <w:t>2021/ 22</w:t>
            </w:r>
          </w:p>
        </w:tc>
      </w:tr>
      <w:tr w:rsidR="00A47B87" w:rsidRPr="003355F3" w14:paraId="20722F0A" w14:textId="77777777" w:rsidTr="00A47B87">
        <w:trPr>
          <w:cantSplit/>
          <w:trHeight w:val="300"/>
        </w:trPr>
        <w:tc>
          <w:tcPr>
            <w:tcW w:w="807" w:type="pct"/>
            <w:vMerge w:val="restart"/>
            <w:shd w:val="clear" w:color="auto" w:fill="auto"/>
            <w:noWrap/>
            <w:vAlign w:val="center"/>
            <w:hideMark/>
          </w:tcPr>
          <w:p w14:paraId="73535882" w14:textId="77777777" w:rsidR="003355F3" w:rsidRPr="00876560" w:rsidRDefault="003355F3" w:rsidP="00FB6278">
            <w:pPr>
              <w:jc w:val="center"/>
              <w:rPr>
                <w:rFonts w:ascii="Arial" w:hAnsi="Arial"/>
                <w:color w:val="000000"/>
                <w:sz w:val="20"/>
              </w:rPr>
            </w:pPr>
            <w:r w:rsidRPr="00876560">
              <w:rPr>
                <w:rFonts w:ascii="Arial" w:hAnsi="Arial"/>
                <w:color w:val="000000"/>
                <w:sz w:val="20"/>
              </w:rPr>
              <w:t>Gas</w:t>
            </w:r>
          </w:p>
          <w:p w14:paraId="5F77572E" w14:textId="77777777" w:rsidR="003355F3" w:rsidRPr="00876560" w:rsidRDefault="003355F3" w:rsidP="00FB6278">
            <w:pPr>
              <w:jc w:val="center"/>
              <w:rPr>
                <w:rFonts w:ascii="Arial" w:hAnsi="Arial"/>
                <w:color w:val="000000"/>
                <w:sz w:val="20"/>
              </w:rPr>
            </w:pPr>
            <w:r w:rsidRPr="00876560">
              <w:rPr>
                <w:rFonts w:ascii="Arial" w:hAnsi="Arial"/>
                <w:color w:val="000000"/>
                <w:sz w:val="20"/>
              </w:rPr>
              <w:t> </w:t>
            </w:r>
          </w:p>
        </w:tc>
        <w:tc>
          <w:tcPr>
            <w:tcW w:w="444" w:type="pct"/>
            <w:tcBorders>
              <w:top w:val="single" w:sz="12" w:space="0" w:color="auto"/>
              <w:left w:val="nil"/>
              <w:bottom w:val="single" w:sz="12" w:space="0" w:color="auto"/>
              <w:right w:val="single" w:sz="12" w:space="0" w:color="auto"/>
            </w:tcBorders>
            <w:shd w:val="clear" w:color="auto" w:fill="auto"/>
            <w:noWrap/>
            <w:vAlign w:val="bottom"/>
            <w:hideMark/>
          </w:tcPr>
          <w:p w14:paraId="0058658B" w14:textId="77777777" w:rsidR="003355F3" w:rsidRPr="00876560" w:rsidRDefault="003355F3" w:rsidP="00FB6278">
            <w:pPr>
              <w:jc w:val="center"/>
              <w:rPr>
                <w:rFonts w:ascii="Arial" w:hAnsi="Arial"/>
                <w:color w:val="000000"/>
                <w:sz w:val="20"/>
              </w:rPr>
            </w:pPr>
            <w:r w:rsidRPr="00876560">
              <w:rPr>
                <w:rFonts w:ascii="Arial" w:hAnsi="Arial"/>
                <w:color w:val="000000"/>
                <w:sz w:val="20"/>
              </w:rPr>
              <w:t>MWhs</w:t>
            </w:r>
          </w:p>
        </w:tc>
        <w:tc>
          <w:tcPr>
            <w:tcW w:w="370"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5A3C3333" w14:textId="77777777" w:rsidR="003355F3" w:rsidRPr="00876560" w:rsidRDefault="003355F3" w:rsidP="00FB6278">
            <w:pPr>
              <w:jc w:val="center"/>
              <w:rPr>
                <w:rFonts w:ascii="Arial" w:hAnsi="Arial"/>
                <w:i/>
                <w:color w:val="000000"/>
                <w:sz w:val="20"/>
              </w:rPr>
            </w:pPr>
            <w:r w:rsidRPr="00876560">
              <w:rPr>
                <w:rFonts w:ascii="Arial" w:hAnsi="Arial"/>
                <w:color w:val="000000"/>
                <w:sz w:val="20"/>
              </w:rPr>
              <w:t xml:space="preserve">    11,302 </w:t>
            </w:r>
          </w:p>
        </w:tc>
        <w:tc>
          <w:tcPr>
            <w:tcW w:w="391"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52852416" w14:textId="77777777" w:rsidR="003355F3" w:rsidRPr="00876560" w:rsidRDefault="003355F3" w:rsidP="00FB6278">
            <w:pPr>
              <w:jc w:val="center"/>
              <w:rPr>
                <w:rFonts w:ascii="Arial" w:hAnsi="Arial"/>
                <w:i/>
                <w:color w:val="000000"/>
                <w:sz w:val="20"/>
              </w:rPr>
            </w:pPr>
            <w:r w:rsidRPr="00876560">
              <w:rPr>
                <w:rFonts w:ascii="Arial" w:hAnsi="Arial"/>
                <w:color w:val="000000"/>
                <w:sz w:val="20"/>
              </w:rPr>
              <w:t xml:space="preserve">       11,018 </w:t>
            </w:r>
          </w:p>
        </w:tc>
        <w:tc>
          <w:tcPr>
            <w:tcW w:w="428"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58C6522F" w14:textId="77777777" w:rsidR="003355F3" w:rsidRPr="00876560" w:rsidRDefault="003355F3" w:rsidP="00FB6278">
            <w:pPr>
              <w:jc w:val="center"/>
              <w:rPr>
                <w:rFonts w:ascii="Arial" w:hAnsi="Arial"/>
                <w:i/>
                <w:color w:val="000000"/>
                <w:sz w:val="20"/>
              </w:rPr>
            </w:pPr>
            <w:r w:rsidRPr="00876560">
              <w:rPr>
                <w:rFonts w:ascii="Arial" w:hAnsi="Arial"/>
                <w:color w:val="000000"/>
                <w:sz w:val="20"/>
              </w:rPr>
              <w:t xml:space="preserve">       9,477 </w:t>
            </w:r>
          </w:p>
        </w:tc>
        <w:tc>
          <w:tcPr>
            <w:tcW w:w="426"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4B4BA805" w14:textId="77777777" w:rsidR="003355F3" w:rsidRPr="00876560" w:rsidRDefault="003355F3" w:rsidP="00FB6278">
            <w:pPr>
              <w:jc w:val="center"/>
              <w:rPr>
                <w:rFonts w:ascii="Arial" w:hAnsi="Arial"/>
                <w:i/>
                <w:color w:val="000000"/>
                <w:sz w:val="20"/>
              </w:rPr>
            </w:pPr>
            <w:r w:rsidRPr="00876560">
              <w:rPr>
                <w:rFonts w:ascii="Arial" w:hAnsi="Arial"/>
                <w:color w:val="000000"/>
                <w:sz w:val="20"/>
              </w:rPr>
              <w:t xml:space="preserve">       12,576 </w:t>
            </w:r>
          </w:p>
        </w:tc>
        <w:tc>
          <w:tcPr>
            <w:tcW w:w="428"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3079A494" w14:textId="77777777" w:rsidR="003355F3" w:rsidRPr="00876560" w:rsidRDefault="003355F3" w:rsidP="00FB6278">
            <w:pPr>
              <w:jc w:val="center"/>
              <w:rPr>
                <w:rFonts w:ascii="Arial" w:hAnsi="Arial"/>
                <w:i/>
                <w:color w:val="000000"/>
                <w:sz w:val="20"/>
              </w:rPr>
            </w:pPr>
            <w:r w:rsidRPr="00876560">
              <w:rPr>
                <w:rFonts w:ascii="Arial" w:hAnsi="Arial"/>
                <w:color w:val="000000"/>
                <w:sz w:val="20"/>
              </w:rPr>
              <w:t xml:space="preserve">       12,521 </w:t>
            </w:r>
          </w:p>
        </w:tc>
        <w:tc>
          <w:tcPr>
            <w:tcW w:w="428"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45AB96A9" w14:textId="77777777" w:rsidR="003355F3" w:rsidRPr="00876560" w:rsidRDefault="003355F3" w:rsidP="00FB6278">
            <w:pPr>
              <w:jc w:val="center"/>
              <w:rPr>
                <w:rFonts w:ascii="Arial" w:hAnsi="Arial"/>
                <w:i/>
                <w:color w:val="000000"/>
                <w:sz w:val="20"/>
              </w:rPr>
            </w:pPr>
            <w:r w:rsidRPr="00876560">
              <w:rPr>
                <w:rFonts w:ascii="Arial" w:hAnsi="Arial"/>
                <w:color w:val="000000"/>
                <w:sz w:val="20"/>
              </w:rPr>
              <w:t xml:space="preserve">       11,644 </w:t>
            </w:r>
          </w:p>
        </w:tc>
        <w:tc>
          <w:tcPr>
            <w:tcW w:w="428" w:type="pct"/>
            <w:tcBorders>
              <w:top w:val="single" w:sz="12" w:space="0" w:color="auto"/>
              <w:left w:val="single" w:sz="12" w:space="0" w:color="auto"/>
              <w:bottom w:val="single" w:sz="12" w:space="0" w:color="auto"/>
              <w:right w:val="single" w:sz="12" w:space="0" w:color="auto"/>
            </w:tcBorders>
            <w:shd w:val="clear" w:color="auto" w:fill="auto"/>
            <w:vAlign w:val="bottom"/>
          </w:tcPr>
          <w:p w14:paraId="62BFA384" w14:textId="77777777" w:rsidR="003355F3" w:rsidRPr="00876560" w:rsidRDefault="003355F3" w:rsidP="00FB6278">
            <w:pPr>
              <w:jc w:val="center"/>
              <w:rPr>
                <w:rFonts w:ascii="Arial" w:hAnsi="Arial"/>
                <w:i/>
                <w:color w:val="000000"/>
                <w:sz w:val="20"/>
              </w:rPr>
            </w:pPr>
            <w:r w:rsidRPr="00876560">
              <w:rPr>
                <w:rFonts w:ascii="Arial" w:hAnsi="Arial"/>
                <w:color w:val="000000"/>
                <w:sz w:val="20"/>
              </w:rPr>
              <w:t xml:space="preserve">       13,429 </w:t>
            </w:r>
          </w:p>
        </w:tc>
        <w:tc>
          <w:tcPr>
            <w:tcW w:w="428"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6CF0DBC9" w14:textId="77777777" w:rsidR="003355F3" w:rsidRPr="00876560" w:rsidRDefault="003355F3" w:rsidP="00FB6278">
            <w:pPr>
              <w:jc w:val="center"/>
              <w:rPr>
                <w:rFonts w:ascii="Arial" w:hAnsi="Arial"/>
                <w:i/>
                <w:color w:val="000000"/>
                <w:sz w:val="20"/>
              </w:rPr>
            </w:pPr>
            <w:r w:rsidRPr="00876560">
              <w:rPr>
                <w:rFonts w:ascii="Arial" w:hAnsi="Arial"/>
                <w:color w:val="000000"/>
                <w:sz w:val="20"/>
              </w:rPr>
              <w:t xml:space="preserve">       11,792 </w:t>
            </w:r>
          </w:p>
        </w:tc>
        <w:tc>
          <w:tcPr>
            <w:tcW w:w="422" w:type="pct"/>
            <w:tcBorders>
              <w:top w:val="single" w:sz="12" w:space="0" w:color="auto"/>
              <w:left w:val="single" w:sz="12" w:space="0" w:color="auto"/>
              <w:bottom w:val="single" w:sz="12" w:space="0" w:color="auto"/>
              <w:right w:val="single" w:sz="12" w:space="0" w:color="auto"/>
            </w:tcBorders>
            <w:shd w:val="clear" w:color="auto" w:fill="auto"/>
            <w:vAlign w:val="bottom"/>
          </w:tcPr>
          <w:p w14:paraId="6F2CB03E" w14:textId="77777777" w:rsidR="003355F3" w:rsidRPr="00876560" w:rsidRDefault="003355F3" w:rsidP="00FB6278">
            <w:pPr>
              <w:jc w:val="center"/>
              <w:rPr>
                <w:rFonts w:ascii="Arial" w:hAnsi="Arial"/>
                <w:color w:val="000000"/>
                <w:sz w:val="20"/>
              </w:rPr>
            </w:pPr>
            <w:r w:rsidRPr="00876560">
              <w:rPr>
                <w:rFonts w:ascii="Arial" w:hAnsi="Arial"/>
                <w:color w:val="000000"/>
                <w:sz w:val="20"/>
              </w:rPr>
              <w:t xml:space="preserve">          12,995 </w:t>
            </w:r>
          </w:p>
        </w:tc>
      </w:tr>
      <w:tr w:rsidR="00A47B87" w:rsidRPr="003355F3" w14:paraId="3F89FB01" w14:textId="77777777" w:rsidTr="00A47B87">
        <w:trPr>
          <w:cantSplit/>
          <w:trHeight w:val="300"/>
        </w:trPr>
        <w:tc>
          <w:tcPr>
            <w:tcW w:w="807" w:type="pct"/>
            <w:vMerge/>
            <w:shd w:val="clear" w:color="auto" w:fill="auto"/>
            <w:noWrap/>
            <w:vAlign w:val="center"/>
            <w:hideMark/>
          </w:tcPr>
          <w:p w14:paraId="5783577E" w14:textId="77777777" w:rsidR="003355F3" w:rsidRPr="00952C33" w:rsidRDefault="003355F3" w:rsidP="00FB6278">
            <w:pPr>
              <w:jc w:val="center"/>
              <w:rPr>
                <w:rFonts w:ascii="Arial" w:hAnsi="Arial"/>
                <w:color w:val="000000"/>
                <w:sz w:val="20"/>
              </w:rPr>
            </w:pPr>
          </w:p>
        </w:tc>
        <w:tc>
          <w:tcPr>
            <w:tcW w:w="444" w:type="pct"/>
            <w:tcBorders>
              <w:top w:val="single" w:sz="12" w:space="0" w:color="auto"/>
              <w:left w:val="nil"/>
              <w:bottom w:val="single" w:sz="12" w:space="0" w:color="auto"/>
              <w:right w:val="single" w:sz="12" w:space="0" w:color="auto"/>
            </w:tcBorders>
            <w:shd w:val="clear" w:color="auto" w:fill="auto"/>
            <w:noWrap/>
            <w:vAlign w:val="bottom"/>
            <w:hideMark/>
          </w:tcPr>
          <w:p w14:paraId="64C053D7" w14:textId="77777777" w:rsidR="003355F3" w:rsidRPr="00952C33" w:rsidRDefault="003355F3" w:rsidP="00FB6278">
            <w:pPr>
              <w:jc w:val="center"/>
              <w:rPr>
                <w:rFonts w:ascii="Arial" w:hAnsi="Arial"/>
                <w:color w:val="000000"/>
                <w:sz w:val="20"/>
              </w:rPr>
            </w:pPr>
            <w:r w:rsidRPr="00952C33">
              <w:rPr>
                <w:rFonts w:ascii="Arial" w:hAnsi="Arial"/>
                <w:color w:val="000000"/>
                <w:sz w:val="20"/>
              </w:rPr>
              <w:t>tCO2e</w:t>
            </w:r>
          </w:p>
        </w:tc>
        <w:tc>
          <w:tcPr>
            <w:tcW w:w="370"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415D3B7E" w14:textId="77777777" w:rsidR="003355F3" w:rsidRPr="00952C33" w:rsidRDefault="003355F3" w:rsidP="00FB6278">
            <w:pPr>
              <w:jc w:val="center"/>
              <w:rPr>
                <w:rFonts w:ascii="Arial" w:hAnsi="Arial"/>
                <w:i/>
                <w:color w:val="000000"/>
                <w:sz w:val="20"/>
              </w:rPr>
            </w:pPr>
            <w:r w:rsidRPr="00952C33">
              <w:rPr>
                <w:rFonts w:ascii="Arial" w:hAnsi="Arial"/>
                <w:color w:val="000000"/>
                <w:sz w:val="20"/>
              </w:rPr>
              <w:t>2080</w:t>
            </w:r>
          </w:p>
        </w:tc>
        <w:tc>
          <w:tcPr>
            <w:tcW w:w="391"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30C02931" w14:textId="77777777" w:rsidR="003355F3" w:rsidRPr="00952C33" w:rsidRDefault="003355F3" w:rsidP="00FB6278">
            <w:pPr>
              <w:jc w:val="center"/>
              <w:rPr>
                <w:rFonts w:ascii="Arial" w:hAnsi="Arial"/>
                <w:i/>
                <w:color w:val="000000"/>
                <w:sz w:val="20"/>
              </w:rPr>
            </w:pPr>
            <w:r w:rsidRPr="00952C33">
              <w:rPr>
                <w:rFonts w:ascii="Arial" w:hAnsi="Arial"/>
                <w:color w:val="000000"/>
                <w:sz w:val="20"/>
              </w:rPr>
              <w:t xml:space="preserve">          2,038 </w:t>
            </w:r>
          </w:p>
        </w:tc>
        <w:tc>
          <w:tcPr>
            <w:tcW w:w="428"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56F8FD2A" w14:textId="77777777" w:rsidR="003355F3" w:rsidRPr="00952C33" w:rsidRDefault="003355F3" w:rsidP="00FB6278">
            <w:pPr>
              <w:jc w:val="center"/>
              <w:rPr>
                <w:rFonts w:ascii="Arial" w:hAnsi="Arial"/>
                <w:i/>
                <w:color w:val="000000"/>
                <w:sz w:val="20"/>
              </w:rPr>
            </w:pPr>
            <w:r w:rsidRPr="00952C33">
              <w:rPr>
                <w:rFonts w:ascii="Arial" w:hAnsi="Arial"/>
                <w:color w:val="000000"/>
                <w:sz w:val="20"/>
              </w:rPr>
              <w:t xml:space="preserve">       1,748 </w:t>
            </w:r>
          </w:p>
        </w:tc>
        <w:tc>
          <w:tcPr>
            <w:tcW w:w="426"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29150F39" w14:textId="77777777" w:rsidR="003355F3" w:rsidRPr="00952C33" w:rsidRDefault="003355F3" w:rsidP="00FB6278">
            <w:pPr>
              <w:jc w:val="center"/>
              <w:rPr>
                <w:rFonts w:ascii="Arial" w:hAnsi="Arial"/>
                <w:i/>
                <w:color w:val="000000"/>
                <w:sz w:val="20"/>
              </w:rPr>
            </w:pPr>
            <w:r w:rsidRPr="00952C33">
              <w:rPr>
                <w:rFonts w:ascii="Arial" w:hAnsi="Arial"/>
                <w:color w:val="000000"/>
                <w:sz w:val="20"/>
              </w:rPr>
              <w:t xml:space="preserve">          2,314 </w:t>
            </w:r>
          </w:p>
        </w:tc>
        <w:tc>
          <w:tcPr>
            <w:tcW w:w="428"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27F5C4D1" w14:textId="77777777" w:rsidR="003355F3" w:rsidRPr="00952C33" w:rsidRDefault="003355F3" w:rsidP="00FB6278">
            <w:pPr>
              <w:jc w:val="center"/>
              <w:rPr>
                <w:rFonts w:ascii="Arial" w:hAnsi="Arial"/>
                <w:i/>
                <w:color w:val="000000"/>
                <w:sz w:val="20"/>
              </w:rPr>
            </w:pPr>
            <w:r w:rsidRPr="00952C33">
              <w:rPr>
                <w:rFonts w:ascii="Arial" w:hAnsi="Arial"/>
                <w:color w:val="000000"/>
                <w:sz w:val="20"/>
              </w:rPr>
              <w:t xml:space="preserve">          2,306 </w:t>
            </w:r>
          </w:p>
        </w:tc>
        <w:tc>
          <w:tcPr>
            <w:tcW w:w="428"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1A8C47DE" w14:textId="77777777" w:rsidR="003355F3" w:rsidRPr="00952C33" w:rsidRDefault="003355F3" w:rsidP="00FB6278">
            <w:pPr>
              <w:jc w:val="center"/>
              <w:rPr>
                <w:rFonts w:ascii="Arial" w:hAnsi="Arial"/>
                <w:i/>
                <w:color w:val="000000"/>
                <w:sz w:val="20"/>
              </w:rPr>
            </w:pPr>
            <w:r w:rsidRPr="00952C33">
              <w:rPr>
                <w:rFonts w:ascii="Arial" w:hAnsi="Arial"/>
                <w:color w:val="000000"/>
                <w:sz w:val="20"/>
              </w:rPr>
              <w:t xml:space="preserve">          2,142 </w:t>
            </w:r>
          </w:p>
        </w:tc>
        <w:tc>
          <w:tcPr>
            <w:tcW w:w="428" w:type="pct"/>
            <w:tcBorders>
              <w:top w:val="single" w:sz="12" w:space="0" w:color="auto"/>
              <w:left w:val="single" w:sz="12" w:space="0" w:color="auto"/>
              <w:bottom w:val="single" w:sz="12" w:space="0" w:color="auto"/>
              <w:right w:val="single" w:sz="12" w:space="0" w:color="auto"/>
            </w:tcBorders>
            <w:shd w:val="clear" w:color="auto" w:fill="auto"/>
            <w:vAlign w:val="bottom"/>
          </w:tcPr>
          <w:p w14:paraId="12ADBD22" w14:textId="77777777" w:rsidR="003355F3" w:rsidRPr="00952C33" w:rsidRDefault="003355F3" w:rsidP="00FB6278">
            <w:pPr>
              <w:jc w:val="center"/>
              <w:rPr>
                <w:rFonts w:ascii="Arial" w:hAnsi="Arial"/>
                <w:i/>
                <w:color w:val="000000"/>
                <w:sz w:val="20"/>
              </w:rPr>
            </w:pPr>
            <w:r w:rsidRPr="00952C33">
              <w:rPr>
                <w:rFonts w:ascii="Arial" w:hAnsi="Arial"/>
                <w:color w:val="000000"/>
                <w:sz w:val="20"/>
              </w:rPr>
              <w:t xml:space="preserve">          2,469 </w:t>
            </w:r>
          </w:p>
        </w:tc>
        <w:tc>
          <w:tcPr>
            <w:tcW w:w="428"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2E3D7EA5" w14:textId="77777777" w:rsidR="003355F3" w:rsidRPr="00952C33" w:rsidRDefault="003355F3" w:rsidP="00FB6278">
            <w:pPr>
              <w:jc w:val="center"/>
              <w:rPr>
                <w:rFonts w:ascii="Arial" w:hAnsi="Arial"/>
                <w:i/>
                <w:color w:val="000000"/>
                <w:sz w:val="20"/>
              </w:rPr>
            </w:pPr>
            <w:r w:rsidRPr="00952C33">
              <w:rPr>
                <w:rFonts w:ascii="Arial" w:hAnsi="Arial"/>
                <w:color w:val="000000"/>
                <w:sz w:val="20"/>
              </w:rPr>
              <w:t xml:space="preserve">          2,168 </w:t>
            </w:r>
          </w:p>
        </w:tc>
        <w:tc>
          <w:tcPr>
            <w:tcW w:w="422" w:type="pct"/>
            <w:tcBorders>
              <w:top w:val="single" w:sz="12" w:space="0" w:color="auto"/>
              <w:left w:val="single" w:sz="12" w:space="0" w:color="auto"/>
              <w:bottom w:val="single" w:sz="12" w:space="0" w:color="auto"/>
              <w:right w:val="single" w:sz="12" w:space="0" w:color="auto"/>
            </w:tcBorders>
            <w:shd w:val="clear" w:color="auto" w:fill="auto"/>
            <w:vAlign w:val="bottom"/>
          </w:tcPr>
          <w:p w14:paraId="083049C0" w14:textId="77777777" w:rsidR="003355F3" w:rsidRPr="00952C33" w:rsidRDefault="003355F3" w:rsidP="00FB6278">
            <w:pPr>
              <w:jc w:val="center"/>
              <w:rPr>
                <w:rFonts w:ascii="Arial" w:hAnsi="Arial"/>
                <w:color w:val="000000"/>
                <w:sz w:val="20"/>
              </w:rPr>
            </w:pPr>
            <w:r w:rsidRPr="00952C33">
              <w:rPr>
                <w:rFonts w:ascii="Arial" w:hAnsi="Arial"/>
                <w:color w:val="000000"/>
                <w:sz w:val="20"/>
              </w:rPr>
              <w:t xml:space="preserve">            2,380 </w:t>
            </w:r>
          </w:p>
        </w:tc>
      </w:tr>
      <w:tr w:rsidR="00A47B87" w:rsidRPr="003355F3" w14:paraId="6E278815" w14:textId="77777777" w:rsidTr="00A47B87">
        <w:trPr>
          <w:cantSplit/>
          <w:trHeight w:val="300"/>
        </w:trPr>
        <w:tc>
          <w:tcPr>
            <w:tcW w:w="807" w:type="pct"/>
            <w:vMerge w:val="restart"/>
            <w:shd w:val="clear" w:color="auto" w:fill="auto"/>
            <w:noWrap/>
            <w:vAlign w:val="center"/>
            <w:hideMark/>
          </w:tcPr>
          <w:p w14:paraId="2B6F2E4E" w14:textId="77777777" w:rsidR="003355F3" w:rsidRPr="00876560" w:rsidRDefault="003355F3" w:rsidP="00FB6278">
            <w:pPr>
              <w:jc w:val="center"/>
              <w:rPr>
                <w:rFonts w:ascii="Arial" w:hAnsi="Arial"/>
                <w:color w:val="000000"/>
                <w:sz w:val="20"/>
              </w:rPr>
            </w:pPr>
            <w:r w:rsidRPr="00876560">
              <w:rPr>
                <w:rFonts w:ascii="Arial" w:hAnsi="Arial"/>
                <w:color w:val="000000"/>
                <w:sz w:val="20"/>
              </w:rPr>
              <w:t>Oil</w:t>
            </w:r>
          </w:p>
          <w:p w14:paraId="6350311D" w14:textId="77777777" w:rsidR="003355F3" w:rsidRPr="00876560" w:rsidRDefault="003355F3" w:rsidP="00FB6278">
            <w:pPr>
              <w:jc w:val="center"/>
              <w:rPr>
                <w:rFonts w:ascii="Arial" w:hAnsi="Arial"/>
                <w:color w:val="000000"/>
                <w:sz w:val="20"/>
              </w:rPr>
            </w:pPr>
            <w:r w:rsidRPr="00876560">
              <w:rPr>
                <w:rFonts w:ascii="Arial" w:hAnsi="Arial"/>
                <w:color w:val="000000"/>
                <w:sz w:val="20"/>
              </w:rPr>
              <w:t> </w:t>
            </w:r>
          </w:p>
        </w:tc>
        <w:tc>
          <w:tcPr>
            <w:tcW w:w="444" w:type="pct"/>
            <w:tcBorders>
              <w:top w:val="single" w:sz="12" w:space="0" w:color="auto"/>
              <w:left w:val="nil"/>
              <w:bottom w:val="single" w:sz="12" w:space="0" w:color="auto"/>
              <w:right w:val="single" w:sz="12" w:space="0" w:color="auto"/>
            </w:tcBorders>
            <w:shd w:val="clear" w:color="auto" w:fill="auto"/>
            <w:noWrap/>
            <w:vAlign w:val="bottom"/>
            <w:hideMark/>
          </w:tcPr>
          <w:p w14:paraId="16790A04" w14:textId="77777777" w:rsidR="003355F3" w:rsidRPr="00876560" w:rsidRDefault="003355F3" w:rsidP="00FB6278">
            <w:pPr>
              <w:jc w:val="center"/>
              <w:rPr>
                <w:rFonts w:ascii="Arial" w:hAnsi="Arial"/>
                <w:color w:val="000000"/>
                <w:sz w:val="20"/>
              </w:rPr>
            </w:pPr>
            <w:r w:rsidRPr="00876560">
              <w:rPr>
                <w:rFonts w:ascii="Arial" w:hAnsi="Arial"/>
                <w:color w:val="000000"/>
                <w:sz w:val="20"/>
              </w:rPr>
              <w:t>MWhs</w:t>
            </w:r>
          </w:p>
        </w:tc>
        <w:tc>
          <w:tcPr>
            <w:tcW w:w="370"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3C82052F" w14:textId="77777777" w:rsidR="003355F3" w:rsidRPr="00876560" w:rsidRDefault="003355F3" w:rsidP="00FB6278">
            <w:pPr>
              <w:jc w:val="center"/>
              <w:rPr>
                <w:rFonts w:ascii="Arial" w:hAnsi="Arial"/>
                <w:i/>
                <w:color w:val="000000"/>
                <w:sz w:val="20"/>
              </w:rPr>
            </w:pPr>
            <w:r w:rsidRPr="00876560">
              <w:rPr>
                <w:rFonts w:ascii="Arial" w:hAnsi="Arial"/>
                <w:color w:val="000000"/>
                <w:sz w:val="20"/>
              </w:rPr>
              <w:t xml:space="preserve">            18 </w:t>
            </w:r>
          </w:p>
        </w:tc>
        <w:tc>
          <w:tcPr>
            <w:tcW w:w="391"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630DABB9" w14:textId="77777777" w:rsidR="003355F3" w:rsidRPr="00876560" w:rsidRDefault="003355F3" w:rsidP="00FB6278">
            <w:pPr>
              <w:jc w:val="center"/>
              <w:rPr>
                <w:rFonts w:ascii="Arial" w:hAnsi="Arial"/>
                <w:i/>
                <w:color w:val="000000"/>
                <w:sz w:val="20"/>
              </w:rPr>
            </w:pPr>
            <w:r w:rsidRPr="00876560">
              <w:rPr>
                <w:rFonts w:ascii="Arial" w:hAnsi="Arial"/>
                <w:color w:val="000000"/>
                <w:sz w:val="20"/>
              </w:rPr>
              <w:t xml:space="preserve">               63 </w:t>
            </w:r>
          </w:p>
        </w:tc>
        <w:tc>
          <w:tcPr>
            <w:tcW w:w="428"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1E81B545" w14:textId="77777777" w:rsidR="003355F3" w:rsidRPr="00876560" w:rsidRDefault="003355F3" w:rsidP="00FB6278">
            <w:pPr>
              <w:jc w:val="center"/>
              <w:rPr>
                <w:rFonts w:ascii="Arial" w:hAnsi="Arial"/>
                <w:i/>
                <w:color w:val="000000"/>
                <w:sz w:val="20"/>
              </w:rPr>
            </w:pPr>
          </w:p>
        </w:tc>
        <w:tc>
          <w:tcPr>
            <w:tcW w:w="426"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7113E278" w14:textId="77777777" w:rsidR="003355F3" w:rsidRPr="00876560" w:rsidRDefault="003355F3" w:rsidP="00FB6278">
            <w:pPr>
              <w:jc w:val="center"/>
              <w:rPr>
                <w:rFonts w:ascii="Arial" w:hAnsi="Arial"/>
                <w:i/>
                <w:color w:val="000000"/>
                <w:sz w:val="20"/>
              </w:rPr>
            </w:pPr>
          </w:p>
        </w:tc>
        <w:tc>
          <w:tcPr>
            <w:tcW w:w="428"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22E3FD99" w14:textId="77777777" w:rsidR="003355F3" w:rsidRPr="00876560" w:rsidRDefault="003355F3" w:rsidP="00FB6278">
            <w:pPr>
              <w:jc w:val="center"/>
              <w:rPr>
                <w:rFonts w:ascii="Arial" w:hAnsi="Arial"/>
                <w:i/>
                <w:color w:val="000000"/>
                <w:sz w:val="20"/>
              </w:rPr>
            </w:pPr>
          </w:p>
        </w:tc>
        <w:tc>
          <w:tcPr>
            <w:tcW w:w="428"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1F848E8E" w14:textId="77777777" w:rsidR="003355F3" w:rsidRPr="00876560" w:rsidRDefault="003355F3" w:rsidP="00FB6278">
            <w:pPr>
              <w:jc w:val="center"/>
              <w:rPr>
                <w:rFonts w:ascii="Arial" w:hAnsi="Arial"/>
                <w:i/>
                <w:color w:val="000000"/>
                <w:sz w:val="20"/>
              </w:rPr>
            </w:pPr>
          </w:p>
        </w:tc>
        <w:tc>
          <w:tcPr>
            <w:tcW w:w="428" w:type="pct"/>
            <w:tcBorders>
              <w:top w:val="single" w:sz="12" w:space="0" w:color="auto"/>
              <w:left w:val="single" w:sz="12" w:space="0" w:color="auto"/>
              <w:bottom w:val="single" w:sz="12" w:space="0" w:color="auto"/>
              <w:right w:val="single" w:sz="12" w:space="0" w:color="auto"/>
            </w:tcBorders>
            <w:shd w:val="clear" w:color="auto" w:fill="auto"/>
            <w:vAlign w:val="bottom"/>
          </w:tcPr>
          <w:p w14:paraId="3B5DAB5D" w14:textId="77777777" w:rsidR="003355F3" w:rsidRPr="00876560" w:rsidRDefault="003355F3" w:rsidP="00FB6278">
            <w:pPr>
              <w:jc w:val="center"/>
              <w:rPr>
                <w:rFonts w:ascii="Arial" w:hAnsi="Arial"/>
                <w:i/>
                <w:color w:val="000000"/>
                <w:sz w:val="20"/>
              </w:rPr>
            </w:pPr>
          </w:p>
        </w:tc>
        <w:tc>
          <w:tcPr>
            <w:tcW w:w="428"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1383D718" w14:textId="77777777" w:rsidR="003355F3" w:rsidRPr="00876560" w:rsidRDefault="003355F3" w:rsidP="00FB6278">
            <w:pPr>
              <w:jc w:val="center"/>
              <w:rPr>
                <w:rFonts w:ascii="Arial" w:hAnsi="Arial"/>
                <w:i/>
                <w:color w:val="000000"/>
                <w:sz w:val="20"/>
              </w:rPr>
            </w:pPr>
          </w:p>
        </w:tc>
        <w:tc>
          <w:tcPr>
            <w:tcW w:w="422" w:type="pct"/>
            <w:tcBorders>
              <w:top w:val="single" w:sz="12" w:space="0" w:color="auto"/>
              <w:left w:val="single" w:sz="12" w:space="0" w:color="auto"/>
              <w:bottom w:val="single" w:sz="12" w:space="0" w:color="auto"/>
              <w:right w:val="single" w:sz="12" w:space="0" w:color="auto"/>
            </w:tcBorders>
            <w:shd w:val="clear" w:color="auto" w:fill="auto"/>
            <w:vAlign w:val="bottom"/>
          </w:tcPr>
          <w:p w14:paraId="43DF720F" w14:textId="77777777" w:rsidR="003355F3" w:rsidRPr="00876560" w:rsidRDefault="003355F3" w:rsidP="00FB6278">
            <w:pPr>
              <w:jc w:val="center"/>
              <w:rPr>
                <w:rFonts w:ascii="Arial" w:hAnsi="Arial"/>
                <w:color w:val="000000"/>
                <w:sz w:val="20"/>
              </w:rPr>
            </w:pPr>
          </w:p>
        </w:tc>
      </w:tr>
      <w:tr w:rsidR="00A47B87" w:rsidRPr="003355F3" w14:paraId="1B7744B7" w14:textId="77777777" w:rsidTr="00A47B87">
        <w:trPr>
          <w:cantSplit/>
          <w:trHeight w:val="300"/>
        </w:trPr>
        <w:tc>
          <w:tcPr>
            <w:tcW w:w="807" w:type="pct"/>
            <w:vMerge/>
            <w:shd w:val="clear" w:color="auto" w:fill="auto"/>
            <w:noWrap/>
            <w:vAlign w:val="center"/>
            <w:hideMark/>
          </w:tcPr>
          <w:p w14:paraId="7D9C7746" w14:textId="77777777" w:rsidR="003355F3" w:rsidRPr="00952C33" w:rsidRDefault="003355F3" w:rsidP="00FB6278">
            <w:pPr>
              <w:jc w:val="center"/>
              <w:rPr>
                <w:rFonts w:ascii="Arial" w:hAnsi="Arial"/>
                <w:color w:val="000000"/>
                <w:sz w:val="20"/>
              </w:rPr>
            </w:pPr>
          </w:p>
        </w:tc>
        <w:tc>
          <w:tcPr>
            <w:tcW w:w="444" w:type="pct"/>
            <w:tcBorders>
              <w:top w:val="single" w:sz="12" w:space="0" w:color="auto"/>
              <w:left w:val="nil"/>
              <w:bottom w:val="single" w:sz="12" w:space="0" w:color="auto"/>
              <w:right w:val="single" w:sz="12" w:space="0" w:color="auto"/>
            </w:tcBorders>
            <w:shd w:val="clear" w:color="auto" w:fill="auto"/>
            <w:noWrap/>
            <w:vAlign w:val="bottom"/>
            <w:hideMark/>
          </w:tcPr>
          <w:p w14:paraId="7698BD20" w14:textId="77777777" w:rsidR="003355F3" w:rsidRPr="00952C33" w:rsidRDefault="003355F3" w:rsidP="00FB6278">
            <w:pPr>
              <w:jc w:val="center"/>
              <w:rPr>
                <w:rFonts w:ascii="Arial" w:hAnsi="Arial"/>
                <w:color w:val="000000"/>
                <w:sz w:val="20"/>
              </w:rPr>
            </w:pPr>
            <w:r w:rsidRPr="00952C33">
              <w:rPr>
                <w:rFonts w:ascii="Arial" w:hAnsi="Arial"/>
                <w:color w:val="000000"/>
                <w:sz w:val="20"/>
              </w:rPr>
              <w:t>tCO2e</w:t>
            </w:r>
          </w:p>
        </w:tc>
        <w:tc>
          <w:tcPr>
            <w:tcW w:w="370"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5C9C68D6" w14:textId="77777777" w:rsidR="003355F3" w:rsidRPr="00952C33" w:rsidRDefault="003355F3" w:rsidP="00FB6278">
            <w:pPr>
              <w:jc w:val="center"/>
              <w:rPr>
                <w:rFonts w:ascii="Arial" w:hAnsi="Arial"/>
                <w:i/>
                <w:color w:val="000000"/>
                <w:sz w:val="20"/>
              </w:rPr>
            </w:pPr>
            <w:r w:rsidRPr="00952C33">
              <w:rPr>
                <w:rFonts w:ascii="Arial" w:hAnsi="Arial"/>
                <w:color w:val="000000"/>
                <w:sz w:val="20"/>
              </w:rPr>
              <w:t>5</w:t>
            </w:r>
          </w:p>
        </w:tc>
        <w:tc>
          <w:tcPr>
            <w:tcW w:w="391"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776ECF74" w14:textId="77777777" w:rsidR="003355F3" w:rsidRPr="00952C33" w:rsidRDefault="003355F3" w:rsidP="00FB6278">
            <w:pPr>
              <w:jc w:val="center"/>
              <w:rPr>
                <w:rFonts w:ascii="Arial" w:hAnsi="Arial"/>
                <w:i/>
                <w:color w:val="000000"/>
                <w:sz w:val="20"/>
              </w:rPr>
            </w:pPr>
            <w:r w:rsidRPr="00952C33">
              <w:rPr>
                <w:rFonts w:ascii="Arial" w:hAnsi="Arial"/>
                <w:color w:val="000000"/>
                <w:sz w:val="20"/>
              </w:rPr>
              <w:t xml:space="preserve">               17 </w:t>
            </w:r>
          </w:p>
        </w:tc>
        <w:tc>
          <w:tcPr>
            <w:tcW w:w="428"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71197CB0" w14:textId="77777777" w:rsidR="003355F3" w:rsidRPr="00952C33" w:rsidRDefault="003355F3" w:rsidP="00FB6278">
            <w:pPr>
              <w:jc w:val="center"/>
              <w:rPr>
                <w:rFonts w:ascii="Arial" w:hAnsi="Arial"/>
                <w:i/>
                <w:color w:val="000000"/>
                <w:sz w:val="20"/>
              </w:rPr>
            </w:pPr>
            <w:r w:rsidRPr="00952C33">
              <w:rPr>
                <w:rFonts w:ascii="Arial" w:hAnsi="Arial"/>
                <w:color w:val="000000"/>
                <w:sz w:val="20"/>
              </w:rPr>
              <w:t xml:space="preserve">                 -    </w:t>
            </w:r>
          </w:p>
        </w:tc>
        <w:tc>
          <w:tcPr>
            <w:tcW w:w="426"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79D16D56" w14:textId="77777777" w:rsidR="003355F3" w:rsidRPr="00952C33" w:rsidRDefault="003355F3" w:rsidP="00FB6278">
            <w:pPr>
              <w:jc w:val="center"/>
              <w:rPr>
                <w:rFonts w:ascii="Arial" w:hAnsi="Arial"/>
                <w:i/>
                <w:color w:val="000000"/>
                <w:sz w:val="20"/>
              </w:rPr>
            </w:pPr>
            <w:r w:rsidRPr="00952C33">
              <w:rPr>
                <w:rFonts w:ascii="Arial" w:hAnsi="Arial"/>
                <w:color w:val="000000"/>
                <w:sz w:val="20"/>
              </w:rPr>
              <w:t xml:space="preserve">                 -    </w:t>
            </w:r>
          </w:p>
        </w:tc>
        <w:tc>
          <w:tcPr>
            <w:tcW w:w="428"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725C70C1" w14:textId="77777777" w:rsidR="003355F3" w:rsidRPr="00952C33" w:rsidRDefault="003355F3" w:rsidP="00FB6278">
            <w:pPr>
              <w:jc w:val="center"/>
              <w:rPr>
                <w:rFonts w:ascii="Arial" w:hAnsi="Arial"/>
                <w:i/>
                <w:color w:val="000000"/>
                <w:sz w:val="20"/>
              </w:rPr>
            </w:pPr>
            <w:r w:rsidRPr="00952C33">
              <w:rPr>
                <w:rFonts w:ascii="Arial" w:hAnsi="Arial"/>
                <w:color w:val="000000"/>
                <w:sz w:val="20"/>
              </w:rPr>
              <w:t xml:space="preserve">                 -    </w:t>
            </w:r>
          </w:p>
        </w:tc>
        <w:tc>
          <w:tcPr>
            <w:tcW w:w="428"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5F5E8756" w14:textId="77777777" w:rsidR="003355F3" w:rsidRPr="00952C33" w:rsidRDefault="003355F3" w:rsidP="00FB6278">
            <w:pPr>
              <w:jc w:val="center"/>
              <w:rPr>
                <w:rFonts w:ascii="Arial" w:hAnsi="Arial"/>
                <w:i/>
                <w:color w:val="000000"/>
                <w:sz w:val="20"/>
              </w:rPr>
            </w:pPr>
            <w:r w:rsidRPr="00952C33">
              <w:rPr>
                <w:rFonts w:ascii="Arial" w:hAnsi="Arial"/>
                <w:color w:val="000000"/>
                <w:sz w:val="20"/>
              </w:rPr>
              <w:t xml:space="preserve">                 -    </w:t>
            </w:r>
          </w:p>
        </w:tc>
        <w:tc>
          <w:tcPr>
            <w:tcW w:w="428" w:type="pct"/>
            <w:tcBorders>
              <w:top w:val="single" w:sz="12" w:space="0" w:color="auto"/>
              <w:left w:val="single" w:sz="12" w:space="0" w:color="auto"/>
              <w:bottom w:val="single" w:sz="12" w:space="0" w:color="auto"/>
              <w:right w:val="single" w:sz="12" w:space="0" w:color="auto"/>
            </w:tcBorders>
            <w:shd w:val="clear" w:color="auto" w:fill="auto"/>
            <w:vAlign w:val="bottom"/>
          </w:tcPr>
          <w:p w14:paraId="487AC562" w14:textId="77777777" w:rsidR="003355F3" w:rsidRPr="00952C33" w:rsidRDefault="003355F3" w:rsidP="00FB6278">
            <w:pPr>
              <w:jc w:val="center"/>
              <w:rPr>
                <w:rFonts w:ascii="Arial" w:hAnsi="Arial"/>
                <w:i/>
                <w:color w:val="000000"/>
                <w:sz w:val="20"/>
              </w:rPr>
            </w:pPr>
            <w:r w:rsidRPr="00952C33">
              <w:rPr>
                <w:rFonts w:ascii="Arial" w:hAnsi="Arial"/>
                <w:color w:val="000000"/>
                <w:sz w:val="20"/>
              </w:rPr>
              <w:t xml:space="preserve">                 -    </w:t>
            </w:r>
          </w:p>
        </w:tc>
        <w:tc>
          <w:tcPr>
            <w:tcW w:w="428"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28F323F5" w14:textId="77777777" w:rsidR="003355F3" w:rsidRPr="00952C33" w:rsidRDefault="003355F3" w:rsidP="00FB6278">
            <w:pPr>
              <w:jc w:val="center"/>
              <w:rPr>
                <w:rFonts w:ascii="Arial" w:hAnsi="Arial"/>
                <w:i/>
                <w:color w:val="000000"/>
                <w:sz w:val="20"/>
              </w:rPr>
            </w:pPr>
            <w:r w:rsidRPr="00952C33">
              <w:rPr>
                <w:rFonts w:ascii="Arial" w:hAnsi="Arial"/>
                <w:color w:val="000000"/>
                <w:sz w:val="20"/>
              </w:rPr>
              <w:t xml:space="preserve">                 -    </w:t>
            </w:r>
          </w:p>
        </w:tc>
        <w:tc>
          <w:tcPr>
            <w:tcW w:w="422" w:type="pct"/>
            <w:tcBorders>
              <w:top w:val="single" w:sz="12" w:space="0" w:color="auto"/>
              <w:left w:val="single" w:sz="12" w:space="0" w:color="auto"/>
              <w:bottom w:val="single" w:sz="12" w:space="0" w:color="auto"/>
              <w:right w:val="single" w:sz="12" w:space="0" w:color="auto"/>
            </w:tcBorders>
            <w:shd w:val="clear" w:color="auto" w:fill="auto"/>
            <w:vAlign w:val="bottom"/>
          </w:tcPr>
          <w:p w14:paraId="12B7424D" w14:textId="77777777" w:rsidR="003355F3" w:rsidRPr="00952C33" w:rsidRDefault="003355F3" w:rsidP="00FB6278">
            <w:pPr>
              <w:jc w:val="center"/>
              <w:rPr>
                <w:rFonts w:ascii="Arial" w:hAnsi="Arial"/>
                <w:color w:val="000000"/>
                <w:sz w:val="20"/>
              </w:rPr>
            </w:pPr>
          </w:p>
        </w:tc>
      </w:tr>
      <w:tr w:rsidR="00A47B87" w:rsidRPr="003355F3" w14:paraId="143B1268" w14:textId="77777777" w:rsidTr="00A47B87">
        <w:trPr>
          <w:cantSplit/>
          <w:trHeight w:val="397"/>
        </w:trPr>
        <w:tc>
          <w:tcPr>
            <w:tcW w:w="807" w:type="pct"/>
            <w:vMerge w:val="restart"/>
            <w:shd w:val="clear" w:color="auto" w:fill="auto"/>
            <w:noWrap/>
            <w:textDirection w:val="btLr"/>
            <w:vAlign w:val="center"/>
            <w:hideMark/>
          </w:tcPr>
          <w:p w14:paraId="4993D18F" w14:textId="77777777" w:rsidR="003355F3" w:rsidRPr="00876560" w:rsidRDefault="003355F3" w:rsidP="00FB6278">
            <w:pPr>
              <w:ind w:left="113" w:right="113"/>
              <w:jc w:val="center"/>
              <w:rPr>
                <w:rFonts w:ascii="Arial" w:hAnsi="Arial"/>
                <w:color w:val="000000"/>
                <w:sz w:val="20"/>
              </w:rPr>
            </w:pPr>
            <w:r w:rsidRPr="00876560">
              <w:rPr>
                <w:rFonts w:ascii="Arial" w:hAnsi="Arial"/>
                <w:color w:val="000000"/>
                <w:sz w:val="20"/>
              </w:rPr>
              <w:t>Electricity</w:t>
            </w:r>
          </w:p>
          <w:p w14:paraId="46DB33D0" w14:textId="77777777" w:rsidR="003355F3" w:rsidRPr="00876560" w:rsidRDefault="003355F3" w:rsidP="00FB6278">
            <w:pPr>
              <w:ind w:left="113" w:right="113"/>
              <w:jc w:val="center"/>
              <w:rPr>
                <w:rFonts w:ascii="Arial" w:hAnsi="Arial"/>
                <w:color w:val="000000"/>
                <w:sz w:val="20"/>
              </w:rPr>
            </w:pPr>
            <w:r w:rsidRPr="00876560">
              <w:rPr>
                <w:rFonts w:ascii="Arial" w:hAnsi="Arial"/>
                <w:color w:val="000000"/>
                <w:sz w:val="20"/>
              </w:rPr>
              <w:t>(Scope 2)</w:t>
            </w:r>
          </w:p>
          <w:p w14:paraId="625F9CBC" w14:textId="77777777" w:rsidR="003355F3" w:rsidRPr="00876560" w:rsidRDefault="003355F3" w:rsidP="00FB6278">
            <w:pPr>
              <w:ind w:left="113" w:right="113"/>
              <w:jc w:val="center"/>
              <w:rPr>
                <w:rFonts w:ascii="Arial" w:hAnsi="Arial"/>
                <w:color w:val="000000"/>
                <w:sz w:val="20"/>
              </w:rPr>
            </w:pPr>
            <w:r w:rsidRPr="00876560">
              <w:rPr>
                <w:rFonts w:ascii="Arial" w:hAnsi="Arial"/>
                <w:color w:val="000000"/>
                <w:sz w:val="20"/>
              </w:rPr>
              <w:t> </w:t>
            </w:r>
          </w:p>
        </w:tc>
        <w:tc>
          <w:tcPr>
            <w:tcW w:w="444" w:type="pct"/>
            <w:tcBorders>
              <w:top w:val="single" w:sz="12" w:space="0" w:color="auto"/>
              <w:left w:val="nil"/>
              <w:bottom w:val="single" w:sz="12" w:space="0" w:color="auto"/>
              <w:right w:val="single" w:sz="12" w:space="0" w:color="auto"/>
            </w:tcBorders>
            <w:shd w:val="clear" w:color="auto" w:fill="auto"/>
            <w:noWrap/>
            <w:vAlign w:val="bottom"/>
            <w:hideMark/>
          </w:tcPr>
          <w:p w14:paraId="090CC0E7" w14:textId="77777777" w:rsidR="003355F3" w:rsidRPr="00876560" w:rsidRDefault="003355F3" w:rsidP="00FB6278">
            <w:pPr>
              <w:jc w:val="center"/>
              <w:rPr>
                <w:rFonts w:ascii="Arial" w:hAnsi="Arial"/>
                <w:color w:val="000000"/>
                <w:sz w:val="20"/>
              </w:rPr>
            </w:pPr>
            <w:r w:rsidRPr="00876560">
              <w:rPr>
                <w:rFonts w:ascii="Arial" w:hAnsi="Arial"/>
                <w:color w:val="000000"/>
                <w:sz w:val="20"/>
              </w:rPr>
              <w:t>MWhs</w:t>
            </w:r>
          </w:p>
        </w:tc>
        <w:tc>
          <w:tcPr>
            <w:tcW w:w="370"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495100E9" w14:textId="77777777" w:rsidR="003355F3" w:rsidRPr="00876560" w:rsidRDefault="003355F3" w:rsidP="00FB6278">
            <w:pPr>
              <w:jc w:val="center"/>
              <w:rPr>
                <w:rFonts w:ascii="Arial" w:hAnsi="Arial"/>
                <w:i/>
                <w:color w:val="000000"/>
                <w:sz w:val="20"/>
              </w:rPr>
            </w:pPr>
            <w:r w:rsidRPr="00876560">
              <w:rPr>
                <w:rFonts w:ascii="Arial" w:hAnsi="Arial"/>
                <w:color w:val="000000"/>
                <w:sz w:val="20"/>
              </w:rPr>
              <w:t xml:space="preserve">       6,833 </w:t>
            </w:r>
          </w:p>
        </w:tc>
        <w:tc>
          <w:tcPr>
            <w:tcW w:w="391"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439CBDD1" w14:textId="77777777" w:rsidR="003355F3" w:rsidRPr="00876560" w:rsidRDefault="003355F3" w:rsidP="00FB6278">
            <w:pPr>
              <w:jc w:val="center"/>
              <w:rPr>
                <w:rFonts w:ascii="Arial" w:hAnsi="Arial"/>
                <w:i/>
                <w:color w:val="000000"/>
                <w:sz w:val="20"/>
              </w:rPr>
            </w:pPr>
            <w:r w:rsidRPr="00876560">
              <w:rPr>
                <w:rFonts w:ascii="Arial" w:hAnsi="Arial"/>
                <w:color w:val="000000"/>
                <w:sz w:val="20"/>
              </w:rPr>
              <w:t xml:space="preserve">          7,154 </w:t>
            </w:r>
          </w:p>
        </w:tc>
        <w:tc>
          <w:tcPr>
            <w:tcW w:w="428"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6F2AC63A" w14:textId="77777777" w:rsidR="003355F3" w:rsidRPr="00876560" w:rsidRDefault="003355F3" w:rsidP="00FB6278">
            <w:pPr>
              <w:jc w:val="center"/>
              <w:rPr>
                <w:rFonts w:ascii="Arial" w:hAnsi="Arial"/>
                <w:i/>
                <w:color w:val="000000"/>
                <w:sz w:val="20"/>
              </w:rPr>
            </w:pPr>
            <w:r w:rsidRPr="00876560">
              <w:rPr>
                <w:rFonts w:ascii="Arial" w:hAnsi="Arial"/>
                <w:color w:val="000000"/>
                <w:sz w:val="20"/>
              </w:rPr>
              <w:t xml:space="preserve">       5,926 </w:t>
            </w:r>
          </w:p>
        </w:tc>
        <w:tc>
          <w:tcPr>
            <w:tcW w:w="426"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57038DF7" w14:textId="77777777" w:rsidR="003355F3" w:rsidRPr="00876560" w:rsidRDefault="003355F3" w:rsidP="00FB6278">
            <w:pPr>
              <w:jc w:val="center"/>
              <w:rPr>
                <w:rFonts w:ascii="Arial" w:hAnsi="Arial"/>
                <w:i/>
                <w:color w:val="000000"/>
                <w:sz w:val="20"/>
              </w:rPr>
            </w:pPr>
            <w:r w:rsidRPr="00876560">
              <w:rPr>
                <w:rFonts w:ascii="Arial" w:hAnsi="Arial"/>
                <w:color w:val="000000"/>
                <w:sz w:val="20"/>
              </w:rPr>
              <w:t xml:space="preserve">          4,317 </w:t>
            </w:r>
          </w:p>
        </w:tc>
        <w:tc>
          <w:tcPr>
            <w:tcW w:w="428"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3E6A0FFA" w14:textId="77777777" w:rsidR="003355F3" w:rsidRPr="00876560" w:rsidRDefault="003355F3" w:rsidP="00FB6278">
            <w:pPr>
              <w:jc w:val="center"/>
              <w:rPr>
                <w:rFonts w:ascii="Arial" w:hAnsi="Arial"/>
                <w:i/>
                <w:color w:val="000000"/>
                <w:sz w:val="20"/>
              </w:rPr>
            </w:pPr>
            <w:r w:rsidRPr="00876560">
              <w:rPr>
                <w:rFonts w:ascii="Arial" w:hAnsi="Arial"/>
                <w:color w:val="000000"/>
                <w:sz w:val="20"/>
              </w:rPr>
              <w:t xml:space="preserve">          4,179 </w:t>
            </w:r>
          </w:p>
        </w:tc>
        <w:tc>
          <w:tcPr>
            <w:tcW w:w="428"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05F3BC18" w14:textId="77777777" w:rsidR="003355F3" w:rsidRPr="00876560" w:rsidRDefault="003355F3" w:rsidP="00FB6278">
            <w:pPr>
              <w:jc w:val="center"/>
              <w:rPr>
                <w:rFonts w:ascii="Arial" w:hAnsi="Arial"/>
                <w:i/>
                <w:color w:val="000000"/>
                <w:sz w:val="20"/>
              </w:rPr>
            </w:pPr>
            <w:r w:rsidRPr="00876560">
              <w:rPr>
                <w:rFonts w:ascii="Arial" w:hAnsi="Arial"/>
                <w:color w:val="000000"/>
                <w:sz w:val="20"/>
              </w:rPr>
              <w:t xml:space="preserve">          4,359 </w:t>
            </w:r>
          </w:p>
        </w:tc>
        <w:tc>
          <w:tcPr>
            <w:tcW w:w="428" w:type="pct"/>
            <w:tcBorders>
              <w:top w:val="single" w:sz="12" w:space="0" w:color="auto"/>
              <w:left w:val="single" w:sz="12" w:space="0" w:color="auto"/>
              <w:bottom w:val="single" w:sz="12" w:space="0" w:color="auto"/>
              <w:right w:val="single" w:sz="12" w:space="0" w:color="auto"/>
            </w:tcBorders>
            <w:shd w:val="clear" w:color="auto" w:fill="auto"/>
            <w:vAlign w:val="bottom"/>
          </w:tcPr>
          <w:p w14:paraId="7283A920" w14:textId="77777777" w:rsidR="003355F3" w:rsidRPr="00876560" w:rsidRDefault="003355F3" w:rsidP="00FB6278">
            <w:pPr>
              <w:jc w:val="center"/>
              <w:rPr>
                <w:rFonts w:ascii="Arial" w:hAnsi="Arial"/>
                <w:i/>
                <w:color w:val="000000"/>
                <w:sz w:val="20"/>
              </w:rPr>
            </w:pPr>
            <w:r w:rsidRPr="00876560">
              <w:rPr>
                <w:rFonts w:ascii="Arial" w:hAnsi="Arial"/>
                <w:color w:val="000000"/>
                <w:sz w:val="20"/>
              </w:rPr>
              <w:t xml:space="preserve">          4,284 </w:t>
            </w:r>
          </w:p>
        </w:tc>
        <w:tc>
          <w:tcPr>
            <w:tcW w:w="428"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3FFC2A9C" w14:textId="77777777" w:rsidR="003355F3" w:rsidRPr="00876560" w:rsidRDefault="003355F3" w:rsidP="00FB6278">
            <w:pPr>
              <w:jc w:val="center"/>
              <w:rPr>
                <w:rFonts w:ascii="Arial" w:hAnsi="Arial"/>
                <w:i/>
                <w:color w:val="000000"/>
                <w:sz w:val="20"/>
              </w:rPr>
            </w:pPr>
            <w:r w:rsidRPr="00876560">
              <w:rPr>
                <w:rFonts w:ascii="Arial" w:hAnsi="Arial"/>
                <w:color w:val="000000"/>
                <w:sz w:val="20"/>
              </w:rPr>
              <w:t xml:space="preserve">          4,069 </w:t>
            </w:r>
          </w:p>
        </w:tc>
        <w:tc>
          <w:tcPr>
            <w:tcW w:w="422" w:type="pct"/>
            <w:tcBorders>
              <w:top w:val="single" w:sz="12" w:space="0" w:color="auto"/>
              <w:left w:val="single" w:sz="12" w:space="0" w:color="auto"/>
              <w:bottom w:val="single" w:sz="12" w:space="0" w:color="auto"/>
              <w:right w:val="single" w:sz="12" w:space="0" w:color="auto"/>
            </w:tcBorders>
            <w:shd w:val="clear" w:color="auto" w:fill="auto"/>
            <w:vAlign w:val="bottom"/>
          </w:tcPr>
          <w:p w14:paraId="47FB716C" w14:textId="77777777" w:rsidR="003355F3" w:rsidRPr="00876560" w:rsidRDefault="003355F3" w:rsidP="00FB6278">
            <w:pPr>
              <w:jc w:val="center"/>
              <w:rPr>
                <w:rFonts w:ascii="Arial" w:hAnsi="Arial"/>
                <w:color w:val="000000"/>
                <w:sz w:val="20"/>
              </w:rPr>
            </w:pPr>
            <w:r w:rsidRPr="00876560">
              <w:rPr>
                <w:rFonts w:ascii="Arial" w:hAnsi="Arial"/>
                <w:color w:val="000000"/>
                <w:sz w:val="20"/>
              </w:rPr>
              <w:t xml:space="preserve">            4,720 </w:t>
            </w:r>
          </w:p>
        </w:tc>
      </w:tr>
      <w:tr w:rsidR="00A47B87" w:rsidRPr="003355F3" w14:paraId="2B2DECE6" w14:textId="77777777" w:rsidTr="00A47B87">
        <w:trPr>
          <w:cantSplit/>
          <w:trHeight w:val="675"/>
        </w:trPr>
        <w:tc>
          <w:tcPr>
            <w:tcW w:w="807" w:type="pct"/>
            <w:vMerge/>
            <w:shd w:val="clear" w:color="auto" w:fill="auto"/>
            <w:noWrap/>
            <w:textDirection w:val="btLr"/>
            <w:vAlign w:val="center"/>
            <w:hideMark/>
          </w:tcPr>
          <w:p w14:paraId="393DCEE9" w14:textId="77777777" w:rsidR="003355F3" w:rsidRPr="00952C33" w:rsidRDefault="003355F3" w:rsidP="00FB6278">
            <w:pPr>
              <w:ind w:left="113" w:right="113"/>
              <w:jc w:val="center"/>
              <w:rPr>
                <w:rFonts w:ascii="Arial" w:hAnsi="Arial"/>
                <w:color w:val="000000"/>
                <w:sz w:val="20"/>
              </w:rPr>
            </w:pPr>
          </w:p>
        </w:tc>
        <w:tc>
          <w:tcPr>
            <w:tcW w:w="444" w:type="pct"/>
            <w:tcBorders>
              <w:top w:val="single" w:sz="12" w:space="0" w:color="auto"/>
              <w:left w:val="nil"/>
              <w:bottom w:val="single" w:sz="12" w:space="0" w:color="auto"/>
              <w:right w:val="single" w:sz="12" w:space="0" w:color="auto"/>
            </w:tcBorders>
            <w:shd w:val="clear" w:color="auto" w:fill="auto"/>
            <w:noWrap/>
            <w:vAlign w:val="bottom"/>
            <w:hideMark/>
          </w:tcPr>
          <w:p w14:paraId="1337A427" w14:textId="77777777" w:rsidR="003355F3" w:rsidRPr="00952C33" w:rsidRDefault="003355F3" w:rsidP="00FB6278">
            <w:pPr>
              <w:jc w:val="center"/>
              <w:rPr>
                <w:rFonts w:ascii="Arial" w:hAnsi="Arial"/>
                <w:color w:val="000000"/>
                <w:sz w:val="20"/>
              </w:rPr>
            </w:pPr>
            <w:r w:rsidRPr="00952C33">
              <w:rPr>
                <w:rFonts w:ascii="Arial" w:hAnsi="Arial"/>
                <w:color w:val="000000"/>
                <w:sz w:val="20"/>
              </w:rPr>
              <w:t>tCO2e</w:t>
            </w:r>
          </w:p>
        </w:tc>
        <w:tc>
          <w:tcPr>
            <w:tcW w:w="370"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58A12809" w14:textId="77777777" w:rsidR="003355F3" w:rsidRPr="00952C33" w:rsidRDefault="003355F3" w:rsidP="00FB6278">
            <w:pPr>
              <w:jc w:val="center"/>
              <w:rPr>
                <w:rFonts w:ascii="Arial" w:hAnsi="Arial"/>
                <w:i/>
                <w:color w:val="000000"/>
                <w:sz w:val="20"/>
              </w:rPr>
            </w:pPr>
            <w:r w:rsidRPr="00952C33">
              <w:rPr>
                <w:rFonts w:ascii="Arial" w:hAnsi="Arial"/>
                <w:color w:val="000000"/>
                <w:sz w:val="20"/>
              </w:rPr>
              <w:t>3044</w:t>
            </w:r>
          </w:p>
        </w:tc>
        <w:tc>
          <w:tcPr>
            <w:tcW w:w="391"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3989C021" w14:textId="77777777" w:rsidR="003355F3" w:rsidRPr="00952C33" w:rsidRDefault="003355F3" w:rsidP="00FB6278">
            <w:pPr>
              <w:jc w:val="center"/>
              <w:rPr>
                <w:rFonts w:ascii="Arial" w:hAnsi="Arial"/>
                <w:i/>
                <w:color w:val="000000"/>
                <w:sz w:val="20"/>
              </w:rPr>
            </w:pPr>
            <w:r w:rsidRPr="00952C33">
              <w:rPr>
                <w:rFonts w:ascii="Arial" w:hAnsi="Arial"/>
                <w:color w:val="000000"/>
                <w:sz w:val="20"/>
              </w:rPr>
              <w:t xml:space="preserve">          3,536 </w:t>
            </w:r>
          </w:p>
        </w:tc>
        <w:tc>
          <w:tcPr>
            <w:tcW w:w="428"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749C8A2D" w14:textId="77777777" w:rsidR="003355F3" w:rsidRPr="00952C33" w:rsidRDefault="003355F3" w:rsidP="00FB6278">
            <w:pPr>
              <w:jc w:val="center"/>
              <w:rPr>
                <w:rFonts w:ascii="Arial" w:hAnsi="Arial"/>
                <w:i/>
                <w:color w:val="000000"/>
                <w:sz w:val="20"/>
              </w:rPr>
            </w:pPr>
            <w:r w:rsidRPr="00952C33">
              <w:rPr>
                <w:rFonts w:ascii="Arial" w:hAnsi="Arial"/>
                <w:color w:val="000000"/>
                <w:sz w:val="20"/>
              </w:rPr>
              <w:t xml:space="preserve">       2,739 </w:t>
            </w:r>
          </w:p>
        </w:tc>
        <w:tc>
          <w:tcPr>
            <w:tcW w:w="426"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346DD889" w14:textId="77777777" w:rsidR="003355F3" w:rsidRPr="00952C33" w:rsidRDefault="003355F3" w:rsidP="00FB6278">
            <w:pPr>
              <w:jc w:val="center"/>
              <w:rPr>
                <w:rFonts w:ascii="Arial" w:hAnsi="Arial"/>
                <w:i/>
                <w:color w:val="000000"/>
                <w:sz w:val="20"/>
              </w:rPr>
            </w:pPr>
            <w:r w:rsidRPr="00952C33">
              <w:rPr>
                <w:rFonts w:ascii="Arial" w:hAnsi="Arial"/>
                <w:color w:val="000000"/>
                <w:sz w:val="20"/>
              </w:rPr>
              <w:t xml:space="preserve">          1,779 </w:t>
            </w:r>
          </w:p>
        </w:tc>
        <w:tc>
          <w:tcPr>
            <w:tcW w:w="428"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7518C0BB" w14:textId="77777777" w:rsidR="003355F3" w:rsidRPr="00952C33" w:rsidRDefault="003355F3" w:rsidP="00FB6278">
            <w:pPr>
              <w:jc w:val="center"/>
              <w:rPr>
                <w:rFonts w:ascii="Arial" w:hAnsi="Arial"/>
                <w:i/>
                <w:color w:val="000000"/>
                <w:sz w:val="20"/>
              </w:rPr>
            </w:pPr>
            <w:r w:rsidRPr="00952C33">
              <w:rPr>
                <w:rFonts w:ascii="Arial" w:hAnsi="Arial"/>
                <w:color w:val="000000"/>
                <w:sz w:val="20"/>
              </w:rPr>
              <w:t xml:space="preserve">          1,469 </w:t>
            </w:r>
          </w:p>
        </w:tc>
        <w:tc>
          <w:tcPr>
            <w:tcW w:w="428"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51A6B247" w14:textId="77777777" w:rsidR="003355F3" w:rsidRPr="00952C33" w:rsidRDefault="003355F3" w:rsidP="00FB6278">
            <w:pPr>
              <w:jc w:val="center"/>
              <w:rPr>
                <w:rFonts w:ascii="Arial" w:hAnsi="Arial"/>
                <w:i/>
                <w:color w:val="000000"/>
                <w:sz w:val="20"/>
              </w:rPr>
            </w:pPr>
            <w:r w:rsidRPr="00952C33">
              <w:rPr>
                <w:rFonts w:ascii="Arial" w:hAnsi="Arial"/>
                <w:color w:val="000000"/>
                <w:sz w:val="20"/>
              </w:rPr>
              <w:t xml:space="preserve">          1,234 </w:t>
            </w:r>
          </w:p>
        </w:tc>
        <w:tc>
          <w:tcPr>
            <w:tcW w:w="428" w:type="pct"/>
            <w:tcBorders>
              <w:top w:val="single" w:sz="12" w:space="0" w:color="auto"/>
              <w:left w:val="single" w:sz="12" w:space="0" w:color="auto"/>
              <w:bottom w:val="single" w:sz="12" w:space="0" w:color="auto"/>
              <w:right w:val="single" w:sz="12" w:space="0" w:color="auto"/>
            </w:tcBorders>
            <w:shd w:val="clear" w:color="auto" w:fill="auto"/>
            <w:vAlign w:val="bottom"/>
          </w:tcPr>
          <w:p w14:paraId="031240D0" w14:textId="77777777" w:rsidR="003355F3" w:rsidRPr="00952C33" w:rsidRDefault="003355F3" w:rsidP="00FB6278">
            <w:pPr>
              <w:jc w:val="center"/>
              <w:rPr>
                <w:rFonts w:ascii="Arial" w:hAnsi="Arial"/>
                <w:i/>
                <w:color w:val="000000"/>
                <w:sz w:val="20"/>
              </w:rPr>
            </w:pPr>
            <w:r w:rsidRPr="00952C33">
              <w:rPr>
                <w:rFonts w:ascii="Arial" w:hAnsi="Arial"/>
                <w:color w:val="000000"/>
                <w:sz w:val="20"/>
              </w:rPr>
              <w:t xml:space="preserve">          1,095 </w:t>
            </w:r>
          </w:p>
        </w:tc>
        <w:tc>
          <w:tcPr>
            <w:tcW w:w="428"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6E4D1811" w14:textId="77777777" w:rsidR="003355F3" w:rsidRPr="00952C33" w:rsidRDefault="003355F3" w:rsidP="00FB6278">
            <w:pPr>
              <w:jc w:val="center"/>
              <w:rPr>
                <w:rFonts w:ascii="Arial" w:hAnsi="Arial"/>
                <w:i/>
                <w:color w:val="000000"/>
                <w:sz w:val="20"/>
              </w:rPr>
            </w:pPr>
            <w:r w:rsidRPr="00952C33">
              <w:rPr>
                <w:rFonts w:ascii="Arial" w:hAnsi="Arial"/>
                <w:color w:val="000000"/>
                <w:sz w:val="20"/>
              </w:rPr>
              <w:t xml:space="preserve">          1,040 </w:t>
            </w:r>
          </w:p>
        </w:tc>
        <w:tc>
          <w:tcPr>
            <w:tcW w:w="422" w:type="pct"/>
            <w:tcBorders>
              <w:top w:val="single" w:sz="12" w:space="0" w:color="auto"/>
              <w:left w:val="single" w:sz="12" w:space="0" w:color="auto"/>
              <w:bottom w:val="single" w:sz="12" w:space="0" w:color="auto"/>
              <w:right w:val="single" w:sz="12" w:space="0" w:color="auto"/>
            </w:tcBorders>
            <w:shd w:val="clear" w:color="auto" w:fill="auto"/>
            <w:vAlign w:val="bottom"/>
          </w:tcPr>
          <w:p w14:paraId="1EA14056" w14:textId="77777777" w:rsidR="003355F3" w:rsidRPr="00952C33" w:rsidRDefault="003355F3" w:rsidP="00FB6278">
            <w:pPr>
              <w:jc w:val="center"/>
              <w:rPr>
                <w:rFonts w:ascii="Arial" w:hAnsi="Arial"/>
                <w:color w:val="000000"/>
                <w:sz w:val="20"/>
              </w:rPr>
            </w:pPr>
            <w:r w:rsidRPr="00952C33">
              <w:rPr>
                <w:rFonts w:ascii="Arial" w:hAnsi="Arial"/>
                <w:color w:val="000000"/>
                <w:sz w:val="20"/>
              </w:rPr>
              <w:t>1002</w:t>
            </w:r>
          </w:p>
        </w:tc>
      </w:tr>
      <w:tr w:rsidR="00A47B87" w:rsidRPr="003355F3" w14:paraId="0172DD98" w14:textId="77777777" w:rsidTr="00A47B87">
        <w:trPr>
          <w:cantSplit/>
          <w:trHeight w:val="397"/>
        </w:trPr>
        <w:tc>
          <w:tcPr>
            <w:tcW w:w="807" w:type="pct"/>
            <w:vMerge w:val="restart"/>
            <w:shd w:val="clear" w:color="auto" w:fill="auto"/>
            <w:noWrap/>
            <w:textDirection w:val="btLr"/>
            <w:vAlign w:val="center"/>
          </w:tcPr>
          <w:p w14:paraId="1BE5FC3D" w14:textId="77777777" w:rsidR="003355F3" w:rsidRPr="00876560" w:rsidRDefault="003355F3" w:rsidP="00FB6278">
            <w:pPr>
              <w:ind w:left="113" w:right="113"/>
              <w:jc w:val="center"/>
              <w:rPr>
                <w:rFonts w:ascii="Arial" w:hAnsi="Arial"/>
                <w:color w:val="000000"/>
                <w:sz w:val="20"/>
              </w:rPr>
            </w:pPr>
            <w:r w:rsidRPr="00876560">
              <w:rPr>
                <w:rFonts w:ascii="Arial" w:hAnsi="Arial"/>
                <w:color w:val="000000"/>
                <w:sz w:val="20"/>
              </w:rPr>
              <w:t>Electricity</w:t>
            </w:r>
          </w:p>
          <w:p w14:paraId="610A6AFA" w14:textId="77777777" w:rsidR="003355F3" w:rsidRPr="00876560" w:rsidRDefault="003355F3" w:rsidP="00FB6278">
            <w:pPr>
              <w:ind w:left="113" w:right="113"/>
              <w:jc w:val="center"/>
              <w:rPr>
                <w:rFonts w:ascii="Arial" w:hAnsi="Arial"/>
                <w:color w:val="000000"/>
                <w:sz w:val="20"/>
              </w:rPr>
            </w:pPr>
            <w:r w:rsidRPr="00876560">
              <w:rPr>
                <w:rFonts w:ascii="Arial" w:hAnsi="Arial"/>
                <w:color w:val="000000"/>
                <w:sz w:val="20"/>
              </w:rPr>
              <w:t>(Scope 3)</w:t>
            </w:r>
          </w:p>
        </w:tc>
        <w:tc>
          <w:tcPr>
            <w:tcW w:w="444" w:type="pct"/>
            <w:tcBorders>
              <w:top w:val="single" w:sz="12" w:space="0" w:color="auto"/>
              <w:left w:val="nil"/>
              <w:bottom w:val="single" w:sz="12" w:space="0" w:color="auto"/>
              <w:right w:val="single" w:sz="12" w:space="0" w:color="auto"/>
            </w:tcBorders>
            <w:shd w:val="clear" w:color="auto" w:fill="auto"/>
            <w:noWrap/>
            <w:vAlign w:val="bottom"/>
          </w:tcPr>
          <w:p w14:paraId="67B6E936" w14:textId="77777777" w:rsidR="003355F3" w:rsidRPr="00876560" w:rsidRDefault="003355F3" w:rsidP="00FB6278">
            <w:pPr>
              <w:jc w:val="center"/>
              <w:rPr>
                <w:rFonts w:ascii="Arial" w:hAnsi="Arial"/>
                <w:color w:val="000000"/>
                <w:sz w:val="20"/>
              </w:rPr>
            </w:pPr>
            <w:r w:rsidRPr="00876560">
              <w:rPr>
                <w:rFonts w:ascii="Arial" w:hAnsi="Arial"/>
                <w:color w:val="000000"/>
                <w:sz w:val="20"/>
              </w:rPr>
              <w:t>MWhs</w:t>
            </w:r>
          </w:p>
        </w:tc>
        <w:tc>
          <w:tcPr>
            <w:tcW w:w="370"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6F1DA823" w14:textId="77777777" w:rsidR="003355F3" w:rsidRPr="00876560" w:rsidRDefault="003355F3" w:rsidP="00FB6278">
            <w:pPr>
              <w:jc w:val="center"/>
              <w:rPr>
                <w:rFonts w:ascii="Arial" w:hAnsi="Arial"/>
                <w:i/>
                <w:color w:val="000000"/>
                <w:sz w:val="20"/>
              </w:rPr>
            </w:pPr>
            <w:r w:rsidRPr="00876560">
              <w:rPr>
                <w:rFonts w:ascii="Arial" w:hAnsi="Arial"/>
                <w:color w:val="000000"/>
                <w:sz w:val="20"/>
              </w:rPr>
              <w:t xml:space="preserve">       6,878 </w:t>
            </w:r>
          </w:p>
        </w:tc>
        <w:tc>
          <w:tcPr>
            <w:tcW w:w="391"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5FC839A7" w14:textId="77777777" w:rsidR="003355F3" w:rsidRPr="00876560" w:rsidRDefault="003355F3" w:rsidP="00FB6278">
            <w:pPr>
              <w:jc w:val="center"/>
              <w:rPr>
                <w:rFonts w:ascii="Arial" w:hAnsi="Arial"/>
                <w:i/>
                <w:color w:val="000000"/>
                <w:sz w:val="20"/>
              </w:rPr>
            </w:pPr>
            <w:r w:rsidRPr="00876560">
              <w:rPr>
                <w:rFonts w:ascii="Arial" w:hAnsi="Arial"/>
                <w:color w:val="000000"/>
                <w:sz w:val="20"/>
              </w:rPr>
              <w:t xml:space="preserve">          7,057 </w:t>
            </w:r>
          </w:p>
        </w:tc>
        <w:tc>
          <w:tcPr>
            <w:tcW w:w="428"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1F58AE16" w14:textId="77777777" w:rsidR="003355F3" w:rsidRPr="00876560" w:rsidRDefault="003355F3" w:rsidP="00FB6278">
            <w:pPr>
              <w:jc w:val="center"/>
              <w:rPr>
                <w:rFonts w:ascii="Arial" w:hAnsi="Arial"/>
                <w:i/>
                <w:color w:val="000000"/>
                <w:sz w:val="20"/>
              </w:rPr>
            </w:pPr>
            <w:r w:rsidRPr="00876560">
              <w:rPr>
                <w:rFonts w:ascii="Arial" w:hAnsi="Arial"/>
                <w:color w:val="000000"/>
                <w:sz w:val="20"/>
              </w:rPr>
              <w:t xml:space="preserve">       6,053 </w:t>
            </w:r>
          </w:p>
        </w:tc>
        <w:tc>
          <w:tcPr>
            <w:tcW w:w="426"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281B437B" w14:textId="77777777" w:rsidR="003355F3" w:rsidRPr="00876560" w:rsidRDefault="003355F3" w:rsidP="00FB6278">
            <w:pPr>
              <w:jc w:val="center"/>
              <w:rPr>
                <w:rFonts w:ascii="Arial" w:hAnsi="Arial"/>
                <w:i/>
                <w:color w:val="000000"/>
                <w:sz w:val="20"/>
              </w:rPr>
            </w:pPr>
            <w:r w:rsidRPr="00876560">
              <w:rPr>
                <w:rFonts w:ascii="Arial" w:hAnsi="Arial"/>
                <w:color w:val="000000"/>
                <w:sz w:val="20"/>
              </w:rPr>
              <w:t xml:space="preserve">          4,347 </w:t>
            </w:r>
          </w:p>
        </w:tc>
        <w:tc>
          <w:tcPr>
            <w:tcW w:w="428"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38F89615" w14:textId="77777777" w:rsidR="003355F3" w:rsidRPr="00876560" w:rsidRDefault="003355F3" w:rsidP="00FB6278">
            <w:pPr>
              <w:jc w:val="center"/>
              <w:rPr>
                <w:rFonts w:ascii="Arial" w:hAnsi="Arial"/>
                <w:i/>
                <w:color w:val="000000"/>
                <w:sz w:val="20"/>
              </w:rPr>
            </w:pPr>
            <w:r w:rsidRPr="00876560">
              <w:rPr>
                <w:rFonts w:ascii="Arial" w:hAnsi="Arial"/>
                <w:color w:val="000000"/>
                <w:sz w:val="20"/>
              </w:rPr>
              <w:t xml:space="preserve">          4,381 </w:t>
            </w:r>
          </w:p>
        </w:tc>
        <w:tc>
          <w:tcPr>
            <w:tcW w:w="428"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33A279A6" w14:textId="77777777" w:rsidR="003355F3" w:rsidRPr="00876560" w:rsidRDefault="003355F3" w:rsidP="00FB6278">
            <w:pPr>
              <w:jc w:val="center"/>
              <w:rPr>
                <w:rFonts w:ascii="Arial" w:hAnsi="Arial"/>
                <w:i/>
                <w:color w:val="000000"/>
                <w:sz w:val="20"/>
              </w:rPr>
            </w:pPr>
            <w:r w:rsidRPr="00876560">
              <w:rPr>
                <w:rFonts w:ascii="Arial" w:hAnsi="Arial"/>
                <w:color w:val="000000"/>
                <w:sz w:val="20"/>
              </w:rPr>
              <w:t xml:space="preserve">          4,107 </w:t>
            </w:r>
          </w:p>
        </w:tc>
        <w:tc>
          <w:tcPr>
            <w:tcW w:w="428" w:type="pct"/>
            <w:tcBorders>
              <w:top w:val="single" w:sz="12" w:space="0" w:color="auto"/>
              <w:left w:val="single" w:sz="12" w:space="0" w:color="auto"/>
              <w:bottom w:val="single" w:sz="12" w:space="0" w:color="auto"/>
              <w:right w:val="single" w:sz="12" w:space="0" w:color="auto"/>
            </w:tcBorders>
            <w:shd w:val="clear" w:color="auto" w:fill="auto"/>
            <w:vAlign w:val="bottom"/>
          </w:tcPr>
          <w:p w14:paraId="7B219CDC" w14:textId="77777777" w:rsidR="003355F3" w:rsidRPr="00876560" w:rsidRDefault="003355F3" w:rsidP="00FB6278">
            <w:pPr>
              <w:jc w:val="center"/>
              <w:rPr>
                <w:rFonts w:ascii="Arial" w:hAnsi="Arial"/>
                <w:i/>
                <w:color w:val="000000"/>
                <w:sz w:val="20"/>
              </w:rPr>
            </w:pPr>
            <w:r w:rsidRPr="00876560">
              <w:rPr>
                <w:rFonts w:ascii="Arial" w:hAnsi="Arial"/>
                <w:color w:val="000000"/>
                <w:sz w:val="20"/>
              </w:rPr>
              <w:t xml:space="preserve">          4,286 </w:t>
            </w:r>
          </w:p>
        </w:tc>
        <w:tc>
          <w:tcPr>
            <w:tcW w:w="428"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538B8FAB" w14:textId="77777777" w:rsidR="003355F3" w:rsidRPr="00876560" w:rsidRDefault="003355F3" w:rsidP="00FB6278">
            <w:pPr>
              <w:jc w:val="center"/>
              <w:rPr>
                <w:rFonts w:ascii="Arial" w:hAnsi="Arial"/>
                <w:i/>
                <w:color w:val="000000"/>
                <w:sz w:val="20"/>
              </w:rPr>
            </w:pPr>
            <w:r w:rsidRPr="00876560">
              <w:rPr>
                <w:rFonts w:ascii="Arial" w:hAnsi="Arial"/>
                <w:color w:val="000000"/>
                <w:sz w:val="20"/>
              </w:rPr>
              <w:t xml:space="preserve">          4,055 </w:t>
            </w:r>
          </w:p>
        </w:tc>
        <w:tc>
          <w:tcPr>
            <w:tcW w:w="422" w:type="pct"/>
            <w:tcBorders>
              <w:top w:val="single" w:sz="12" w:space="0" w:color="auto"/>
              <w:left w:val="single" w:sz="12" w:space="0" w:color="auto"/>
              <w:bottom w:val="single" w:sz="12" w:space="0" w:color="auto"/>
              <w:right w:val="single" w:sz="12" w:space="0" w:color="auto"/>
            </w:tcBorders>
            <w:shd w:val="clear" w:color="auto" w:fill="auto"/>
            <w:vAlign w:val="bottom"/>
          </w:tcPr>
          <w:p w14:paraId="2C1374C1" w14:textId="77777777" w:rsidR="003355F3" w:rsidRPr="00876560" w:rsidRDefault="003355F3" w:rsidP="00FB6278">
            <w:pPr>
              <w:jc w:val="center"/>
              <w:rPr>
                <w:rFonts w:ascii="Arial" w:hAnsi="Arial"/>
                <w:i/>
                <w:color w:val="000000"/>
                <w:sz w:val="20"/>
              </w:rPr>
            </w:pPr>
            <w:r w:rsidRPr="00876560">
              <w:rPr>
                <w:rFonts w:ascii="Arial" w:hAnsi="Arial"/>
                <w:color w:val="000000"/>
                <w:sz w:val="20"/>
              </w:rPr>
              <w:t xml:space="preserve">            4,087 </w:t>
            </w:r>
          </w:p>
        </w:tc>
      </w:tr>
      <w:tr w:rsidR="00A47B87" w:rsidRPr="003355F3" w14:paraId="00C51AC6" w14:textId="77777777" w:rsidTr="00A47B87">
        <w:trPr>
          <w:cantSplit/>
          <w:trHeight w:val="749"/>
        </w:trPr>
        <w:tc>
          <w:tcPr>
            <w:tcW w:w="807" w:type="pct"/>
            <w:vMerge/>
            <w:shd w:val="clear" w:color="auto" w:fill="auto"/>
            <w:noWrap/>
            <w:vAlign w:val="center"/>
          </w:tcPr>
          <w:p w14:paraId="2EABBCA7" w14:textId="77777777" w:rsidR="003355F3" w:rsidRPr="00952C33" w:rsidRDefault="003355F3" w:rsidP="00FB6278">
            <w:pPr>
              <w:jc w:val="center"/>
              <w:rPr>
                <w:rFonts w:ascii="Arial" w:hAnsi="Arial"/>
                <w:color w:val="000000"/>
                <w:sz w:val="20"/>
              </w:rPr>
            </w:pPr>
          </w:p>
        </w:tc>
        <w:tc>
          <w:tcPr>
            <w:tcW w:w="444" w:type="pct"/>
            <w:tcBorders>
              <w:top w:val="single" w:sz="12" w:space="0" w:color="auto"/>
              <w:left w:val="nil"/>
              <w:bottom w:val="single" w:sz="12" w:space="0" w:color="auto"/>
              <w:right w:val="single" w:sz="12" w:space="0" w:color="auto"/>
            </w:tcBorders>
            <w:shd w:val="clear" w:color="auto" w:fill="auto"/>
            <w:noWrap/>
            <w:vAlign w:val="bottom"/>
          </w:tcPr>
          <w:p w14:paraId="0D71217F" w14:textId="77777777" w:rsidR="003355F3" w:rsidRPr="00952C33" w:rsidRDefault="003355F3" w:rsidP="00FB6278">
            <w:pPr>
              <w:jc w:val="center"/>
              <w:rPr>
                <w:rFonts w:ascii="Arial" w:hAnsi="Arial"/>
                <w:color w:val="000000"/>
                <w:sz w:val="20"/>
              </w:rPr>
            </w:pPr>
            <w:r w:rsidRPr="00952C33">
              <w:rPr>
                <w:rFonts w:ascii="Arial" w:hAnsi="Arial"/>
                <w:color w:val="000000"/>
                <w:sz w:val="20"/>
              </w:rPr>
              <w:t>tCO2e</w:t>
            </w:r>
          </w:p>
        </w:tc>
        <w:tc>
          <w:tcPr>
            <w:tcW w:w="370"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481EC769" w14:textId="77777777" w:rsidR="003355F3" w:rsidRPr="00952C33" w:rsidRDefault="003355F3" w:rsidP="00FB6278">
            <w:pPr>
              <w:jc w:val="center"/>
              <w:rPr>
                <w:rFonts w:ascii="Arial" w:hAnsi="Arial"/>
                <w:i/>
                <w:color w:val="000000"/>
                <w:sz w:val="20"/>
              </w:rPr>
            </w:pPr>
            <w:r w:rsidRPr="00952C33">
              <w:rPr>
                <w:rFonts w:ascii="Arial" w:hAnsi="Arial"/>
                <w:color w:val="000000"/>
                <w:sz w:val="20"/>
              </w:rPr>
              <w:t>262</w:t>
            </w:r>
          </w:p>
        </w:tc>
        <w:tc>
          <w:tcPr>
            <w:tcW w:w="391"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5FD4E72A" w14:textId="77777777" w:rsidR="003355F3" w:rsidRPr="00952C33" w:rsidRDefault="003355F3" w:rsidP="00FB6278">
            <w:pPr>
              <w:jc w:val="center"/>
              <w:rPr>
                <w:rFonts w:ascii="Arial" w:hAnsi="Arial"/>
                <w:i/>
                <w:color w:val="000000"/>
                <w:sz w:val="20"/>
              </w:rPr>
            </w:pPr>
            <w:r w:rsidRPr="00952C33">
              <w:rPr>
                <w:rFonts w:ascii="Arial" w:hAnsi="Arial"/>
                <w:color w:val="000000"/>
                <w:sz w:val="20"/>
              </w:rPr>
              <w:t xml:space="preserve">             305 </w:t>
            </w:r>
          </w:p>
        </w:tc>
        <w:tc>
          <w:tcPr>
            <w:tcW w:w="428"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05B51A84" w14:textId="77777777" w:rsidR="003355F3" w:rsidRPr="00952C33" w:rsidRDefault="003355F3" w:rsidP="00FB6278">
            <w:pPr>
              <w:jc w:val="center"/>
              <w:rPr>
                <w:rFonts w:ascii="Arial" w:hAnsi="Arial"/>
                <w:i/>
                <w:color w:val="000000"/>
                <w:sz w:val="20"/>
              </w:rPr>
            </w:pPr>
            <w:r w:rsidRPr="00952C33">
              <w:rPr>
                <w:rFonts w:ascii="Arial" w:hAnsi="Arial"/>
                <w:color w:val="000000"/>
                <w:sz w:val="20"/>
              </w:rPr>
              <w:t xml:space="preserve">           231 </w:t>
            </w:r>
          </w:p>
        </w:tc>
        <w:tc>
          <w:tcPr>
            <w:tcW w:w="426"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0FC6EEC8" w14:textId="77777777" w:rsidR="003355F3" w:rsidRPr="00952C33" w:rsidRDefault="003355F3" w:rsidP="00FB6278">
            <w:pPr>
              <w:jc w:val="center"/>
              <w:rPr>
                <w:rFonts w:ascii="Arial" w:hAnsi="Arial"/>
                <w:i/>
                <w:color w:val="000000"/>
                <w:sz w:val="20"/>
              </w:rPr>
            </w:pPr>
            <w:r w:rsidRPr="00952C33">
              <w:rPr>
                <w:rFonts w:ascii="Arial" w:hAnsi="Arial"/>
                <w:color w:val="000000"/>
                <w:sz w:val="20"/>
              </w:rPr>
              <w:t xml:space="preserve">             162 </w:t>
            </w:r>
          </w:p>
        </w:tc>
        <w:tc>
          <w:tcPr>
            <w:tcW w:w="428"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5DC3244E" w14:textId="77777777" w:rsidR="003355F3" w:rsidRPr="00952C33" w:rsidRDefault="003355F3" w:rsidP="00FB6278">
            <w:pPr>
              <w:jc w:val="center"/>
              <w:rPr>
                <w:rFonts w:ascii="Arial" w:hAnsi="Arial"/>
                <w:i/>
                <w:color w:val="000000"/>
                <w:sz w:val="20"/>
              </w:rPr>
            </w:pPr>
            <w:r w:rsidRPr="00952C33">
              <w:rPr>
                <w:rFonts w:ascii="Arial" w:hAnsi="Arial"/>
                <w:color w:val="000000"/>
                <w:sz w:val="20"/>
              </w:rPr>
              <w:t xml:space="preserve">             144 </w:t>
            </w:r>
          </w:p>
        </w:tc>
        <w:tc>
          <w:tcPr>
            <w:tcW w:w="428"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2254A046" w14:textId="77777777" w:rsidR="003355F3" w:rsidRPr="00952C33" w:rsidRDefault="003355F3" w:rsidP="00FB6278">
            <w:pPr>
              <w:jc w:val="center"/>
              <w:rPr>
                <w:rFonts w:ascii="Arial" w:hAnsi="Arial"/>
                <w:i/>
                <w:color w:val="000000"/>
                <w:sz w:val="20"/>
              </w:rPr>
            </w:pPr>
            <w:r w:rsidRPr="00952C33">
              <w:rPr>
                <w:rFonts w:ascii="Arial" w:hAnsi="Arial"/>
                <w:color w:val="000000"/>
                <w:sz w:val="20"/>
              </w:rPr>
              <w:t xml:space="preserve">             135 </w:t>
            </w:r>
          </w:p>
        </w:tc>
        <w:tc>
          <w:tcPr>
            <w:tcW w:w="428" w:type="pct"/>
            <w:tcBorders>
              <w:top w:val="single" w:sz="12" w:space="0" w:color="auto"/>
              <w:left w:val="single" w:sz="12" w:space="0" w:color="auto"/>
              <w:bottom w:val="single" w:sz="12" w:space="0" w:color="auto"/>
              <w:right w:val="single" w:sz="12" w:space="0" w:color="auto"/>
            </w:tcBorders>
            <w:shd w:val="clear" w:color="auto" w:fill="auto"/>
            <w:vAlign w:val="bottom"/>
          </w:tcPr>
          <w:p w14:paraId="23957267" w14:textId="77777777" w:rsidR="003355F3" w:rsidRPr="00952C33" w:rsidRDefault="003355F3" w:rsidP="00FB6278">
            <w:pPr>
              <w:jc w:val="center"/>
              <w:rPr>
                <w:rFonts w:ascii="Arial" w:hAnsi="Arial"/>
                <w:i/>
                <w:color w:val="000000"/>
                <w:sz w:val="20"/>
              </w:rPr>
            </w:pPr>
            <w:r w:rsidRPr="00952C33">
              <w:rPr>
                <w:rFonts w:ascii="Arial" w:hAnsi="Arial"/>
                <w:color w:val="000000"/>
                <w:sz w:val="20"/>
              </w:rPr>
              <w:t xml:space="preserve">               93 </w:t>
            </w:r>
          </w:p>
        </w:tc>
        <w:tc>
          <w:tcPr>
            <w:tcW w:w="428"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37528C25" w14:textId="77777777" w:rsidR="003355F3" w:rsidRPr="00952C33" w:rsidRDefault="003355F3" w:rsidP="00FB6278">
            <w:pPr>
              <w:jc w:val="center"/>
              <w:rPr>
                <w:rFonts w:ascii="Arial" w:hAnsi="Arial"/>
                <w:i/>
                <w:color w:val="000000"/>
                <w:sz w:val="20"/>
              </w:rPr>
            </w:pPr>
            <w:r w:rsidRPr="00952C33">
              <w:rPr>
                <w:rFonts w:ascii="Arial" w:hAnsi="Arial"/>
                <w:color w:val="000000"/>
                <w:sz w:val="20"/>
              </w:rPr>
              <w:t xml:space="preserve">               88 </w:t>
            </w:r>
          </w:p>
        </w:tc>
        <w:tc>
          <w:tcPr>
            <w:tcW w:w="422" w:type="pct"/>
            <w:tcBorders>
              <w:top w:val="single" w:sz="12" w:space="0" w:color="auto"/>
              <w:left w:val="single" w:sz="12" w:space="0" w:color="auto"/>
              <w:bottom w:val="single" w:sz="12" w:space="0" w:color="auto"/>
              <w:right w:val="single" w:sz="12" w:space="0" w:color="auto"/>
            </w:tcBorders>
            <w:shd w:val="clear" w:color="auto" w:fill="auto"/>
            <w:vAlign w:val="bottom"/>
          </w:tcPr>
          <w:p w14:paraId="74D74027" w14:textId="77777777" w:rsidR="003355F3" w:rsidRPr="00952C33" w:rsidRDefault="003355F3" w:rsidP="00FB6278">
            <w:pPr>
              <w:jc w:val="center"/>
              <w:rPr>
                <w:rFonts w:ascii="Arial" w:hAnsi="Arial"/>
                <w:i/>
                <w:color w:val="000000"/>
                <w:sz w:val="20"/>
              </w:rPr>
            </w:pPr>
            <w:r w:rsidRPr="00952C33">
              <w:rPr>
                <w:rFonts w:ascii="Arial" w:hAnsi="Arial"/>
                <w:color w:val="000000"/>
                <w:sz w:val="20"/>
              </w:rPr>
              <w:t>89</w:t>
            </w:r>
          </w:p>
        </w:tc>
      </w:tr>
      <w:tr w:rsidR="00A47B87" w:rsidRPr="003355F3" w14:paraId="273E729A" w14:textId="77777777" w:rsidTr="00A47B87">
        <w:trPr>
          <w:cantSplit/>
          <w:trHeight w:val="300"/>
        </w:trPr>
        <w:tc>
          <w:tcPr>
            <w:tcW w:w="807" w:type="pct"/>
            <w:shd w:val="clear" w:color="auto" w:fill="auto"/>
            <w:noWrap/>
            <w:vAlign w:val="center"/>
          </w:tcPr>
          <w:p w14:paraId="24A0C21F" w14:textId="77777777" w:rsidR="003355F3" w:rsidRPr="00CD4F89" w:rsidRDefault="003355F3" w:rsidP="00FB6278">
            <w:pPr>
              <w:jc w:val="both"/>
              <w:rPr>
                <w:rFonts w:ascii="Arial" w:hAnsi="Arial"/>
                <w:b/>
                <w:bCs/>
                <w:iCs/>
                <w:color w:val="000000"/>
                <w:sz w:val="20"/>
              </w:rPr>
            </w:pPr>
            <w:r w:rsidRPr="00CD4F89">
              <w:rPr>
                <w:rFonts w:ascii="Arial" w:hAnsi="Arial"/>
                <w:b/>
                <w:bCs/>
                <w:iCs/>
                <w:color w:val="000000"/>
                <w:sz w:val="20"/>
              </w:rPr>
              <w:t xml:space="preserve">Total energy </w:t>
            </w:r>
          </w:p>
          <w:p w14:paraId="4643EED6" w14:textId="77777777" w:rsidR="003355F3" w:rsidRPr="00876560" w:rsidRDefault="003355F3" w:rsidP="00FB6278">
            <w:pPr>
              <w:jc w:val="both"/>
              <w:rPr>
                <w:rFonts w:ascii="Arial" w:hAnsi="Arial"/>
                <w:i/>
                <w:color w:val="000000"/>
                <w:sz w:val="20"/>
              </w:rPr>
            </w:pPr>
            <w:r w:rsidRPr="00CD4F89">
              <w:rPr>
                <w:rFonts w:ascii="Arial" w:hAnsi="Arial"/>
                <w:b/>
                <w:bCs/>
                <w:iCs/>
                <w:color w:val="000000"/>
                <w:sz w:val="20"/>
              </w:rPr>
              <w:t>carbon emissions</w:t>
            </w:r>
          </w:p>
        </w:tc>
        <w:tc>
          <w:tcPr>
            <w:tcW w:w="444" w:type="pct"/>
            <w:tcBorders>
              <w:top w:val="single" w:sz="12" w:space="0" w:color="auto"/>
              <w:bottom w:val="single" w:sz="12" w:space="0" w:color="auto"/>
              <w:right w:val="single" w:sz="12" w:space="0" w:color="auto"/>
            </w:tcBorders>
            <w:shd w:val="clear" w:color="auto" w:fill="auto"/>
            <w:noWrap/>
            <w:vAlign w:val="center"/>
          </w:tcPr>
          <w:p w14:paraId="372E6956" w14:textId="77777777" w:rsidR="003355F3" w:rsidRPr="00876560" w:rsidRDefault="003355F3" w:rsidP="00FB6278">
            <w:pPr>
              <w:jc w:val="center"/>
              <w:rPr>
                <w:rFonts w:ascii="Arial" w:hAnsi="Arial"/>
                <w:i/>
                <w:color w:val="000000"/>
                <w:sz w:val="20"/>
              </w:rPr>
            </w:pPr>
            <w:r w:rsidRPr="00876560">
              <w:rPr>
                <w:rFonts w:ascii="Arial" w:hAnsi="Arial"/>
                <w:i/>
                <w:color w:val="000000"/>
                <w:sz w:val="20"/>
              </w:rPr>
              <w:t>tCO</w:t>
            </w:r>
            <w:r w:rsidRPr="00876560">
              <w:rPr>
                <w:rFonts w:ascii="Arial" w:hAnsi="Arial"/>
                <w:i/>
                <w:color w:val="000000"/>
                <w:sz w:val="20"/>
                <w:vertAlign w:val="subscript"/>
              </w:rPr>
              <w:t>2</w:t>
            </w:r>
            <w:r w:rsidRPr="00876560">
              <w:rPr>
                <w:rFonts w:ascii="Arial" w:hAnsi="Arial"/>
                <w:i/>
                <w:color w:val="000000"/>
                <w:sz w:val="20"/>
              </w:rPr>
              <w:t>e</w:t>
            </w:r>
          </w:p>
        </w:tc>
        <w:tc>
          <w:tcPr>
            <w:tcW w:w="370" w:type="pct"/>
            <w:tcBorders>
              <w:top w:val="single" w:sz="12" w:space="0" w:color="auto"/>
              <w:left w:val="nil"/>
              <w:bottom w:val="single" w:sz="12" w:space="0" w:color="auto"/>
              <w:right w:val="single" w:sz="12" w:space="0" w:color="auto"/>
            </w:tcBorders>
            <w:shd w:val="clear" w:color="auto" w:fill="auto"/>
            <w:noWrap/>
            <w:vAlign w:val="bottom"/>
          </w:tcPr>
          <w:p w14:paraId="0A8BE575" w14:textId="77777777" w:rsidR="003355F3" w:rsidRPr="00876560" w:rsidRDefault="003355F3" w:rsidP="00FB6278">
            <w:pPr>
              <w:jc w:val="center"/>
              <w:rPr>
                <w:rFonts w:ascii="Arial" w:hAnsi="Arial"/>
                <w:color w:val="000000"/>
                <w:sz w:val="20"/>
              </w:rPr>
            </w:pPr>
            <w:r w:rsidRPr="00876560">
              <w:rPr>
                <w:rFonts w:ascii="Arial" w:hAnsi="Arial"/>
                <w:color w:val="000000"/>
                <w:sz w:val="20"/>
              </w:rPr>
              <w:t>5391</w:t>
            </w:r>
          </w:p>
        </w:tc>
        <w:tc>
          <w:tcPr>
            <w:tcW w:w="391"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33EE6B7B" w14:textId="77777777" w:rsidR="003355F3" w:rsidRPr="00876560" w:rsidRDefault="003355F3" w:rsidP="00FB6278">
            <w:pPr>
              <w:jc w:val="center"/>
              <w:rPr>
                <w:rFonts w:ascii="Arial" w:hAnsi="Arial"/>
                <w:color w:val="000000"/>
                <w:sz w:val="20"/>
              </w:rPr>
            </w:pPr>
            <w:r w:rsidRPr="00876560">
              <w:rPr>
                <w:rFonts w:ascii="Arial" w:hAnsi="Arial"/>
                <w:color w:val="000000"/>
                <w:sz w:val="20"/>
              </w:rPr>
              <w:t>5,896</w:t>
            </w:r>
          </w:p>
        </w:tc>
        <w:tc>
          <w:tcPr>
            <w:tcW w:w="428"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5C9E2D71" w14:textId="77777777" w:rsidR="003355F3" w:rsidRPr="00876560" w:rsidRDefault="003355F3" w:rsidP="00FB6278">
            <w:pPr>
              <w:jc w:val="center"/>
              <w:rPr>
                <w:rFonts w:ascii="Arial" w:hAnsi="Arial"/>
                <w:color w:val="000000"/>
                <w:sz w:val="20"/>
              </w:rPr>
            </w:pPr>
            <w:r w:rsidRPr="00876560">
              <w:rPr>
                <w:rFonts w:ascii="Arial" w:hAnsi="Arial"/>
                <w:color w:val="000000"/>
                <w:sz w:val="20"/>
              </w:rPr>
              <w:t>4,718</w:t>
            </w:r>
          </w:p>
        </w:tc>
        <w:tc>
          <w:tcPr>
            <w:tcW w:w="426"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3B422723" w14:textId="77777777" w:rsidR="003355F3" w:rsidRPr="00876560" w:rsidRDefault="003355F3" w:rsidP="00FB6278">
            <w:pPr>
              <w:jc w:val="center"/>
              <w:rPr>
                <w:rFonts w:ascii="Arial" w:hAnsi="Arial"/>
                <w:color w:val="000000"/>
                <w:sz w:val="20"/>
              </w:rPr>
            </w:pPr>
            <w:r w:rsidRPr="00876560">
              <w:rPr>
                <w:rFonts w:ascii="Arial" w:hAnsi="Arial"/>
                <w:color w:val="000000"/>
                <w:sz w:val="20"/>
              </w:rPr>
              <w:t>4,255</w:t>
            </w:r>
          </w:p>
        </w:tc>
        <w:tc>
          <w:tcPr>
            <w:tcW w:w="428"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73E43072" w14:textId="77777777" w:rsidR="003355F3" w:rsidRPr="00876560" w:rsidRDefault="003355F3" w:rsidP="00FB6278">
            <w:pPr>
              <w:jc w:val="center"/>
              <w:rPr>
                <w:rFonts w:ascii="Arial" w:hAnsi="Arial"/>
                <w:color w:val="000000"/>
                <w:sz w:val="20"/>
              </w:rPr>
            </w:pPr>
            <w:r w:rsidRPr="00876560">
              <w:rPr>
                <w:rFonts w:ascii="Arial" w:hAnsi="Arial"/>
                <w:color w:val="000000"/>
                <w:sz w:val="20"/>
              </w:rPr>
              <w:t>3,919</w:t>
            </w:r>
          </w:p>
        </w:tc>
        <w:tc>
          <w:tcPr>
            <w:tcW w:w="428"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1423713D" w14:textId="77777777" w:rsidR="003355F3" w:rsidRPr="00876560" w:rsidRDefault="003355F3" w:rsidP="00FB6278">
            <w:pPr>
              <w:jc w:val="center"/>
              <w:rPr>
                <w:rFonts w:ascii="Arial" w:hAnsi="Arial"/>
                <w:color w:val="000000"/>
                <w:sz w:val="20"/>
              </w:rPr>
            </w:pPr>
            <w:r w:rsidRPr="00876560">
              <w:rPr>
                <w:rFonts w:ascii="Arial" w:hAnsi="Arial"/>
                <w:color w:val="000000"/>
                <w:sz w:val="20"/>
              </w:rPr>
              <w:t>3,511</w:t>
            </w:r>
          </w:p>
        </w:tc>
        <w:tc>
          <w:tcPr>
            <w:tcW w:w="428" w:type="pct"/>
            <w:tcBorders>
              <w:top w:val="single" w:sz="12" w:space="0" w:color="auto"/>
              <w:left w:val="single" w:sz="12" w:space="0" w:color="auto"/>
              <w:bottom w:val="single" w:sz="12" w:space="0" w:color="auto"/>
              <w:right w:val="single" w:sz="12" w:space="0" w:color="auto"/>
            </w:tcBorders>
            <w:shd w:val="clear" w:color="auto" w:fill="auto"/>
            <w:vAlign w:val="bottom"/>
          </w:tcPr>
          <w:p w14:paraId="2EBBF353" w14:textId="77777777" w:rsidR="003355F3" w:rsidRPr="00876560" w:rsidRDefault="003355F3" w:rsidP="00FB6278">
            <w:pPr>
              <w:jc w:val="center"/>
              <w:rPr>
                <w:rFonts w:ascii="Arial" w:hAnsi="Arial"/>
                <w:color w:val="000000"/>
                <w:sz w:val="20"/>
              </w:rPr>
            </w:pPr>
            <w:r w:rsidRPr="00876560">
              <w:rPr>
                <w:rFonts w:ascii="Arial" w:hAnsi="Arial"/>
                <w:color w:val="000000"/>
                <w:sz w:val="20"/>
              </w:rPr>
              <w:t>3,657</w:t>
            </w:r>
          </w:p>
        </w:tc>
        <w:tc>
          <w:tcPr>
            <w:tcW w:w="428" w:type="pct"/>
            <w:tcBorders>
              <w:top w:val="single" w:sz="12" w:space="0" w:color="auto"/>
              <w:left w:val="single" w:sz="12" w:space="0" w:color="auto"/>
              <w:bottom w:val="single" w:sz="12" w:space="0" w:color="auto"/>
              <w:right w:val="single" w:sz="12" w:space="0" w:color="auto"/>
            </w:tcBorders>
            <w:shd w:val="clear" w:color="auto" w:fill="auto"/>
            <w:noWrap/>
            <w:vAlign w:val="bottom"/>
          </w:tcPr>
          <w:p w14:paraId="7B727989" w14:textId="77777777" w:rsidR="003355F3" w:rsidRPr="00876560" w:rsidRDefault="003355F3" w:rsidP="00FB6278">
            <w:pPr>
              <w:jc w:val="center"/>
              <w:rPr>
                <w:rFonts w:ascii="Arial" w:hAnsi="Arial"/>
                <w:i/>
                <w:color w:val="000000"/>
                <w:sz w:val="20"/>
              </w:rPr>
            </w:pPr>
            <w:r w:rsidRPr="00876560">
              <w:rPr>
                <w:rFonts w:ascii="Arial" w:hAnsi="Arial"/>
                <w:color w:val="000000"/>
                <w:sz w:val="20"/>
              </w:rPr>
              <w:t>3,296</w:t>
            </w:r>
          </w:p>
        </w:tc>
        <w:tc>
          <w:tcPr>
            <w:tcW w:w="422" w:type="pct"/>
            <w:tcBorders>
              <w:top w:val="single" w:sz="12" w:space="0" w:color="auto"/>
              <w:left w:val="single" w:sz="12" w:space="0" w:color="auto"/>
              <w:bottom w:val="single" w:sz="12" w:space="0" w:color="auto"/>
              <w:right w:val="single" w:sz="12" w:space="0" w:color="auto"/>
            </w:tcBorders>
            <w:shd w:val="clear" w:color="auto" w:fill="auto"/>
            <w:vAlign w:val="bottom"/>
          </w:tcPr>
          <w:p w14:paraId="71AD7A6C" w14:textId="77777777" w:rsidR="003355F3" w:rsidRPr="00876560" w:rsidRDefault="003355F3" w:rsidP="00FB6278">
            <w:pPr>
              <w:jc w:val="center"/>
              <w:rPr>
                <w:rFonts w:ascii="Arial" w:hAnsi="Arial"/>
                <w:i/>
                <w:color w:val="000000"/>
                <w:sz w:val="20"/>
              </w:rPr>
            </w:pPr>
            <w:r w:rsidRPr="00876560">
              <w:rPr>
                <w:rFonts w:ascii="Arial" w:hAnsi="Arial"/>
                <w:color w:val="000000"/>
                <w:sz w:val="20"/>
              </w:rPr>
              <w:t>3,471</w:t>
            </w:r>
          </w:p>
        </w:tc>
      </w:tr>
    </w:tbl>
    <w:p w14:paraId="02B8C8ED" w14:textId="77777777" w:rsidR="003355F3" w:rsidRPr="00876560" w:rsidRDefault="003355F3" w:rsidP="00FB6278">
      <w:pPr>
        <w:ind w:left="-567" w:right="-613"/>
        <w:jc w:val="both"/>
        <w:rPr>
          <w:rFonts w:ascii="Arial" w:hAnsi="Arial"/>
          <w:color w:val="000000"/>
          <w:sz w:val="22"/>
        </w:rPr>
      </w:pPr>
    </w:p>
    <w:p w14:paraId="1955C848" w14:textId="41CF777A" w:rsidR="003355F3" w:rsidRPr="00876560" w:rsidRDefault="003355F3" w:rsidP="00FB6278">
      <w:pPr>
        <w:ind w:left="-567" w:right="-613"/>
        <w:jc w:val="both"/>
        <w:rPr>
          <w:rFonts w:ascii="Arial" w:hAnsi="Arial"/>
          <w:color w:val="000000"/>
          <w:sz w:val="22"/>
        </w:rPr>
      </w:pPr>
      <w:r w:rsidRPr="00876560">
        <w:rPr>
          <w:rFonts w:ascii="Arial" w:hAnsi="Arial"/>
          <w:color w:val="000000"/>
          <w:sz w:val="22"/>
        </w:rPr>
        <w:t>The graph below shows our gas and electrical energy usage from 2013</w:t>
      </w:r>
      <w:r w:rsidR="00A47B87">
        <w:rPr>
          <w:rFonts w:ascii="Arial" w:hAnsi="Arial"/>
          <w:color w:val="000000"/>
          <w:sz w:val="22"/>
        </w:rPr>
        <w:t>/</w:t>
      </w:r>
      <w:r w:rsidRPr="00876560">
        <w:rPr>
          <w:rFonts w:ascii="Arial" w:hAnsi="Arial"/>
          <w:color w:val="000000"/>
          <w:sz w:val="22"/>
        </w:rPr>
        <w:t>14 to 2021</w:t>
      </w:r>
      <w:r w:rsidR="00A47B87">
        <w:rPr>
          <w:rFonts w:ascii="Arial" w:hAnsi="Arial"/>
          <w:color w:val="000000"/>
          <w:sz w:val="22"/>
        </w:rPr>
        <w:t>/</w:t>
      </w:r>
      <w:r w:rsidRPr="00876560">
        <w:rPr>
          <w:rFonts w:ascii="Arial" w:hAnsi="Arial"/>
          <w:color w:val="000000"/>
          <w:sz w:val="22"/>
        </w:rPr>
        <w:t xml:space="preserve">22. </w:t>
      </w:r>
    </w:p>
    <w:p w14:paraId="70561D4E" w14:textId="209D27BC" w:rsidR="003355F3" w:rsidRPr="00876560" w:rsidRDefault="003355F3" w:rsidP="00FB6278">
      <w:pPr>
        <w:ind w:left="-567" w:right="-613"/>
        <w:jc w:val="both"/>
        <w:rPr>
          <w:rFonts w:ascii="Arial" w:hAnsi="Arial"/>
          <w:b/>
          <w:color w:val="000000"/>
          <w:sz w:val="22"/>
        </w:rPr>
      </w:pPr>
    </w:p>
    <w:p w14:paraId="6B2C122A" w14:textId="0A72DA36" w:rsidR="003355F3" w:rsidRPr="00876560" w:rsidRDefault="00A47B87" w:rsidP="00FB6278">
      <w:pPr>
        <w:spacing w:after="160"/>
        <w:rPr>
          <w:rFonts w:ascii="Arial" w:hAnsi="Arial"/>
          <w:b/>
          <w:color w:val="000000"/>
          <w:sz w:val="22"/>
        </w:rPr>
      </w:pPr>
      <w:r w:rsidRPr="00876560">
        <w:rPr>
          <w:rFonts w:ascii="Arial" w:hAnsi="Arial"/>
          <w:noProof/>
          <w:sz w:val="22"/>
        </w:rPr>
        <w:drawing>
          <wp:anchor distT="0" distB="0" distL="114300" distR="114300" simplePos="0" relativeHeight="251841536" behindDoc="0" locked="0" layoutInCell="1" allowOverlap="1" wp14:anchorId="36F53CB0" wp14:editId="4D72DB41">
            <wp:simplePos x="0" y="0"/>
            <wp:positionH relativeFrom="margin">
              <wp:posOffset>-199390</wp:posOffset>
            </wp:positionH>
            <wp:positionV relativeFrom="paragraph">
              <wp:posOffset>4277360</wp:posOffset>
            </wp:positionV>
            <wp:extent cx="6050915" cy="2793365"/>
            <wp:effectExtent l="0" t="0" r="6985" b="6985"/>
            <wp:wrapSquare wrapText="bothSides"/>
            <wp:docPr id="13" name="Chart 13">
              <a:extLst xmlns:a="http://schemas.openxmlformats.org/drawingml/2006/main">
                <a:ext uri="{FF2B5EF4-FFF2-40B4-BE49-F238E27FC236}">
                  <a16:creationId xmlns:a16="http://schemas.microsoft.com/office/drawing/2014/main" id="{8214E6C1-5696-4776-9C19-1DE100C604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anchor>
        </w:drawing>
      </w:r>
      <w:r w:rsidR="003355F3" w:rsidRPr="00876560">
        <w:rPr>
          <w:rFonts w:ascii="Arial" w:hAnsi="Arial"/>
          <w:b/>
          <w:color w:val="000000"/>
          <w:sz w:val="22"/>
        </w:rPr>
        <w:t>Sustainability</w:t>
      </w:r>
    </w:p>
    <w:p w14:paraId="681BE496" w14:textId="77777777" w:rsidR="003355F3" w:rsidRPr="00876560" w:rsidRDefault="003355F3" w:rsidP="00FB6278">
      <w:pPr>
        <w:ind w:left="-567" w:right="-613"/>
        <w:jc w:val="both"/>
        <w:rPr>
          <w:rFonts w:ascii="Arial" w:hAnsi="Arial"/>
          <w:b/>
          <w:color w:val="000000"/>
          <w:sz w:val="22"/>
        </w:rPr>
      </w:pPr>
    </w:p>
    <w:p w14:paraId="04F2110A" w14:textId="77777777" w:rsidR="003355F3" w:rsidRPr="00A47B87" w:rsidRDefault="003355F3" w:rsidP="00FB6278">
      <w:pPr>
        <w:ind w:left="-567" w:right="-613"/>
        <w:jc w:val="both"/>
        <w:rPr>
          <w:rFonts w:ascii="Arial" w:hAnsi="Arial"/>
          <w:b/>
          <w:iCs/>
          <w:color w:val="000000"/>
          <w:sz w:val="22"/>
        </w:rPr>
      </w:pPr>
      <w:r w:rsidRPr="00CD4F89">
        <w:rPr>
          <w:rFonts w:ascii="Arial" w:hAnsi="Arial"/>
          <w:iCs/>
          <w:color w:val="000000"/>
          <w:sz w:val="22"/>
        </w:rPr>
        <w:t>Over the past year the trust has continued to work with its staff and partner organisations to reduce its impact on the environment.</w:t>
      </w:r>
    </w:p>
    <w:p w14:paraId="538756E9" w14:textId="77777777" w:rsidR="003355F3" w:rsidRPr="00876560" w:rsidRDefault="003355F3" w:rsidP="00FB6278">
      <w:pPr>
        <w:ind w:left="-567" w:right="-613"/>
        <w:jc w:val="both"/>
        <w:rPr>
          <w:rFonts w:ascii="Arial" w:hAnsi="Arial"/>
          <w:b/>
          <w:color w:val="000000"/>
          <w:sz w:val="22"/>
        </w:rPr>
      </w:pPr>
    </w:p>
    <w:p w14:paraId="7C662A74" w14:textId="4F274C4D" w:rsidR="003355F3" w:rsidRPr="00876560" w:rsidRDefault="00A47B87" w:rsidP="00FB6278">
      <w:pPr>
        <w:ind w:left="-567" w:right="-613"/>
        <w:jc w:val="both"/>
        <w:rPr>
          <w:rFonts w:ascii="Arial" w:hAnsi="Arial"/>
          <w:b/>
          <w:color w:val="000000"/>
          <w:sz w:val="22"/>
        </w:rPr>
      </w:pPr>
      <w:r>
        <w:rPr>
          <w:rFonts w:ascii="Arial" w:hAnsi="Arial"/>
          <w:color w:val="000000"/>
          <w:sz w:val="22"/>
        </w:rPr>
        <w:t>Our</w:t>
      </w:r>
      <w:r w:rsidR="003355F3" w:rsidRPr="00876560">
        <w:rPr>
          <w:rFonts w:ascii="Arial" w:hAnsi="Arial"/>
          <w:color w:val="000000"/>
          <w:sz w:val="22"/>
        </w:rPr>
        <w:t xml:space="preserve"> former sustainability policy has been revised to form a modern ‘green plan’, formerly known as a Sustainable Development Management Policy (SDMP), and associated action plan. </w:t>
      </w:r>
    </w:p>
    <w:p w14:paraId="667E3A93" w14:textId="77777777" w:rsidR="003355F3" w:rsidRPr="00876560" w:rsidRDefault="003355F3" w:rsidP="00FB6278">
      <w:pPr>
        <w:ind w:left="-567" w:right="-613"/>
        <w:jc w:val="both"/>
        <w:rPr>
          <w:rFonts w:ascii="Arial" w:hAnsi="Arial"/>
          <w:b/>
          <w:color w:val="000000"/>
          <w:sz w:val="22"/>
        </w:rPr>
      </w:pPr>
    </w:p>
    <w:p w14:paraId="71C0CC2F" w14:textId="31A6FCAA" w:rsidR="003355F3" w:rsidRPr="00876560" w:rsidRDefault="003355F3" w:rsidP="00FB6278">
      <w:pPr>
        <w:ind w:left="-567" w:right="-613"/>
        <w:jc w:val="both"/>
        <w:rPr>
          <w:rFonts w:ascii="Arial" w:hAnsi="Arial"/>
          <w:b/>
          <w:color w:val="000000"/>
          <w:sz w:val="22"/>
        </w:rPr>
      </w:pPr>
      <w:r w:rsidRPr="00876560">
        <w:rPr>
          <w:rFonts w:ascii="Arial" w:hAnsi="Arial"/>
          <w:color w:val="000000"/>
          <w:sz w:val="22"/>
        </w:rPr>
        <w:lastRenderedPageBreak/>
        <w:t xml:space="preserve">This board approved plan, whilst being an evolution from our previous sustainable development management plans, is a step change in the way we </w:t>
      </w:r>
      <w:r w:rsidR="00A47B87">
        <w:rPr>
          <w:rFonts w:ascii="Arial" w:hAnsi="Arial"/>
          <w:color w:val="000000"/>
          <w:sz w:val="22"/>
        </w:rPr>
        <w:t>approach</w:t>
      </w:r>
      <w:r w:rsidRPr="00876560">
        <w:rPr>
          <w:rFonts w:ascii="Arial" w:hAnsi="Arial"/>
          <w:color w:val="000000"/>
          <w:sz w:val="22"/>
        </w:rPr>
        <w:t xml:space="preserve"> being sustainable.  We have engaged a wide variety of staff from across the trust to inform us of where change is needed, and where it is most important. </w:t>
      </w:r>
    </w:p>
    <w:p w14:paraId="422F2C4E" w14:textId="77777777" w:rsidR="003355F3" w:rsidRPr="00876560" w:rsidRDefault="003355F3" w:rsidP="00FB6278">
      <w:pPr>
        <w:ind w:left="-567" w:right="-613"/>
        <w:jc w:val="both"/>
        <w:rPr>
          <w:rFonts w:ascii="Arial" w:hAnsi="Arial"/>
          <w:b/>
          <w:color w:val="000000"/>
          <w:sz w:val="22"/>
        </w:rPr>
      </w:pPr>
    </w:p>
    <w:p w14:paraId="46EABE93" w14:textId="5A0562C1" w:rsidR="003355F3" w:rsidRPr="00876560" w:rsidRDefault="003355F3" w:rsidP="00FB6278">
      <w:pPr>
        <w:ind w:left="-567" w:right="-613"/>
        <w:jc w:val="both"/>
        <w:rPr>
          <w:rFonts w:ascii="Arial" w:hAnsi="Arial"/>
          <w:b/>
          <w:color w:val="000000"/>
          <w:sz w:val="22"/>
        </w:rPr>
      </w:pPr>
      <w:r w:rsidRPr="00876560">
        <w:rPr>
          <w:rFonts w:ascii="Arial" w:hAnsi="Arial"/>
          <w:color w:val="000000"/>
          <w:sz w:val="22"/>
        </w:rPr>
        <w:t xml:space="preserve">The primary mechanism for this engagement is the recent formation of our sustainability steering group. This group meets fortnightly to assign responsibility for items under our action plan and is formed by representatives and directors from all divisions and departments within the trust. Each of these sustainability meetings are also used to discuss progress and propose further sustainability actions </w:t>
      </w:r>
      <w:r w:rsidR="008A33E6" w:rsidRPr="00876560">
        <w:rPr>
          <w:rFonts w:ascii="Arial" w:hAnsi="Arial"/>
          <w:color w:val="000000"/>
          <w:sz w:val="22"/>
        </w:rPr>
        <w:t xml:space="preserve">such </w:t>
      </w:r>
      <w:r w:rsidRPr="00876560">
        <w:rPr>
          <w:rFonts w:ascii="Arial" w:hAnsi="Arial"/>
          <w:color w:val="000000"/>
          <w:sz w:val="22"/>
        </w:rPr>
        <w:t>as the green plan and associated action plan will continue to be live documents, ensuring we remain engaged and ambitious in our drive to become a more sustainable trust.</w:t>
      </w:r>
    </w:p>
    <w:p w14:paraId="611F19D1" w14:textId="77777777" w:rsidR="003355F3" w:rsidRPr="00876560" w:rsidRDefault="003355F3" w:rsidP="00FB6278">
      <w:pPr>
        <w:ind w:left="-567" w:right="-613"/>
        <w:jc w:val="both"/>
        <w:rPr>
          <w:rFonts w:ascii="Arial" w:hAnsi="Arial"/>
          <w:b/>
          <w:color w:val="000000"/>
          <w:sz w:val="22"/>
        </w:rPr>
      </w:pPr>
    </w:p>
    <w:p w14:paraId="5B8EE52E" w14:textId="67DD3FE0" w:rsidR="003355F3" w:rsidRPr="00876560" w:rsidRDefault="003355F3" w:rsidP="00FB6278">
      <w:pPr>
        <w:ind w:left="-567" w:right="-613"/>
        <w:jc w:val="both"/>
        <w:rPr>
          <w:rFonts w:ascii="Arial" w:hAnsi="Arial"/>
          <w:b/>
          <w:color w:val="000000"/>
          <w:sz w:val="22"/>
        </w:rPr>
      </w:pPr>
      <w:r w:rsidRPr="00876560">
        <w:rPr>
          <w:rFonts w:ascii="Arial" w:hAnsi="Arial"/>
          <w:color w:val="000000"/>
          <w:sz w:val="22"/>
        </w:rPr>
        <w:t xml:space="preserve">This year we added sustainability as a standing agenda </w:t>
      </w:r>
      <w:r w:rsidR="008A33E6" w:rsidRPr="00876560">
        <w:rPr>
          <w:rFonts w:ascii="Arial" w:hAnsi="Arial"/>
          <w:color w:val="000000"/>
          <w:sz w:val="22"/>
        </w:rPr>
        <w:t xml:space="preserve">item </w:t>
      </w:r>
      <w:r w:rsidRPr="00876560">
        <w:rPr>
          <w:rFonts w:ascii="Arial" w:hAnsi="Arial"/>
          <w:color w:val="000000"/>
          <w:sz w:val="22"/>
        </w:rPr>
        <w:t xml:space="preserve">to division meetings and engaged a sustainability consultancy to help drive our progress. We have digitised areas of our services, including providing electronic invoices and access to an online version of our trust magazine, halving the number of print run copies compared to </w:t>
      </w:r>
      <w:r w:rsidR="008A33E6" w:rsidRPr="00876560">
        <w:rPr>
          <w:rFonts w:ascii="Arial" w:eastAsia="Calibri" w:hAnsi="Arial" w:cs="Arial"/>
          <w:color w:val="000000"/>
          <w:sz w:val="22"/>
          <w:szCs w:val="22"/>
        </w:rPr>
        <w:t>2019</w:t>
      </w:r>
      <w:r w:rsidR="008A33E6" w:rsidRPr="00876560">
        <w:rPr>
          <w:rFonts w:ascii="Arial" w:hAnsi="Arial"/>
          <w:color w:val="000000"/>
          <w:sz w:val="22"/>
        </w:rPr>
        <w:t>/20</w:t>
      </w:r>
      <w:r w:rsidRPr="00876560">
        <w:rPr>
          <w:rFonts w:ascii="Arial" w:hAnsi="Arial"/>
          <w:color w:val="000000"/>
          <w:sz w:val="22"/>
        </w:rPr>
        <w:t>.</w:t>
      </w:r>
    </w:p>
    <w:p w14:paraId="1E62B346" w14:textId="77777777" w:rsidR="003355F3" w:rsidRPr="00876560" w:rsidRDefault="003355F3" w:rsidP="00FB6278">
      <w:pPr>
        <w:ind w:left="-567" w:right="-613"/>
        <w:jc w:val="both"/>
        <w:rPr>
          <w:rFonts w:ascii="Arial" w:hAnsi="Arial"/>
          <w:b/>
          <w:color w:val="000000"/>
          <w:sz w:val="22"/>
        </w:rPr>
      </w:pPr>
    </w:p>
    <w:p w14:paraId="112CC0F3" w14:textId="77777777" w:rsidR="003355F3" w:rsidRPr="00876560" w:rsidRDefault="003355F3" w:rsidP="00FB6278">
      <w:pPr>
        <w:ind w:left="-567" w:right="-613"/>
        <w:jc w:val="both"/>
        <w:rPr>
          <w:rFonts w:ascii="Arial" w:hAnsi="Arial"/>
          <w:b/>
          <w:color w:val="000000"/>
          <w:sz w:val="22"/>
        </w:rPr>
      </w:pPr>
      <w:r w:rsidRPr="00876560">
        <w:rPr>
          <w:rFonts w:ascii="Arial" w:hAnsi="Arial"/>
          <w:color w:val="000000"/>
          <w:sz w:val="22"/>
        </w:rPr>
        <w:t>In anaesthetics, we have eliminated the use of desflurane gas, which has over 26 times the global warming potential of sevoflurane.</w:t>
      </w:r>
    </w:p>
    <w:p w14:paraId="0DE41343" w14:textId="77777777" w:rsidR="003355F3" w:rsidRPr="00876560" w:rsidRDefault="003355F3" w:rsidP="00FB6278">
      <w:pPr>
        <w:ind w:left="-567" w:right="-613"/>
        <w:jc w:val="both"/>
        <w:rPr>
          <w:rFonts w:ascii="Arial" w:hAnsi="Arial"/>
          <w:b/>
          <w:color w:val="000000"/>
          <w:sz w:val="22"/>
        </w:rPr>
      </w:pPr>
    </w:p>
    <w:p w14:paraId="619972E0" w14:textId="5CF1BB27" w:rsidR="003355F3" w:rsidRPr="00876560" w:rsidRDefault="003355F3" w:rsidP="00FB6278">
      <w:pPr>
        <w:ind w:left="-567" w:right="-613"/>
        <w:jc w:val="both"/>
        <w:rPr>
          <w:rFonts w:ascii="Arial" w:hAnsi="Arial"/>
          <w:b/>
          <w:color w:val="000000"/>
          <w:sz w:val="22"/>
        </w:rPr>
      </w:pPr>
      <w:r w:rsidRPr="00876560">
        <w:rPr>
          <w:rFonts w:ascii="Arial" w:hAnsi="Arial"/>
          <w:color w:val="000000"/>
          <w:sz w:val="22"/>
        </w:rPr>
        <w:t xml:space="preserve">To reduce waste, we have reduced the use of scrubs only to where necessary in theatres, and our catering partners have begun offering a 20p reduction on drinks if customers bring reusable cups. To </w:t>
      </w:r>
      <w:r w:rsidR="005B29DE">
        <w:rPr>
          <w:rFonts w:ascii="Arial" w:hAnsi="Arial"/>
          <w:color w:val="000000"/>
          <w:sz w:val="22"/>
        </w:rPr>
        <w:t xml:space="preserve">address </w:t>
      </w:r>
      <w:r w:rsidRPr="00876560">
        <w:rPr>
          <w:rFonts w:ascii="Arial" w:hAnsi="Arial"/>
          <w:color w:val="000000"/>
          <w:sz w:val="22"/>
        </w:rPr>
        <w:t>our oversight on waste at the trust we have reprocured our waste contract allowing us to better monitor future waste output and segregation of waste.</w:t>
      </w:r>
    </w:p>
    <w:p w14:paraId="584D2715" w14:textId="77777777" w:rsidR="003355F3" w:rsidRPr="00876560" w:rsidRDefault="003355F3" w:rsidP="00FB6278">
      <w:pPr>
        <w:ind w:left="-567" w:right="-613"/>
        <w:jc w:val="both"/>
        <w:rPr>
          <w:rFonts w:ascii="Arial" w:hAnsi="Arial"/>
          <w:b/>
          <w:color w:val="000000"/>
          <w:sz w:val="22"/>
        </w:rPr>
      </w:pPr>
    </w:p>
    <w:p w14:paraId="1A01C2E9" w14:textId="6E37E5AA" w:rsidR="003355F3" w:rsidRPr="00876560" w:rsidRDefault="003355F3" w:rsidP="00FB6278">
      <w:pPr>
        <w:ind w:left="-567" w:right="-613"/>
        <w:jc w:val="both"/>
        <w:rPr>
          <w:rFonts w:ascii="Arial" w:hAnsi="Arial"/>
          <w:b/>
          <w:color w:val="000000"/>
          <w:sz w:val="22"/>
        </w:rPr>
      </w:pPr>
      <w:r w:rsidRPr="00876560">
        <w:rPr>
          <w:rFonts w:ascii="Arial" w:hAnsi="Arial"/>
          <w:color w:val="000000"/>
          <w:sz w:val="22"/>
        </w:rPr>
        <w:t xml:space="preserve">Procurement is a vital area for measuring and reducing our scope </w:t>
      </w:r>
      <w:r w:rsidR="00A47B87">
        <w:rPr>
          <w:rFonts w:ascii="Arial" w:hAnsi="Arial"/>
          <w:color w:val="000000"/>
          <w:sz w:val="22"/>
        </w:rPr>
        <w:t>three</w:t>
      </w:r>
      <w:r w:rsidR="00077A94" w:rsidRPr="00876560">
        <w:rPr>
          <w:rFonts w:ascii="Arial" w:hAnsi="Arial"/>
          <w:color w:val="000000"/>
          <w:sz w:val="22"/>
        </w:rPr>
        <w:t xml:space="preserve"> </w:t>
      </w:r>
      <w:r w:rsidRPr="00876560">
        <w:rPr>
          <w:rFonts w:ascii="Arial" w:hAnsi="Arial"/>
          <w:color w:val="000000"/>
          <w:sz w:val="22"/>
        </w:rPr>
        <w:t xml:space="preserve">emissions. We are now meeting monthly with the newly formed North Central London Integrated Care System (NCL ICS) anchor working group, whose vision is to embed sustainable procurement and social value within the ICS’ day-to-day procurement operations. </w:t>
      </w:r>
    </w:p>
    <w:p w14:paraId="01CF160D" w14:textId="77777777" w:rsidR="003355F3" w:rsidRPr="00876560" w:rsidRDefault="003355F3" w:rsidP="00FB6278">
      <w:pPr>
        <w:ind w:left="-567" w:right="-613"/>
        <w:jc w:val="both"/>
        <w:rPr>
          <w:rFonts w:ascii="Arial" w:hAnsi="Arial"/>
          <w:b/>
          <w:color w:val="000000"/>
          <w:sz w:val="22"/>
        </w:rPr>
      </w:pPr>
    </w:p>
    <w:p w14:paraId="1DCCDC7B" w14:textId="509F1400" w:rsidR="003355F3" w:rsidRPr="00876560" w:rsidRDefault="003355F3" w:rsidP="00FB6278">
      <w:pPr>
        <w:ind w:left="-567" w:right="-613"/>
        <w:jc w:val="both"/>
        <w:rPr>
          <w:rFonts w:ascii="Arial" w:hAnsi="Arial"/>
          <w:b/>
          <w:color w:val="000000"/>
          <w:sz w:val="22"/>
        </w:rPr>
      </w:pPr>
      <w:r w:rsidRPr="00876560">
        <w:rPr>
          <w:rFonts w:ascii="Arial" w:hAnsi="Arial"/>
          <w:color w:val="000000"/>
          <w:sz w:val="22"/>
        </w:rPr>
        <w:t xml:space="preserve">We have launched our sustainability communications campaign, which aims to engage our staff, students, </w:t>
      </w:r>
      <w:proofErr w:type="gramStart"/>
      <w:r w:rsidRPr="00876560">
        <w:rPr>
          <w:rFonts w:ascii="Arial" w:hAnsi="Arial"/>
          <w:color w:val="000000"/>
          <w:sz w:val="22"/>
        </w:rPr>
        <w:t>visitors</w:t>
      </w:r>
      <w:proofErr w:type="gramEnd"/>
      <w:r w:rsidRPr="00876560">
        <w:rPr>
          <w:rFonts w:ascii="Arial" w:hAnsi="Arial"/>
          <w:color w:val="000000"/>
          <w:sz w:val="22"/>
        </w:rPr>
        <w:t xml:space="preserve"> and patients in our journey to become more sustaina</w:t>
      </w:r>
      <w:bookmarkStart w:id="8" w:name="_Hlk100221278"/>
      <w:r w:rsidRPr="00876560">
        <w:rPr>
          <w:rFonts w:ascii="Arial" w:hAnsi="Arial"/>
          <w:color w:val="000000"/>
          <w:sz w:val="22"/>
        </w:rPr>
        <w:t>ble.</w:t>
      </w:r>
      <w:bookmarkEnd w:id="8"/>
      <w:r w:rsidRPr="00876560">
        <w:rPr>
          <w:rFonts w:ascii="Arial" w:hAnsi="Arial"/>
          <w:color w:val="000000"/>
          <w:sz w:val="22"/>
        </w:rPr>
        <w:t xml:space="preserve"> The launch of this campaign and the subsequent sustainability case studies will be promoted on our new website.</w:t>
      </w:r>
    </w:p>
    <w:p w14:paraId="59F0F2AC" w14:textId="77777777" w:rsidR="003355F3" w:rsidRPr="00876560" w:rsidRDefault="003355F3" w:rsidP="00FB6278">
      <w:pPr>
        <w:ind w:left="-567"/>
        <w:jc w:val="both"/>
        <w:rPr>
          <w:rFonts w:ascii="Arial" w:hAnsi="Arial"/>
          <w:sz w:val="22"/>
          <w:highlight w:val="yellow"/>
        </w:rPr>
      </w:pPr>
    </w:p>
    <w:p w14:paraId="463336CC" w14:textId="5F05C070" w:rsidR="00D15302" w:rsidRDefault="00D15302" w:rsidP="00FB6278">
      <w:pPr>
        <w:ind w:left="-567"/>
        <w:jc w:val="both"/>
        <w:rPr>
          <w:rFonts w:ascii="Arial" w:hAnsi="Arial"/>
          <w:b/>
          <w:sz w:val="22"/>
        </w:rPr>
      </w:pPr>
      <w:r w:rsidRPr="00876560">
        <w:rPr>
          <w:rFonts w:ascii="Arial" w:hAnsi="Arial"/>
          <w:b/>
          <w:sz w:val="22"/>
        </w:rPr>
        <w:t xml:space="preserve">Emergency planning, </w:t>
      </w:r>
      <w:proofErr w:type="gramStart"/>
      <w:r w:rsidRPr="00876560">
        <w:rPr>
          <w:rFonts w:ascii="Arial" w:hAnsi="Arial"/>
          <w:b/>
          <w:sz w:val="22"/>
        </w:rPr>
        <w:t>preparedness</w:t>
      </w:r>
      <w:proofErr w:type="gramEnd"/>
      <w:r w:rsidRPr="00876560">
        <w:rPr>
          <w:rFonts w:ascii="Arial" w:hAnsi="Arial"/>
          <w:b/>
          <w:sz w:val="22"/>
        </w:rPr>
        <w:t xml:space="preserve"> and resilience (EPPR)</w:t>
      </w:r>
    </w:p>
    <w:p w14:paraId="7AB472DC" w14:textId="77777777" w:rsidR="00A47B87" w:rsidRPr="00876560" w:rsidRDefault="00A47B87" w:rsidP="00FB6278">
      <w:pPr>
        <w:ind w:left="-567"/>
        <w:jc w:val="both"/>
        <w:rPr>
          <w:rFonts w:ascii="Arial" w:hAnsi="Arial"/>
          <w:sz w:val="22"/>
        </w:rPr>
      </w:pPr>
    </w:p>
    <w:p w14:paraId="382D0B39" w14:textId="35B5D842" w:rsidR="00B60152" w:rsidRPr="00876560" w:rsidRDefault="00B60152" w:rsidP="00FB6278">
      <w:pPr>
        <w:ind w:left="-567"/>
        <w:jc w:val="both"/>
        <w:rPr>
          <w:rFonts w:ascii="Arial" w:hAnsi="Arial"/>
          <w:sz w:val="22"/>
        </w:rPr>
      </w:pPr>
      <w:r w:rsidRPr="00876560">
        <w:rPr>
          <w:rFonts w:ascii="Arial" w:hAnsi="Arial"/>
          <w:sz w:val="22"/>
        </w:rPr>
        <w:t xml:space="preserve">Each year </w:t>
      </w:r>
      <w:proofErr w:type="gramStart"/>
      <w:r w:rsidRPr="00876560">
        <w:rPr>
          <w:rFonts w:ascii="Arial" w:hAnsi="Arial"/>
          <w:sz w:val="22"/>
        </w:rPr>
        <w:t xml:space="preserve">the </w:t>
      </w:r>
      <w:r w:rsidR="00A47B87">
        <w:rPr>
          <w:rFonts w:ascii="Arial" w:hAnsi="Arial"/>
          <w:sz w:val="22"/>
        </w:rPr>
        <w:t>we</w:t>
      </w:r>
      <w:proofErr w:type="gramEnd"/>
      <w:r w:rsidR="00A47B87" w:rsidRPr="00876560">
        <w:rPr>
          <w:rFonts w:ascii="Arial" w:hAnsi="Arial"/>
          <w:sz w:val="22"/>
        </w:rPr>
        <w:t xml:space="preserve"> </w:t>
      </w:r>
      <w:r w:rsidRPr="00876560">
        <w:rPr>
          <w:rFonts w:ascii="Arial" w:hAnsi="Arial"/>
          <w:sz w:val="22"/>
        </w:rPr>
        <w:t xml:space="preserve">undertake an EPPR process review, the aim of which is to assure NHS England that </w:t>
      </w:r>
      <w:r w:rsidR="00A47B87">
        <w:rPr>
          <w:rFonts w:ascii="Arial" w:hAnsi="Arial"/>
          <w:sz w:val="22"/>
        </w:rPr>
        <w:t>we</w:t>
      </w:r>
      <w:r w:rsidRPr="00876560">
        <w:rPr>
          <w:rFonts w:ascii="Arial" w:hAnsi="Arial"/>
          <w:sz w:val="22"/>
        </w:rPr>
        <w:t xml:space="preserve"> </w:t>
      </w:r>
      <w:r w:rsidR="00A47B87">
        <w:rPr>
          <w:rFonts w:ascii="Arial" w:hAnsi="Arial"/>
          <w:sz w:val="22"/>
        </w:rPr>
        <w:t>are</w:t>
      </w:r>
      <w:r w:rsidRPr="00876560">
        <w:rPr>
          <w:rFonts w:ascii="Arial" w:hAnsi="Arial"/>
          <w:sz w:val="22"/>
        </w:rPr>
        <w:t xml:space="preserve"> prepared to respond to an emergency, and has the resilience in place to continue to provide safe patient care during a major incident or business continuity event. The most recent rating saw the trust awarded a green rating with substantial compliance in all standards.</w:t>
      </w:r>
    </w:p>
    <w:p w14:paraId="04481464" w14:textId="77777777" w:rsidR="009B7516" w:rsidRPr="00876560" w:rsidRDefault="009B7516" w:rsidP="00FB6278">
      <w:pPr>
        <w:ind w:left="-567"/>
        <w:jc w:val="both"/>
        <w:rPr>
          <w:rFonts w:ascii="Arial" w:hAnsi="Arial"/>
          <w:b/>
          <w:sz w:val="22"/>
        </w:rPr>
      </w:pPr>
    </w:p>
    <w:p w14:paraId="07E9F81A" w14:textId="359D6900" w:rsidR="001E75A7" w:rsidRPr="00BF493F" w:rsidRDefault="00BF493F" w:rsidP="00FB6278">
      <w:pPr>
        <w:ind w:left="-567"/>
        <w:jc w:val="both"/>
        <w:rPr>
          <w:rFonts w:ascii="Arial" w:hAnsi="Arial"/>
          <w:b/>
          <w:sz w:val="28"/>
          <w:szCs w:val="28"/>
        </w:rPr>
      </w:pPr>
      <w:r w:rsidRPr="00BF493F">
        <w:rPr>
          <w:rFonts w:ascii="Arial" w:hAnsi="Arial"/>
          <w:b/>
          <w:sz w:val="28"/>
          <w:szCs w:val="28"/>
        </w:rPr>
        <w:t xml:space="preserve">2.2 </w:t>
      </w:r>
      <w:r w:rsidR="006F3E52" w:rsidRPr="00BF493F">
        <w:rPr>
          <w:rFonts w:ascii="Arial" w:hAnsi="Arial"/>
          <w:b/>
          <w:sz w:val="28"/>
          <w:szCs w:val="28"/>
        </w:rPr>
        <w:t xml:space="preserve">Chief executive’s statement on performance </w:t>
      </w:r>
      <w:r w:rsidR="00F24421" w:rsidRPr="00BF493F">
        <w:rPr>
          <w:rFonts w:ascii="Arial" w:hAnsi="Arial"/>
          <w:b/>
          <w:sz w:val="28"/>
          <w:szCs w:val="28"/>
        </w:rPr>
        <w:t>2021/22</w:t>
      </w:r>
    </w:p>
    <w:p w14:paraId="01339102" w14:textId="77777777" w:rsidR="00644469" w:rsidRPr="00876560" w:rsidRDefault="00644469" w:rsidP="00FB6278">
      <w:pPr>
        <w:ind w:left="-567"/>
        <w:jc w:val="both"/>
        <w:rPr>
          <w:rFonts w:ascii="Arial" w:hAnsi="Arial"/>
          <w:b/>
          <w:sz w:val="22"/>
          <w:highlight w:val="yellow"/>
        </w:rPr>
      </w:pPr>
    </w:p>
    <w:p w14:paraId="61485F49" w14:textId="7E6F7037" w:rsidR="00CA06C5" w:rsidRPr="00952C33" w:rsidRDefault="00CA06C5" w:rsidP="00FB6278">
      <w:pPr>
        <w:ind w:left="-567" w:right="-613"/>
        <w:jc w:val="both"/>
        <w:rPr>
          <w:rFonts w:ascii="Arial" w:hAnsi="Arial"/>
          <w:sz w:val="22"/>
        </w:rPr>
      </w:pPr>
      <w:r w:rsidRPr="00876560">
        <w:rPr>
          <w:rFonts w:ascii="Arial" w:hAnsi="Arial"/>
          <w:sz w:val="22"/>
        </w:rPr>
        <w:t xml:space="preserve">Following on from an unprecedented and </w:t>
      </w:r>
      <w:r w:rsidR="00D40924">
        <w:rPr>
          <w:rFonts w:ascii="Arial" w:hAnsi="Arial"/>
          <w:sz w:val="22"/>
        </w:rPr>
        <w:t xml:space="preserve">challenging impact on our services during the Covid-19 pandemic, this year has </w:t>
      </w:r>
      <w:r w:rsidRPr="00876560">
        <w:rPr>
          <w:rFonts w:ascii="Arial" w:hAnsi="Arial"/>
          <w:sz w:val="22"/>
        </w:rPr>
        <w:t xml:space="preserve">been a year of recovery </w:t>
      </w:r>
      <w:r w:rsidR="00D40924">
        <w:rPr>
          <w:rFonts w:ascii="Arial" w:hAnsi="Arial"/>
          <w:sz w:val="22"/>
        </w:rPr>
        <w:t>for Moorfields as we</w:t>
      </w:r>
      <w:r w:rsidRPr="00876560">
        <w:rPr>
          <w:rFonts w:ascii="Arial" w:hAnsi="Arial"/>
          <w:sz w:val="22"/>
        </w:rPr>
        <w:t xml:space="preserve"> return to ‘business as usual’ following the pandemic.</w:t>
      </w:r>
    </w:p>
    <w:p w14:paraId="307C5A66" w14:textId="77777777" w:rsidR="00CA06C5" w:rsidRPr="00952C33" w:rsidRDefault="00CA06C5" w:rsidP="00FB6278">
      <w:pPr>
        <w:ind w:left="-567" w:right="-613"/>
        <w:jc w:val="both"/>
        <w:rPr>
          <w:rFonts w:ascii="Arial" w:hAnsi="Arial"/>
          <w:sz w:val="22"/>
        </w:rPr>
      </w:pPr>
    </w:p>
    <w:p w14:paraId="2DA4BD98" w14:textId="77777777" w:rsidR="00CA06C5" w:rsidRPr="00952C33" w:rsidRDefault="00CA06C5" w:rsidP="00FB6278">
      <w:pPr>
        <w:ind w:left="-567" w:right="-613"/>
        <w:jc w:val="both"/>
        <w:rPr>
          <w:rFonts w:ascii="Arial" w:hAnsi="Arial"/>
          <w:sz w:val="22"/>
        </w:rPr>
      </w:pPr>
      <w:r w:rsidRPr="00952C33">
        <w:rPr>
          <w:rFonts w:ascii="Arial" w:hAnsi="Arial"/>
          <w:sz w:val="22"/>
        </w:rPr>
        <w:t xml:space="preserve">We continue to provide safe and effective services for patients, underpinning everything we do as we strive to maintain high levels of patient feedback </w:t>
      </w:r>
      <w:proofErr w:type="gramStart"/>
      <w:r w:rsidRPr="00952C33">
        <w:rPr>
          <w:rFonts w:ascii="Arial" w:hAnsi="Arial"/>
          <w:sz w:val="22"/>
        </w:rPr>
        <w:t>in order to</w:t>
      </w:r>
      <w:proofErr w:type="gramEnd"/>
      <w:r w:rsidRPr="00952C33">
        <w:rPr>
          <w:rFonts w:ascii="Arial" w:hAnsi="Arial"/>
          <w:sz w:val="22"/>
        </w:rPr>
        <w:t xml:space="preserve"> continually improve services according to the needs of our patients and carers. Our clinical outcomes and safety record remain excellent, with ophthalmic clinical outcomes evidenced amongst the best in the world. Once again, our infection control team have excelled and in 2021/22 we have had no cases of MRSA or Clostridium difficile.</w:t>
      </w:r>
    </w:p>
    <w:p w14:paraId="240A2F16" w14:textId="77777777" w:rsidR="00CA06C5" w:rsidRPr="00952C33" w:rsidRDefault="00CA06C5" w:rsidP="00FB6278">
      <w:pPr>
        <w:ind w:left="-567" w:right="-613"/>
        <w:jc w:val="both"/>
        <w:rPr>
          <w:rFonts w:ascii="Arial" w:hAnsi="Arial"/>
          <w:sz w:val="22"/>
        </w:rPr>
      </w:pPr>
    </w:p>
    <w:p w14:paraId="35BD21AE" w14:textId="31FDCBF7" w:rsidR="00CA06C5" w:rsidRPr="00952C33" w:rsidRDefault="00CA06C5" w:rsidP="00FB6278">
      <w:pPr>
        <w:ind w:left="-567" w:right="-613"/>
        <w:jc w:val="both"/>
        <w:rPr>
          <w:rFonts w:ascii="Arial" w:hAnsi="Arial"/>
          <w:sz w:val="22"/>
        </w:rPr>
      </w:pPr>
      <w:r w:rsidRPr="00952C33">
        <w:rPr>
          <w:rFonts w:ascii="Arial" w:hAnsi="Arial"/>
          <w:sz w:val="22"/>
        </w:rPr>
        <w:t xml:space="preserve">Our national friends and family test stated that </w:t>
      </w:r>
      <w:proofErr w:type="gramStart"/>
      <w:r w:rsidRPr="00952C33">
        <w:rPr>
          <w:rFonts w:ascii="Arial" w:hAnsi="Arial"/>
          <w:sz w:val="22"/>
        </w:rPr>
        <w:t>the majority of</w:t>
      </w:r>
      <w:proofErr w:type="gramEnd"/>
      <w:r w:rsidRPr="00952C33">
        <w:rPr>
          <w:rFonts w:ascii="Arial" w:hAnsi="Arial"/>
          <w:sz w:val="22"/>
        </w:rPr>
        <w:t xml:space="preserve"> respondents would recommend us to their friends and family, with positive scores of 92%, 93% and 95% in our A&amp;E, </w:t>
      </w:r>
      <w:r w:rsidR="00D40924">
        <w:rPr>
          <w:rFonts w:ascii="Arial" w:hAnsi="Arial"/>
          <w:sz w:val="22"/>
        </w:rPr>
        <w:t>o</w:t>
      </w:r>
      <w:r w:rsidRPr="00952C33">
        <w:rPr>
          <w:rFonts w:ascii="Arial" w:hAnsi="Arial"/>
          <w:sz w:val="22"/>
        </w:rPr>
        <w:t xml:space="preserve">utpatient and </w:t>
      </w:r>
      <w:r w:rsidR="00D40924">
        <w:rPr>
          <w:rFonts w:ascii="Arial" w:hAnsi="Arial"/>
          <w:sz w:val="22"/>
        </w:rPr>
        <w:t>a</w:t>
      </w:r>
      <w:r w:rsidRPr="00952C33">
        <w:rPr>
          <w:rFonts w:ascii="Arial" w:hAnsi="Arial"/>
          <w:sz w:val="22"/>
        </w:rPr>
        <w:t>dmitted environments respectively.</w:t>
      </w:r>
    </w:p>
    <w:p w14:paraId="33C1DD03" w14:textId="77777777" w:rsidR="00CA06C5" w:rsidRPr="00952C33" w:rsidRDefault="00CA06C5" w:rsidP="00FB6278">
      <w:pPr>
        <w:ind w:left="-567" w:right="-613"/>
        <w:jc w:val="both"/>
        <w:rPr>
          <w:rFonts w:ascii="Arial" w:hAnsi="Arial"/>
          <w:sz w:val="22"/>
        </w:rPr>
      </w:pPr>
    </w:p>
    <w:p w14:paraId="2F489CE6" w14:textId="4606667A" w:rsidR="00CA06C5" w:rsidRPr="00952C33" w:rsidRDefault="00CA06C5" w:rsidP="00FB6278">
      <w:pPr>
        <w:ind w:left="-567" w:right="-613"/>
        <w:jc w:val="both"/>
        <w:rPr>
          <w:rFonts w:ascii="Arial" w:hAnsi="Arial"/>
          <w:sz w:val="22"/>
        </w:rPr>
      </w:pPr>
      <w:r w:rsidRPr="00952C33">
        <w:rPr>
          <w:rFonts w:ascii="Arial" w:hAnsi="Arial"/>
          <w:sz w:val="22"/>
        </w:rPr>
        <w:t>We had 663,174 patient contacts across our sites (</w:t>
      </w:r>
      <w:r w:rsidRPr="00952C33">
        <w:rPr>
          <w:rFonts w:ascii="Arial" w:hAnsi="Arial" w:cs="Arial"/>
          <w:sz w:val="22"/>
          <w:szCs w:val="22"/>
        </w:rPr>
        <w:t>exclud</w:t>
      </w:r>
      <w:r w:rsidR="00C923A3" w:rsidRPr="00952C33">
        <w:rPr>
          <w:rFonts w:ascii="Arial" w:hAnsi="Arial" w:cs="Arial"/>
          <w:sz w:val="22"/>
          <w:szCs w:val="22"/>
        </w:rPr>
        <w:t>ing</w:t>
      </w:r>
      <w:r w:rsidR="00952C33">
        <w:rPr>
          <w:rFonts w:asciiTheme="majorHAnsi" w:hAnsiTheme="majorHAnsi" w:cstheme="majorHAnsi"/>
          <w:sz w:val="22"/>
          <w:szCs w:val="22"/>
        </w:rPr>
        <w:t xml:space="preserve"> </w:t>
      </w:r>
      <w:r w:rsidRPr="00952C33">
        <w:rPr>
          <w:rFonts w:ascii="Arial" w:hAnsi="Arial"/>
          <w:sz w:val="22"/>
        </w:rPr>
        <w:t>Bedford</w:t>
      </w:r>
      <w:r w:rsidRPr="00952C33">
        <w:rPr>
          <w:rFonts w:ascii="Arial" w:hAnsi="Arial" w:cs="Arial"/>
          <w:sz w:val="22"/>
          <w:szCs w:val="22"/>
        </w:rPr>
        <w:t>)</w:t>
      </w:r>
      <w:r w:rsidRPr="00952C33">
        <w:rPr>
          <w:rFonts w:ascii="Arial" w:hAnsi="Arial"/>
          <w:sz w:val="22"/>
        </w:rPr>
        <w:t xml:space="preserve"> which</w:t>
      </w:r>
      <w:r w:rsidR="00C923A3" w:rsidRPr="00952C33">
        <w:rPr>
          <w:rFonts w:ascii="Arial" w:hAnsi="Arial"/>
          <w:sz w:val="22"/>
        </w:rPr>
        <w:t>,</w:t>
      </w:r>
      <w:r w:rsidRPr="00952C33">
        <w:rPr>
          <w:rFonts w:ascii="Arial" w:hAnsi="Arial"/>
          <w:sz w:val="22"/>
        </w:rPr>
        <w:t xml:space="preserve"> while not yet at pre-pandemic level</w:t>
      </w:r>
      <w:r w:rsidR="00C923A3" w:rsidRPr="00952C33">
        <w:rPr>
          <w:rFonts w:ascii="Arial" w:hAnsi="Arial"/>
          <w:sz w:val="22"/>
        </w:rPr>
        <w:t>,</w:t>
      </w:r>
      <w:r w:rsidRPr="00952C33">
        <w:rPr>
          <w:rFonts w:ascii="Arial" w:hAnsi="Arial"/>
          <w:sz w:val="22"/>
        </w:rPr>
        <w:t xml:space="preserve"> is an increase of over 243,000 compared to </w:t>
      </w:r>
      <w:r w:rsidR="00C923A3" w:rsidRPr="00952C33">
        <w:rPr>
          <w:rFonts w:ascii="Arial" w:hAnsi="Arial"/>
          <w:sz w:val="22"/>
        </w:rPr>
        <w:t>20</w:t>
      </w:r>
      <w:r w:rsidRPr="00952C33">
        <w:rPr>
          <w:rFonts w:ascii="Arial" w:hAnsi="Arial"/>
          <w:sz w:val="22"/>
        </w:rPr>
        <w:t xml:space="preserve">20/21. We are aiming to achieve </w:t>
      </w:r>
      <w:r w:rsidR="00D40924">
        <w:rPr>
          <w:rFonts w:ascii="Arial" w:hAnsi="Arial"/>
          <w:sz w:val="22"/>
        </w:rPr>
        <w:t>levels of pre-pandemic</w:t>
      </w:r>
      <w:r w:rsidRPr="00952C33">
        <w:rPr>
          <w:rFonts w:ascii="Arial" w:hAnsi="Arial"/>
          <w:sz w:val="22"/>
        </w:rPr>
        <w:t xml:space="preserve"> activity during the next financial year. We had 61,404 A&amp;E attendances, but also saw 11,432 A&amp;E </w:t>
      </w:r>
      <w:r w:rsidR="005B29DE">
        <w:rPr>
          <w:rFonts w:ascii="Arial" w:hAnsi="Arial"/>
          <w:sz w:val="22"/>
        </w:rPr>
        <w:t>patients</w:t>
      </w:r>
      <w:r w:rsidR="005B29DE" w:rsidRPr="00952C33">
        <w:rPr>
          <w:rFonts w:ascii="Arial" w:hAnsi="Arial"/>
          <w:sz w:val="22"/>
        </w:rPr>
        <w:t xml:space="preserve"> </w:t>
      </w:r>
      <w:r w:rsidRPr="00952C33">
        <w:rPr>
          <w:rFonts w:ascii="Arial" w:hAnsi="Arial"/>
          <w:sz w:val="22"/>
        </w:rPr>
        <w:t>via telemedicine (</w:t>
      </w:r>
      <w:r w:rsidR="00D40924">
        <w:rPr>
          <w:rFonts w:ascii="Arial" w:hAnsi="Arial"/>
          <w:sz w:val="22"/>
        </w:rPr>
        <w:t>online</w:t>
      </w:r>
      <w:r w:rsidRPr="00952C33">
        <w:rPr>
          <w:rFonts w:ascii="Arial" w:hAnsi="Arial"/>
          <w:sz w:val="22"/>
        </w:rPr>
        <w:t>) consultation. In our outpatient settings</w:t>
      </w:r>
      <w:r w:rsidR="00C923A3" w:rsidRPr="00952C33">
        <w:rPr>
          <w:rFonts w:ascii="Arial" w:hAnsi="Arial"/>
          <w:sz w:val="22"/>
        </w:rPr>
        <w:t>,</w:t>
      </w:r>
      <w:r w:rsidRPr="00952C33">
        <w:rPr>
          <w:rFonts w:ascii="Arial" w:hAnsi="Arial"/>
          <w:sz w:val="22"/>
        </w:rPr>
        <w:t xml:space="preserve"> we also continued to provide telephone and telemedicine environments, with over 47,000 patient appointments seen in a virtual setting.</w:t>
      </w:r>
    </w:p>
    <w:p w14:paraId="0FB7F11C" w14:textId="77777777" w:rsidR="00CA06C5" w:rsidRPr="00952C33" w:rsidRDefault="00CA06C5" w:rsidP="00FB6278">
      <w:pPr>
        <w:ind w:left="-567" w:right="-613"/>
        <w:jc w:val="both"/>
        <w:rPr>
          <w:rFonts w:ascii="Arial" w:hAnsi="Arial"/>
          <w:sz w:val="22"/>
        </w:rPr>
      </w:pPr>
    </w:p>
    <w:p w14:paraId="1EA97293" w14:textId="49C706EA" w:rsidR="00CA06C5" w:rsidRDefault="00CA06C5" w:rsidP="00FB6278">
      <w:pPr>
        <w:ind w:left="-567" w:right="-613"/>
        <w:jc w:val="both"/>
        <w:rPr>
          <w:rFonts w:ascii="Arial" w:hAnsi="Arial"/>
          <w:sz w:val="22"/>
        </w:rPr>
      </w:pPr>
      <w:r w:rsidRPr="00952C33">
        <w:rPr>
          <w:rFonts w:ascii="Arial" w:hAnsi="Arial"/>
          <w:sz w:val="22"/>
        </w:rPr>
        <w:t xml:space="preserve">We have continued to maintain many of our key targets in 2021/22, </w:t>
      </w:r>
      <w:r w:rsidR="00C923A3" w:rsidRPr="00952C33">
        <w:rPr>
          <w:rFonts w:ascii="Arial" w:hAnsi="Arial"/>
          <w:sz w:val="22"/>
        </w:rPr>
        <w:t xml:space="preserve">including </w:t>
      </w:r>
      <w:r w:rsidRPr="00952C33">
        <w:rPr>
          <w:rFonts w:ascii="Arial" w:hAnsi="Arial"/>
          <w:sz w:val="22"/>
        </w:rPr>
        <w:t xml:space="preserve">all cancer waiting time targets, the A&amp;E maximum four-hour waits at 99.9%, and </w:t>
      </w:r>
      <w:r w:rsidR="00C923A3" w:rsidRPr="00952C33">
        <w:rPr>
          <w:rFonts w:ascii="Arial" w:hAnsi="Arial"/>
          <w:sz w:val="22"/>
        </w:rPr>
        <w:t xml:space="preserve">we </w:t>
      </w:r>
      <w:r w:rsidRPr="00952C33">
        <w:rPr>
          <w:rFonts w:ascii="Arial" w:hAnsi="Arial"/>
          <w:sz w:val="22"/>
        </w:rPr>
        <w:t>have recovered our diagnostic waiting times to 99%.  We have not yet recovered our referral to treatment performance (71.2%) as we continue to reduce our waiting list while assisting other trusts with their longer waiting ophthalmic patients.</w:t>
      </w:r>
    </w:p>
    <w:p w14:paraId="7361268E" w14:textId="711116D6" w:rsidR="00CF1FA1" w:rsidRDefault="00CF1FA1" w:rsidP="00FB6278">
      <w:pPr>
        <w:ind w:left="-567" w:right="-613"/>
        <w:jc w:val="both"/>
        <w:rPr>
          <w:rFonts w:ascii="Arial" w:hAnsi="Arial"/>
          <w:sz w:val="22"/>
        </w:rPr>
      </w:pPr>
    </w:p>
    <w:p w14:paraId="39E0227E" w14:textId="4CA8DDEB" w:rsidR="006F3E52" w:rsidRPr="00952C33" w:rsidRDefault="006F3E52" w:rsidP="00CF1FA1">
      <w:pPr>
        <w:ind w:left="-567" w:right="-613"/>
        <w:jc w:val="both"/>
        <w:rPr>
          <w:rFonts w:ascii="Arial" w:hAnsi="Arial"/>
          <w:sz w:val="22"/>
        </w:rPr>
      </w:pPr>
    </w:p>
    <w:p w14:paraId="66980294" w14:textId="0071C09C" w:rsidR="006F3E52" w:rsidRPr="00952C33" w:rsidRDefault="00BD44BB" w:rsidP="00FB6278">
      <w:pPr>
        <w:ind w:left="-567"/>
        <w:jc w:val="both"/>
        <w:rPr>
          <w:rFonts w:ascii="Arial" w:hAnsi="Arial"/>
          <w:b/>
          <w:sz w:val="22"/>
        </w:rPr>
      </w:pPr>
      <w:r>
        <w:rPr>
          <w:rFonts w:ascii="Arial" w:hAnsi="Arial"/>
          <w:b/>
          <w:sz w:val="22"/>
        </w:rPr>
        <w:t xml:space="preserve">Dr </w:t>
      </w:r>
      <w:r w:rsidR="00F24421" w:rsidRPr="00952C33">
        <w:rPr>
          <w:rFonts w:ascii="Arial" w:hAnsi="Arial"/>
          <w:b/>
          <w:sz w:val="22"/>
        </w:rPr>
        <w:t xml:space="preserve">Martin </w:t>
      </w:r>
      <w:proofErr w:type="spellStart"/>
      <w:r w:rsidR="00F24421" w:rsidRPr="00952C33">
        <w:rPr>
          <w:rFonts w:ascii="Arial" w:hAnsi="Arial"/>
          <w:b/>
          <w:sz w:val="22"/>
        </w:rPr>
        <w:t>Kuper</w:t>
      </w:r>
      <w:proofErr w:type="spellEnd"/>
    </w:p>
    <w:p w14:paraId="70A7DA8E" w14:textId="77777777" w:rsidR="006F3E52" w:rsidRPr="00952C33" w:rsidRDefault="006F3E52" w:rsidP="00FB6278">
      <w:pPr>
        <w:ind w:left="-567"/>
        <w:jc w:val="both"/>
        <w:rPr>
          <w:rFonts w:ascii="Arial" w:hAnsi="Arial"/>
          <w:b/>
          <w:sz w:val="22"/>
        </w:rPr>
      </w:pPr>
      <w:r w:rsidRPr="00952C33">
        <w:rPr>
          <w:rFonts w:ascii="Arial" w:hAnsi="Arial"/>
          <w:b/>
          <w:sz w:val="22"/>
        </w:rPr>
        <w:t>Chief Executive</w:t>
      </w:r>
    </w:p>
    <w:p w14:paraId="72785DEA" w14:textId="110374EA" w:rsidR="006F3E52" w:rsidRPr="00952C33" w:rsidRDefault="00ED39D8" w:rsidP="00FB6278">
      <w:pPr>
        <w:ind w:left="-567"/>
        <w:jc w:val="both"/>
        <w:rPr>
          <w:rFonts w:ascii="Arial" w:hAnsi="Arial"/>
          <w:b/>
          <w:sz w:val="22"/>
        </w:rPr>
      </w:pPr>
      <w:r w:rsidRPr="00952C33">
        <w:rPr>
          <w:rFonts w:ascii="Arial" w:hAnsi="Arial"/>
          <w:b/>
          <w:sz w:val="22"/>
        </w:rPr>
        <w:t>2</w:t>
      </w:r>
      <w:r w:rsidR="00F32BD4">
        <w:rPr>
          <w:rFonts w:ascii="Arial" w:hAnsi="Arial"/>
          <w:b/>
          <w:sz w:val="22"/>
        </w:rPr>
        <w:t>1</w:t>
      </w:r>
      <w:r w:rsidRPr="00952C33">
        <w:rPr>
          <w:rFonts w:ascii="Arial" w:hAnsi="Arial"/>
          <w:b/>
          <w:sz w:val="22"/>
        </w:rPr>
        <w:t xml:space="preserve"> June</w:t>
      </w:r>
      <w:r w:rsidR="00F24421" w:rsidRPr="00952C33">
        <w:rPr>
          <w:rFonts w:ascii="Arial" w:hAnsi="Arial"/>
          <w:b/>
          <w:sz w:val="22"/>
        </w:rPr>
        <w:t xml:space="preserve"> 2022</w:t>
      </w:r>
    </w:p>
    <w:p w14:paraId="4C0E72B3" w14:textId="19561EDC" w:rsidR="00A97490" w:rsidRPr="00952C33" w:rsidRDefault="00A97490" w:rsidP="00FB6278">
      <w:pPr>
        <w:ind w:left="-567"/>
        <w:jc w:val="both"/>
        <w:rPr>
          <w:rFonts w:ascii="Arial" w:hAnsi="Arial"/>
          <w:sz w:val="22"/>
          <w:highlight w:val="yellow"/>
        </w:rPr>
      </w:pPr>
      <w:r w:rsidRPr="00952C33">
        <w:rPr>
          <w:rFonts w:ascii="Arial" w:hAnsi="Arial"/>
          <w:sz w:val="22"/>
          <w:highlight w:val="yellow"/>
        </w:rPr>
        <w:br w:type="page"/>
      </w:r>
    </w:p>
    <w:p w14:paraId="117605ED" w14:textId="69B5EA5A" w:rsidR="000B560B" w:rsidRPr="00952C33" w:rsidRDefault="0001707D" w:rsidP="00FB6278">
      <w:pPr>
        <w:pStyle w:val="MEHBoldheading1"/>
        <w:ind w:left="-567"/>
        <w:rPr>
          <w:sz w:val="28"/>
        </w:rPr>
      </w:pPr>
      <w:r>
        <w:rPr>
          <w:sz w:val="28"/>
        </w:rPr>
        <w:lastRenderedPageBreak/>
        <w:t>3</w:t>
      </w:r>
      <w:r w:rsidR="00622F9F" w:rsidRPr="00952C33">
        <w:rPr>
          <w:sz w:val="28"/>
        </w:rPr>
        <w:t xml:space="preserve">. </w:t>
      </w:r>
      <w:r w:rsidR="000B560B" w:rsidRPr="00952C33">
        <w:rPr>
          <w:sz w:val="28"/>
        </w:rPr>
        <w:t>Accountability report</w:t>
      </w:r>
    </w:p>
    <w:p w14:paraId="392845DE" w14:textId="1D573EB4" w:rsidR="00ED624C" w:rsidRPr="00952C33" w:rsidRDefault="0001707D" w:rsidP="00FB6278">
      <w:pPr>
        <w:pStyle w:val="Heading2"/>
        <w:ind w:left="-567"/>
        <w:rPr>
          <w:sz w:val="22"/>
        </w:rPr>
      </w:pPr>
      <w:r>
        <w:rPr>
          <w:sz w:val="22"/>
        </w:rPr>
        <w:t>3</w:t>
      </w:r>
      <w:r w:rsidR="009A28A3" w:rsidRPr="00952C33">
        <w:rPr>
          <w:sz w:val="22"/>
        </w:rPr>
        <w:t xml:space="preserve">.1 </w:t>
      </w:r>
      <w:r w:rsidR="009C1E4B" w:rsidRPr="00952C33">
        <w:rPr>
          <w:sz w:val="22"/>
        </w:rPr>
        <w:t>Directors’ report</w:t>
      </w:r>
    </w:p>
    <w:p w14:paraId="0A3BBA22" w14:textId="643F5EB7" w:rsidR="00FB67CC" w:rsidRPr="00952C33" w:rsidRDefault="00FB67CC" w:rsidP="00FB6278">
      <w:pPr>
        <w:pStyle w:val="MEHArial"/>
        <w:ind w:left="-567" w:right="-613"/>
        <w:jc w:val="both"/>
        <w:rPr>
          <w:sz w:val="22"/>
        </w:rPr>
      </w:pPr>
      <w:r w:rsidRPr="00952C33">
        <w:rPr>
          <w:sz w:val="22"/>
        </w:rPr>
        <w:t xml:space="preserve">The board of directors holds overall accountability for the organisation and is responsible for </w:t>
      </w:r>
      <w:r w:rsidR="002A02B0" w:rsidRPr="00952C33">
        <w:rPr>
          <w:sz w:val="22"/>
        </w:rPr>
        <w:t xml:space="preserve">its </w:t>
      </w:r>
      <w:r w:rsidRPr="00952C33">
        <w:rPr>
          <w:sz w:val="22"/>
        </w:rPr>
        <w:t xml:space="preserve">strategic direction and the high-level allocation of resources. It delegates decision making for the operational running of the trust to the chief executive. The board of directors is accountable, via the chair and non-executive directors, to the membership council who represent the public, </w:t>
      </w:r>
      <w:proofErr w:type="gramStart"/>
      <w:r w:rsidRPr="00952C33">
        <w:rPr>
          <w:sz w:val="22"/>
        </w:rPr>
        <w:t>patients</w:t>
      </w:r>
      <w:proofErr w:type="gramEnd"/>
      <w:r w:rsidRPr="00952C33">
        <w:rPr>
          <w:sz w:val="22"/>
        </w:rPr>
        <w:t xml:space="preserve"> and staff.</w:t>
      </w:r>
    </w:p>
    <w:p w14:paraId="30605BE1" w14:textId="77777777" w:rsidR="00FB67CC" w:rsidRPr="00952C33" w:rsidRDefault="00FB67CC" w:rsidP="00FB6278">
      <w:pPr>
        <w:pStyle w:val="MEHArial"/>
        <w:ind w:left="-567" w:right="-613"/>
        <w:jc w:val="both"/>
        <w:rPr>
          <w:sz w:val="22"/>
        </w:rPr>
      </w:pPr>
      <w:r w:rsidRPr="00952C33">
        <w:rPr>
          <w:sz w:val="22"/>
        </w:rPr>
        <w:t xml:space="preserve">The directors are additionally responsible for preparing the annual report and accounts. Taken as a whole, they consider these are fair, </w:t>
      </w:r>
      <w:proofErr w:type="gramStart"/>
      <w:r w:rsidRPr="00952C33">
        <w:rPr>
          <w:sz w:val="22"/>
        </w:rPr>
        <w:t>balanced</w:t>
      </w:r>
      <w:proofErr w:type="gramEnd"/>
      <w:r w:rsidRPr="00952C33">
        <w:rPr>
          <w:sz w:val="22"/>
        </w:rPr>
        <w:t xml:space="preserve"> and understandable and provide the information necessary for patients, regulators and other stakeholders to assess Moorfields’ performance, business model and strategy.</w:t>
      </w:r>
    </w:p>
    <w:p w14:paraId="7BB1A30C" w14:textId="15CE76A4" w:rsidR="00FB67CC" w:rsidRPr="00952C33" w:rsidRDefault="00FB67CC" w:rsidP="00FB6278">
      <w:pPr>
        <w:pStyle w:val="MEHArial"/>
        <w:ind w:left="-567" w:right="-613"/>
        <w:jc w:val="both"/>
        <w:rPr>
          <w:sz w:val="22"/>
        </w:rPr>
      </w:pPr>
      <w:r w:rsidRPr="00952C33">
        <w:rPr>
          <w:sz w:val="22"/>
        </w:rPr>
        <w:t>The board comprises 1</w:t>
      </w:r>
      <w:r w:rsidR="00F24421" w:rsidRPr="00952C33">
        <w:rPr>
          <w:sz w:val="22"/>
        </w:rPr>
        <w:t>6</w:t>
      </w:r>
      <w:r w:rsidRPr="00952C33">
        <w:rPr>
          <w:sz w:val="22"/>
        </w:rPr>
        <w:t xml:space="preserve"> members, </w:t>
      </w:r>
      <w:r w:rsidR="005573A4" w:rsidRPr="00952C33">
        <w:rPr>
          <w:sz w:val="22"/>
        </w:rPr>
        <w:t>nine</w:t>
      </w:r>
      <w:r w:rsidRPr="00952C33">
        <w:rPr>
          <w:sz w:val="22"/>
        </w:rPr>
        <w:t xml:space="preserve"> non-executive directors (</w:t>
      </w:r>
      <w:r w:rsidR="005573A4" w:rsidRPr="00952C33">
        <w:rPr>
          <w:sz w:val="22"/>
        </w:rPr>
        <w:t>including the chairman, eight</w:t>
      </w:r>
      <w:r w:rsidR="00952C33">
        <w:rPr>
          <w:sz w:val="22"/>
        </w:rPr>
        <w:t xml:space="preserve"> </w:t>
      </w:r>
      <w:proofErr w:type="gramStart"/>
      <w:r w:rsidRPr="00952C33">
        <w:rPr>
          <w:sz w:val="22"/>
        </w:rPr>
        <w:t>are considered to be</w:t>
      </w:r>
      <w:proofErr w:type="gramEnd"/>
      <w:r w:rsidRPr="00952C33">
        <w:rPr>
          <w:sz w:val="22"/>
        </w:rPr>
        <w:t xml:space="preserve"> independent, the </w:t>
      </w:r>
      <w:r w:rsidR="005573A4" w:rsidRPr="00952C33">
        <w:rPr>
          <w:sz w:val="22"/>
        </w:rPr>
        <w:t>ninth</w:t>
      </w:r>
      <w:r w:rsidRPr="00952C33">
        <w:rPr>
          <w:sz w:val="22"/>
        </w:rPr>
        <w:t xml:space="preserve"> being a representative of the UCL Institute of Ophthalmology as defined in the trust’s constitution) and </w:t>
      </w:r>
      <w:r w:rsidR="005573A4" w:rsidRPr="00952C33">
        <w:rPr>
          <w:sz w:val="22"/>
        </w:rPr>
        <w:t>seven</w:t>
      </w:r>
      <w:r w:rsidRPr="00952C33">
        <w:rPr>
          <w:sz w:val="22"/>
        </w:rPr>
        <w:t xml:space="preserve"> executive directors. </w:t>
      </w:r>
    </w:p>
    <w:p w14:paraId="68C8FB2B" w14:textId="77777777" w:rsidR="00FB67CC" w:rsidRPr="00952C33" w:rsidRDefault="00FB67CC" w:rsidP="00FB6278">
      <w:pPr>
        <w:pStyle w:val="MEHArial"/>
        <w:ind w:left="-567" w:right="-613"/>
        <w:jc w:val="both"/>
        <w:rPr>
          <w:sz w:val="22"/>
        </w:rPr>
      </w:pPr>
      <w:r w:rsidRPr="00952C33">
        <w:rPr>
          <w:sz w:val="22"/>
        </w:rPr>
        <w:t>Non-executive directors, including the chairman, are appointed by the membership council following recommendations from the remuneration and nomination committee for non-executive directors. Executive directors are appointed by the remuneration and nomination committee of the board.</w:t>
      </w:r>
    </w:p>
    <w:p w14:paraId="01588B8C" w14:textId="644954FA" w:rsidR="00FB67CC" w:rsidRPr="00952C33" w:rsidRDefault="00FB67CC" w:rsidP="00FB6278">
      <w:pPr>
        <w:pStyle w:val="MEHArial"/>
        <w:ind w:left="-567" w:right="-613"/>
        <w:jc w:val="both"/>
        <w:rPr>
          <w:sz w:val="22"/>
        </w:rPr>
      </w:pPr>
      <w:r w:rsidRPr="00952C33">
        <w:rPr>
          <w:sz w:val="22"/>
        </w:rPr>
        <w:t xml:space="preserve">The board of directors believes it has the appropriate balance and completeness in its composition to meet the requirements of an NHS </w:t>
      </w:r>
      <w:r w:rsidR="00D14184">
        <w:rPr>
          <w:sz w:val="22"/>
        </w:rPr>
        <w:t>F</w:t>
      </w:r>
      <w:r w:rsidRPr="00952C33">
        <w:rPr>
          <w:sz w:val="22"/>
        </w:rPr>
        <w:t xml:space="preserve">oundation </w:t>
      </w:r>
      <w:r w:rsidR="00D14184">
        <w:rPr>
          <w:sz w:val="22"/>
        </w:rPr>
        <w:t>T</w:t>
      </w:r>
      <w:r w:rsidRPr="00952C33">
        <w:rPr>
          <w:sz w:val="22"/>
        </w:rPr>
        <w:t xml:space="preserve">rust. As </w:t>
      </w:r>
      <w:proofErr w:type="gramStart"/>
      <w:r w:rsidRPr="00952C33">
        <w:rPr>
          <w:sz w:val="22"/>
        </w:rPr>
        <w:t>at</w:t>
      </w:r>
      <w:proofErr w:type="gramEnd"/>
      <w:r w:rsidRPr="00952C33">
        <w:rPr>
          <w:sz w:val="22"/>
        </w:rPr>
        <w:t xml:space="preserve"> 31 March 20</w:t>
      </w:r>
      <w:r w:rsidR="00DA5E1D" w:rsidRPr="00952C33">
        <w:rPr>
          <w:sz w:val="22"/>
        </w:rPr>
        <w:t>2</w:t>
      </w:r>
      <w:r w:rsidR="00F24421" w:rsidRPr="00952C33">
        <w:rPr>
          <w:sz w:val="22"/>
        </w:rPr>
        <w:t>2</w:t>
      </w:r>
      <w:r w:rsidRPr="00952C33">
        <w:rPr>
          <w:sz w:val="22"/>
        </w:rPr>
        <w:t>, the following individuals comprised the voting members of the board of directors (expiry of terms of office for non-executive directors are listed):</w:t>
      </w:r>
    </w:p>
    <w:p w14:paraId="3CEE350E" w14:textId="07C65A47" w:rsidR="00FB67CC" w:rsidRPr="00952C33" w:rsidRDefault="00FB67CC" w:rsidP="00FB6278">
      <w:pPr>
        <w:pStyle w:val="MEHArial"/>
        <w:spacing w:after="0"/>
        <w:ind w:left="-567" w:right="-613"/>
        <w:rPr>
          <w:sz w:val="22"/>
        </w:rPr>
      </w:pPr>
      <w:r w:rsidRPr="00952C33">
        <w:rPr>
          <w:sz w:val="22"/>
        </w:rPr>
        <w:t>Tessa Green – chairman (F) (</w:t>
      </w:r>
      <w:r w:rsidR="00BB20B1" w:rsidRPr="00952C33">
        <w:rPr>
          <w:sz w:val="22"/>
        </w:rPr>
        <w:t>3</w:t>
      </w:r>
      <w:r w:rsidR="005573A4" w:rsidRPr="00952C33">
        <w:rPr>
          <w:sz w:val="22"/>
        </w:rPr>
        <w:t xml:space="preserve"> year</w:t>
      </w:r>
      <w:r w:rsidR="00BB20B1" w:rsidRPr="00952C33">
        <w:rPr>
          <w:sz w:val="22"/>
        </w:rPr>
        <w:t>s</w:t>
      </w:r>
      <w:r w:rsidR="005573A4" w:rsidRPr="00952C33">
        <w:rPr>
          <w:sz w:val="22"/>
        </w:rPr>
        <w:t xml:space="preserve"> – </w:t>
      </w:r>
      <w:r w:rsidRPr="00952C33">
        <w:rPr>
          <w:sz w:val="22"/>
        </w:rPr>
        <w:t>31</w:t>
      </w:r>
      <w:r w:rsidR="003A4C6F" w:rsidRPr="00952C33">
        <w:rPr>
          <w:sz w:val="22"/>
        </w:rPr>
        <w:t xml:space="preserve"> August </w:t>
      </w:r>
      <w:r w:rsidR="00DA5E1D" w:rsidRPr="00952C33">
        <w:rPr>
          <w:sz w:val="22"/>
        </w:rPr>
        <w:t>2022</w:t>
      </w:r>
      <w:r w:rsidRPr="00952C33">
        <w:rPr>
          <w:sz w:val="22"/>
        </w:rPr>
        <w:t>)</w:t>
      </w:r>
    </w:p>
    <w:p w14:paraId="19762099" w14:textId="571DA56A" w:rsidR="00FB67CC" w:rsidRPr="00952C33" w:rsidRDefault="00F24421" w:rsidP="00FB6278">
      <w:pPr>
        <w:pStyle w:val="MEHArial"/>
        <w:spacing w:before="0" w:after="0"/>
        <w:ind w:left="-567" w:right="-613"/>
        <w:rPr>
          <w:sz w:val="22"/>
        </w:rPr>
      </w:pPr>
      <w:r w:rsidRPr="00952C33">
        <w:rPr>
          <w:sz w:val="22"/>
        </w:rPr>
        <w:t xml:space="preserve">Martin </w:t>
      </w:r>
      <w:proofErr w:type="spellStart"/>
      <w:r w:rsidRPr="00952C33">
        <w:rPr>
          <w:sz w:val="22"/>
        </w:rPr>
        <w:t>Kuper</w:t>
      </w:r>
      <w:proofErr w:type="spellEnd"/>
      <w:r w:rsidR="00FB67CC" w:rsidRPr="00952C33">
        <w:rPr>
          <w:sz w:val="22"/>
        </w:rPr>
        <w:t xml:space="preserve"> – chief executive </w:t>
      </w:r>
      <w:r w:rsidRPr="00952C33">
        <w:rPr>
          <w:sz w:val="22"/>
        </w:rPr>
        <w:t xml:space="preserve">from </w:t>
      </w:r>
      <w:r w:rsidRPr="00952C33">
        <w:rPr>
          <w:rFonts w:cs="Arial"/>
          <w:sz w:val="22"/>
          <w:szCs w:val="22"/>
        </w:rPr>
        <w:t>1</w:t>
      </w:r>
      <w:r w:rsidR="003A4C6F" w:rsidRPr="00952C33">
        <w:rPr>
          <w:sz w:val="22"/>
        </w:rPr>
        <w:t xml:space="preserve"> September </w:t>
      </w:r>
      <w:r w:rsidR="003A4C6F" w:rsidRPr="00952C33">
        <w:rPr>
          <w:rFonts w:cs="Arial"/>
          <w:sz w:val="22"/>
          <w:szCs w:val="22"/>
        </w:rPr>
        <w:t>20</w:t>
      </w:r>
      <w:r w:rsidRPr="00952C33">
        <w:rPr>
          <w:rFonts w:cs="Arial"/>
          <w:sz w:val="22"/>
          <w:szCs w:val="22"/>
        </w:rPr>
        <w:t>21</w:t>
      </w:r>
      <w:r w:rsidRPr="00952C33">
        <w:rPr>
          <w:sz w:val="22"/>
        </w:rPr>
        <w:t xml:space="preserve"> </w:t>
      </w:r>
      <w:r w:rsidR="00FB67CC" w:rsidRPr="00952C33">
        <w:rPr>
          <w:sz w:val="22"/>
        </w:rPr>
        <w:t>(M)</w:t>
      </w:r>
    </w:p>
    <w:p w14:paraId="63CD4999" w14:textId="710DC183" w:rsidR="00FB67CC" w:rsidRPr="00952C33" w:rsidRDefault="005573A4" w:rsidP="00FB6278">
      <w:pPr>
        <w:pStyle w:val="MEHArial"/>
        <w:spacing w:before="0" w:after="0"/>
        <w:ind w:left="-567" w:right="-613"/>
        <w:rPr>
          <w:sz w:val="22"/>
        </w:rPr>
      </w:pPr>
      <w:r w:rsidRPr="00952C33">
        <w:rPr>
          <w:sz w:val="22"/>
        </w:rPr>
        <w:t xml:space="preserve">Rosalind Given-Wilson </w:t>
      </w:r>
      <w:r w:rsidR="00FB67CC" w:rsidRPr="00952C33">
        <w:rPr>
          <w:sz w:val="22"/>
        </w:rPr>
        <w:t>– vice chairman and senior independent director (</w:t>
      </w:r>
      <w:r w:rsidRPr="00952C33">
        <w:rPr>
          <w:sz w:val="22"/>
        </w:rPr>
        <w:t>F</w:t>
      </w:r>
      <w:r w:rsidR="00FB67CC" w:rsidRPr="00952C33">
        <w:rPr>
          <w:sz w:val="22"/>
        </w:rPr>
        <w:t>) (</w:t>
      </w:r>
      <w:r w:rsidR="00F24421" w:rsidRPr="00952C33">
        <w:rPr>
          <w:sz w:val="22"/>
        </w:rPr>
        <w:t>2</w:t>
      </w:r>
      <w:r w:rsidRPr="00952C33">
        <w:rPr>
          <w:sz w:val="22"/>
        </w:rPr>
        <w:t xml:space="preserve"> year</w:t>
      </w:r>
      <w:r w:rsidR="00F24421" w:rsidRPr="00952C33">
        <w:rPr>
          <w:sz w:val="22"/>
        </w:rPr>
        <w:t>s – 30</w:t>
      </w:r>
      <w:r w:rsidR="003A4C6F" w:rsidRPr="00952C33">
        <w:rPr>
          <w:sz w:val="22"/>
        </w:rPr>
        <w:t xml:space="preserve"> April 20</w:t>
      </w:r>
      <w:r w:rsidR="00F24421" w:rsidRPr="00952C33">
        <w:rPr>
          <w:sz w:val="22"/>
        </w:rPr>
        <w:t>24</w:t>
      </w:r>
      <w:r w:rsidR="00FB67CC" w:rsidRPr="00952C33">
        <w:rPr>
          <w:sz w:val="22"/>
        </w:rPr>
        <w:t>)</w:t>
      </w:r>
    </w:p>
    <w:p w14:paraId="788B12CF" w14:textId="33AE6689" w:rsidR="00744D13" w:rsidRPr="00952C33" w:rsidRDefault="00744D13" w:rsidP="00FB6278">
      <w:pPr>
        <w:pStyle w:val="MEHArial"/>
        <w:spacing w:before="0" w:after="0"/>
        <w:ind w:left="-567" w:right="-613"/>
        <w:rPr>
          <w:sz w:val="22"/>
        </w:rPr>
      </w:pPr>
      <w:r w:rsidRPr="00952C33">
        <w:rPr>
          <w:sz w:val="22"/>
        </w:rPr>
        <w:t>Vineet Bhalla – independent non-executive director (M) (3 years – 15</w:t>
      </w:r>
      <w:r w:rsidR="003A4C6F" w:rsidRPr="00952C33">
        <w:rPr>
          <w:sz w:val="22"/>
        </w:rPr>
        <w:t xml:space="preserve"> March </w:t>
      </w:r>
      <w:r w:rsidR="003A4C6F" w:rsidRPr="00952C33">
        <w:rPr>
          <w:rFonts w:cs="Arial"/>
          <w:sz w:val="22"/>
          <w:szCs w:val="22"/>
        </w:rPr>
        <w:t>20</w:t>
      </w:r>
      <w:r w:rsidRPr="00952C33">
        <w:rPr>
          <w:rFonts w:cs="Arial"/>
          <w:sz w:val="22"/>
          <w:szCs w:val="22"/>
        </w:rPr>
        <w:t>23</w:t>
      </w:r>
      <w:r w:rsidRPr="00952C33">
        <w:rPr>
          <w:sz w:val="22"/>
        </w:rPr>
        <w:t>)</w:t>
      </w:r>
    </w:p>
    <w:p w14:paraId="558D5F60" w14:textId="44A05D07" w:rsidR="00FB67CC" w:rsidRPr="00952C33" w:rsidRDefault="00FB67CC" w:rsidP="00FB6278">
      <w:pPr>
        <w:pStyle w:val="MEHArial"/>
        <w:spacing w:before="0" w:after="0"/>
        <w:ind w:left="-567" w:right="-613"/>
        <w:rPr>
          <w:sz w:val="22"/>
        </w:rPr>
      </w:pPr>
      <w:r w:rsidRPr="00952C33">
        <w:rPr>
          <w:sz w:val="22"/>
        </w:rPr>
        <w:t>Professor Andrew Dick – non-executive director (M) (3 years – 30</w:t>
      </w:r>
      <w:r w:rsidR="003A4C6F" w:rsidRPr="00952C33">
        <w:rPr>
          <w:sz w:val="22"/>
        </w:rPr>
        <w:t xml:space="preserve"> September </w:t>
      </w:r>
      <w:r w:rsidR="003A4C6F" w:rsidRPr="00952C33">
        <w:rPr>
          <w:rFonts w:cs="Arial"/>
          <w:sz w:val="22"/>
          <w:szCs w:val="22"/>
        </w:rPr>
        <w:t>20</w:t>
      </w:r>
      <w:r w:rsidR="00DA5E1D" w:rsidRPr="00952C33">
        <w:rPr>
          <w:rFonts w:cs="Arial"/>
          <w:sz w:val="22"/>
          <w:szCs w:val="22"/>
        </w:rPr>
        <w:t>22</w:t>
      </w:r>
      <w:r w:rsidRPr="00952C33">
        <w:rPr>
          <w:sz w:val="22"/>
        </w:rPr>
        <w:t>)</w:t>
      </w:r>
    </w:p>
    <w:p w14:paraId="6F5BF002" w14:textId="275FC57A" w:rsidR="00FB67CC" w:rsidRPr="00952C33" w:rsidRDefault="00FB67CC" w:rsidP="00FB6278">
      <w:pPr>
        <w:pStyle w:val="MEHArial"/>
        <w:spacing w:before="0" w:after="0"/>
        <w:ind w:left="-567" w:right="-613"/>
        <w:rPr>
          <w:sz w:val="22"/>
        </w:rPr>
      </w:pPr>
      <w:r w:rsidRPr="00952C33">
        <w:rPr>
          <w:sz w:val="22"/>
        </w:rPr>
        <w:t>Nick Hardie – independent non-executive director (M) (3 years – 31</w:t>
      </w:r>
      <w:r w:rsidR="003A4C6F" w:rsidRPr="00952C33">
        <w:rPr>
          <w:sz w:val="22"/>
        </w:rPr>
        <w:t xml:space="preserve"> December 20</w:t>
      </w:r>
      <w:r w:rsidR="00DA5E1D" w:rsidRPr="00952C33">
        <w:rPr>
          <w:sz w:val="22"/>
        </w:rPr>
        <w:t>22</w:t>
      </w:r>
      <w:r w:rsidRPr="00952C33">
        <w:rPr>
          <w:sz w:val="22"/>
        </w:rPr>
        <w:t>)</w:t>
      </w:r>
    </w:p>
    <w:p w14:paraId="35135D03" w14:textId="46A859FC" w:rsidR="00FB67CC" w:rsidRPr="00952C33" w:rsidRDefault="00FB67CC" w:rsidP="00FB6278">
      <w:pPr>
        <w:pStyle w:val="MEHArial"/>
        <w:spacing w:before="0" w:after="0"/>
        <w:ind w:left="-567" w:right="-613"/>
        <w:rPr>
          <w:sz w:val="22"/>
        </w:rPr>
      </w:pPr>
      <w:r w:rsidRPr="00952C33">
        <w:rPr>
          <w:sz w:val="22"/>
        </w:rPr>
        <w:t>David Hills – independent non-executive director (M) (3 years – 31</w:t>
      </w:r>
      <w:r w:rsidR="003A4C6F" w:rsidRPr="00952C33">
        <w:rPr>
          <w:sz w:val="22"/>
        </w:rPr>
        <w:t xml:space="preserve"> March </w:t>
      </w:r>
      <w:r w:rsidR="003A4C6F" w:rsidRPr="00952C33">
        <w:rPr>
          <w:rFonts w:cs="Arial"/>
          <w:sz w:val="22"/>
          <w:szCs w:val="22"/>
        </w:rPr>
        <w:t>20</w:t>
      </w:r>
      <w:r w:rsidRPr="00952C33">
        <w:rPr>
          <w:rFonts w:cs="Arial"/>
          <w:sz w:val="22"/>
          <w:szCs w:val="22"/>
        </w:rPr>
        <w:t>2</w:t>
      </w:r>
      <w:r w:rsidR="00DA5E1D" w:rsidRPr="00952C33">
        <w:rPr>
          <w:rFonts w:cs="Arial"/>
          <w:sz w:val="22"/>
          <w:szCs w:val="22"/>
        </w:rPr>
        <w:t>3</w:t>
      </w:r>
      <w:r w:rsidRPr="00952C33">
        <w:rPr>
          <w:sz w:val="22"/>
        </w:rPr>
        <w:t>)</w:t>
      </w:r>
    </w:p>
    <w:p w14:paraId="375987AF" w14:textId="4390E520" w:rsidR="00744D13" w:rsidRPr="00952C33" w:rsidRDefault="00744D13" w:rsidP="00FB6278">
      <w:pPr>
        <w:pStyle w:val="MEHArial"/>
        <w:spacing w:before="0" w:after="0"/>
        <w:ind w:left="-567" w:right="-613"/>
        <w:rPr>
          <w:sz w:val="22"/>
        </w:rPr>
      </w:pPr>
      <w:r w:rsidRPr="00952C33">
        <w:rPr>
          <w:sz w:val="22"/>
        </w:rPr>
        <w:t>Richard Holmes – independent non-executive director (M) (3 years – 15</w:t>
      </w:r>
      <w:r w:rsidR="003A4C6F" w:rsidRPr="00952C33">
        <w:rPr>
          <w:sz w:val="22"/>
        </w:rPr>
        <w:t xml:space="preserve"> March </w:t>
      </w:r>
      <w:r w:rsidR="003A4C6F" w:rsidRPr="00952C33">
        <w:rPr>
          <w:rFonts w:cs="Arial"/>
          <w:sz w:val="22"/>
          <w:szCs w:val="22"/>
        </w:rPr>
        <w:t>20</w:t>
      </w:r>
      <w:r w:rsidRPr="00952C33">
        <w:rPr>
          <w:rFonts w:cs="Arial"/>
          <w:sz w:val="22"/>
          <w:szCs w:val="22"/>
        </w:rPr>
        <w:t>23</w:t>
      </w:r>
      <w:r w:rsidRPr="00952C33">
        <w:rPr>
          <w:sz w:val="22"/>
        </w:rPr>
        <w:t>)</w:t>
      </w:r>
    </w:p>
    <w:p w14:paraId="42E3FF4D" w14:textId="710F93EC" w:rsidR="00FB67CC" w:rsidRPr="00952C33" w:rsidRDefault="00FB67CC" w:rsidP="00FB6278">
      <w:pPr>
        <w:pStyle w:val="MEHArial"/>
        <w:spacing w:before="0" w:after="0"/>
        <w:ind w:left="-567" w:right="-613"/>
        <w:rPr>
          <w:sz w:val="22"/>
        </w:rPr>
      </w:pPr>
      <w:r w:rsidRPr="00952C33">
        <w:rPr>
          <w:sz w:val="22"/>
        </w:rPr>
        <w:t>Sumita Singha – independent non-executiv</w:t>
      </w:r>
      <w:r w:rsidR="00F24421" w:rsidRPr="00952C33">
        <w:rPr>
          <w:sz w:val="22"/>
        </w:rPr>
        <w:t>e director (F) (</w:t>
      </w:r>
      <w:r w:rsidR="00E8754C">
        <w:rPr>
          <w:sz w:val="22"/>
        </w:rPr>
        <w:t xml:space="preserve">End of term April 2022, </w:t>
      </w:r>
      <w:r w:rsidR="00F24421" w:rsidRPr="00952C33">
        <w:rPr>
          <w:sz w:val="22"/>
        </w:rPr>
        <w:t>No further extensions</w:t>
      </w:r>
      <w:r w:rsidRPr="00952C33">
        <w:rPr>
          <w:sz w:val="22"/>
        </w:rPr>
        <w:t>)</w:t>
      </w:r>
    </w:p>
    <w:p w14:paraId="25FE2B1A" w14:textId="28B2C887" w:rsidR="005573A4" w:rsidRPr="00952C33" w:rsidRDefault="005573A4" w:rsidP="00FB6278">
      <w:pPr>
        <w:pStyle w:val="MEHArial"/>
        <w:spacing w:before="0" w:after="0"/>
        <w:ind w:left="-567" w:right="-613"/>
        <w:rPr>
          <w:sz w:val="22"/>
        </w:rPr>
      </w:pPr>
      <w:r w:rsidRPr="00952C33">
        <w:rPr>
          <w:sz w:val="22"/>
        </w:rPr>
        <w:t>Adrian Morris – independent non-executive director (M) (3 years – 28</w:t>
      </w:r>
      <w:r w:rsidR="003A4C6F" w:rsidRPr="00952C33">
        <w:rPr>
          <w:sz w:val="22"/>
        </w:rPr>
        <w:t xml:space="preserve"> February </w:t>
      </w:r>
      <w:r w:rsidR="003A4C6F" w:rsidRPr="00952C33">
        <w:rPr>
          <w:rFonts w:cs="Arial"/>
          <w:sz w:val="22"/>
          <w:szCs w:val="22"/>
        </w:rPr>
        <w:t>20</w:t>
      </w:r>
      <w:r w:rsidRPr="00952C33">
        <w:rPr>
          <w:rFonts w:cs="Arial"/>
          <w:sz w:val="22"/>
          <w:szCs w:val="22"/>
        </w:rPr>
        <w:t>24</w:t>
      </w:r>
      <w:r w:rsidRPr="00952C33">
        <w:rPr>
          <w:sz w:val="22"/>
        </w:rPr>
        <w:t>)</w:t>
      </w:r>
    </w:p>
    <w:p w14:paraId="3FC60431" w14:textId="77777777" w:rsidR="00FB67CC" w:rsidRPr="00952C33" w:rsidRDefault="00FB67CC" w:rsidP="00FB6278">
      <w:pPr>
        <w:pStyle w:val="MEHArial"/>
        <w:spacing w:before="0" w:after="0"/>
        <w:ind w:left="-567" w:right="-613"/>
        <w:rPr>
          <w:sz w:val="22"/>
        </w:rPr>
      </w:pPr>
      <w:r w:rsidRPr="00952C33">
        <w:rPr>
          <w:sz w:val="22"/>
        </w:rPr>
        <w:t>Jonathan Wilson – chief financial officer (M)</w:t>
      </w:r>
    </w:p>
    <w:p w14:paraId="2A9B8FC3" w14:textId="6BD4B1AF" w:rsidR="00FB67CC" w:rsidRPr="00952C33" w:rsidRDefault="005573A4" w:rsidP="00FB6278">
      <w:pPr>
        <w:pStyle w:val="MEHArial"/>
        <w:spacing w:before="0" w:after="0"/>
        <w:ind w:left="-567" w:right="-613"/>
        <w:rPr>
          <w:sz w:val="22"/>
        </w:rPr>
      </w:pPr>
      <w:r w:rsidRPr="00952C33">
        <w:rPr>
          <w:sz w:val="22"/>
        </w:rPr>
        <w:t>Louisa Wickham</w:t>
      </w:r>
      <w:r w:rsidR="00FB67CC" w:rsidRPr="00952C33">
        <w:rPr>
          <w:sz w:val="22"/>
        </w:rPr>
        <w:t xml:space="preserve"> – medical director (</w:t>
      </w:r>
      <w:r w:rsidRPr="00952C33">
        <w:rPr>
          <w:sz w:val="22"/>
        </w:rPr>
        <w:t>F</w:t>
      </w:r>
      <w:r w:rsidR="00FB67CC" w:rsidRPr="00952C33">
        <w:rPr>
          <w:sz w:val="22"/>
        </w:rPr>
        <w:t>)</w:t>
      </w:r>
    </w:p>
    <w:p w14:paraId="345EE691" w14:textId="1B43EC4D" w:rsidR="00FB67CC" w:rsidRPr="00952C33" w:rsidRDefault="00FB67CC" w:rsidP="00FB6278">
      <w:pPr>
        <w:pStyle w:val="MEHArial"/>
        <w:spacing w:before="0" w:after="0"/>
        <w:ind w:left="-567" w:right="-613"/>
        <w:rPr>
          <w:sz w:val="22"/>
        </w:rPr>
      </w:pPr>
      <w:r w:rsidRPr="00952C33">
        <w:rPr>
          <w:sz w:val="22"/>
        </w:rPr>
        <w:t xml:space="preserve">Professor Sir Peng Tee Khaw – director of research </w:t>
      </w:r>
      <w:r w:rsidR="003A4C6F" w:rsidRPr="00952C33">
        <w:rPr>
          <w:sz w:val="22"/>
        </w:rPr>
        <w:t>and</w:t>
      </w:r>
      <w:r w:rsidRPr="00952C33">
        <w:rPr>
          <w:sz w:val="22"/>
        </w:rPr>
        <w:t xml:space="preserve"> development (M)</w:t>
      </w:r>
    </w:p>
    <w:p w14:paraId="37C01C99" w14:textId="4D152719" w:rsidR="00FB67CC" w:rsidRPr="00952C33" w:rsidRDefault="005573A4" w:rsidP="00FB6278">
      <w:pPr>
        <w:pStyle w:val="MEHArial"/>
        <w:spacing w:before="0" w:after="0"/>
        <w:ind w:left="-567" w:right="-613"/>
        <w:rPr>
          <w:sz w:val="22"/>
        </w:rPr>
      </w:pPr>
      <w:r w:rsidRPr="00952C33">
        <w:rPr>
          <w:sz w:val="22"/>
        </w:rPr>
        <w:t>Jon Spencer</w:t>
      </w:r>
      <w:r w:rsidR="00FB67CC" w:rsidRPr="00952C33">
        <w:rPr>
          <w:sz w:val="22"/>
        </w:rPr>
        <w:t xml:space="preserve"> – chief operating officer (M)</w:t>
      </w:r>
    </w:p>
    <w:p w14:paraId="6015DDD7" w14:textId="49CDCC64" w:rsidR="00FB67CC" w:rsidRPr="00952C33" w:rsidRDefault="0080746F" w:rsidP="00FB6278">
      <w:pPr>
        <w:pStyle w:val="MEHArial"/>
        <w:spacing w:before="0" w:after="0"/>
        <w:ind w:left="-567" w:right="-613"/>
        <w:rPr>
          <w:sz w:val="22"/>
        </w:rPr>
      </w:pPr>
      <w:r w:rsidRPr="00952C33">
        <w:rPr>
          <w:sz w:val="22"/>
        </w:rPr>
        <w:t>Johanna Moss – director of strategy and partnerships (F)</w:t>
      </w:r>
      <w:r w:rsidR="00F24421" w:rsidRPr="00952C33">
        <w:rPr>
          <w:sz w:val="22"/>
        </w:rPr>
        <w:t xml:space="preserve"> </w:t>
      </w:r>
    </w:p>
    <w:p w14:paraId="7223A661" w14:textId="35E58BC2" w:rsidR="00853A64" w:rsidRPr="00952C33" w:rsidRDefault="00853A64" w:rsidP="00FB6278">
      <w:pPr>
        <w:pStyle w:val="MEHArial"/>
        <w:spacing w:before="0" w:after="0"/>
        <w:ind w:left="-567" w:right="-613"/>
        <w:rPr>
          <w:sz w:val="22"/>
        </w:rPr>
      </w:pPr>
      <w:r w:rsidRPr="00952C33">
        <w:rPr>
          <w:sz w:val="22"/>
        </w:rPr>
        <w:t>Sarah Needham – acting chief nurse and director of allied health professionals (F)</w:t>
      </w:r>
    </w:p>
    <w:p w14:paraId="1DEDEFAB" w14:textId="77777777" w:rsidR="0080746F" w:rsidRPr="00952C33" w:rsidRDefault="0080746F" w:rsidP="00FB6278">
      <w:pPr>
        <w:pStyle w:val="MEHArial"/>
        <w:spacing w:before="0" w:after="0"/>
        <w:ind w:left="-567" w:right="-613"/>
        <w:rPr>
          <w:sz w:val="22"/>
        </w:rPr>
      </w:pPr>
    </w:p>
    <w:p w14:paraId="41EC6D27" w14:textId="732426A4" w:rsidR="00FB67CC" w:rsidRPr="00952C33" w:rsidRDefault="00FB67CC" w:rsidP="00FB6278">
      <w:pPr>
        <w:pStyle w:val="MEHArial"/>
        <w:spacing w:before="0" w:after="0"/>
        <w:ind w:left="-567" w:right="-613"/>
        <w:rPr>
          <w:sz w:val="22"/>
        </w:rPr>
      </w:pPr>
      <w:r w:rsidRPr="00952C33">
        <w:rPr>
          <w:sz w:val="22"/>
        </w:rPr>
        <w:t xml:space="preserve">The </w:t>
      </w:r>
      <w:r w:rsidR="00BB20B1" w:rsidRPr="00952C33">
        <w:rPr>
          <w:sz w:val="22"/>
        </w:rPr>
        <w:t>non-voting</w:t>
      </w:r>
      <w:r w:rsidRPr="00952C33">
        <w:rPr>
          <w:sz w:val="22"/>
        </w:rPr>
        <w:t xml:space="preserve"> directors listed below attend board meetings, but do not have voting rights:</w:t>
      </w:r>
    </w:p>
    <w:p w14:paraId="58F12250" w14:textId="1E2FACA0" w:rsidR="00FB67CC" w:rsidRPr="00952C33" w:rsidRDefault="005573A4" w:rsidP="00FB6278">
      <w:pPr>
        <w:pStyle w:val="MEHArial"/>
        <w:spacing w:before="0" w:after="0"/>
        <w:ind w:left="-567" w:right="-613"/>
        <w:rPr>
          <w:sz w:val="22"/>
        </w:rPr>
      </w:pPr>
      <w:r w:rsidRPr="00952C33">
        <w:rPr>
          <w:sz w:val="22"/>
        </w:rPr>
        <w:t>Nick Roberts</w:t>
      </w:r>
      <w:r w:rsidR="00FB67CC" w:rsidRPr="00952C33">
        <w:rPr>
          <w:sz w:val="22"/>
        </w:rPr>
        <w:t xml:space="preserve"> – chief information officer (</w:t>
      </w:r>
      <w:r w:rsidRPr="00952C33">
        <w:rPr>
          <w:sz w:val="22"/>
        </w:rPr>
        <w:t>M</w:t>
      </w:r>
      <w:r w:rsidR="00FB67CC" w:rsidRPr="00952C33">
        <w:rPr>
          <w:sz w:val="22"/>
        </w:rPr>
        <w:t xml:space="preserve">) </w:t>
      </w:r>
    </w:p>
    <w:p w14:paraId="35BE339A" w14:textId="77777777" w:rsidR="00FB67CC" w:rsidRPr="00952C33" w:rsidRDefault="00FB67CC" w:rsidP="00FB6278">
      <w:pPr>
        <w:pStyle w:val="MEHArial"/>
        <w:spacing w:before="0" w:after="0"/>
        <w:ind w:left="-567" w:right="-613"/>
        <w:rPr>
          <w:sz w:val="22"/>
        </w:rPr>
      </w:pPr>
      <w:r w:rsidRPr="00952C33">
        <w:rPr>
          <w:sz w:val="22"/>
        </w:rPr>
        <w:t xml:space="preserve">Ian </w:t>
      </w:r>
      <w:proofErr w:type="spellStart"/>
      <w:r w:rsidRPr="00952C33">
        <w:rPr>
          <w:sz w:val="22"/>
        </w:rPr>
        <w:t>Tombleson</w:t>
      </w:r>
      <w:proofErr w:type="spellEnd"/>
      <w:r w:rsidRPr="00952C33">
        <w:rPr>
          <w:sz w:val="22"/>
        </w:rPr>
        <w:t xml:space="preserve"> – director of quality &amp; patient safety (M)</w:t>
      </w:r>
    </w:p>
    <w:p w14:paraId="5CCE5AEF" w14:textId="77777777" w:rsidR="00FB67CC" w:rsidRPr="00952C33" w:rsidRDefault="00FB67CC" w:rsidP="00FB6278">
      <w:pPr>
        <w:pStyle w:val="MEHArial"/>
        <w:spacing w:before="0" w:after="0"/>
        <w:ind w:left="-567" w:right="-613"/>
        <w:rPr>
          <w:sz w:val="22"/>
        </w:rPr>
      </w:pPr>
      <w:r w:rsidRPr="00952C33">
        <w:rPr>
          <w:sz w:val="22"/>
        </w:rPr>
        <w:t xml:space="preserve">Sandi </w:t>
      </w:r>
      <w:proofErr w:type="spellStart"/>
      <w:r w:rsidRPr="00952C33">
        <w:rPr>
          <w:sz w:val="22"/>
        </w:rPr>
        <w:t>Drewett</w:t>
      </w:r>
      <w:proofErr w:type="spellEnd"/>
      <w:r w:rsidRPr="00952C33">
        <w:rPr>
          <w:sz w:val="22"/>
        </w:rPr>
        <w:t xml:space="preserve"> – director of workforce &amp; OD (F)</w:t>
      </w:r>
    </w:p>
    <w:p w14:paraId="7383614E" w14:textId="77777777" w:rsidR="00FB67CC" w:rsidRPr="00952C33" w:rsidRDefault="00FB67CC" w:rsidP="00FB6278">
      <w:pPr>
        <w:pStyle w:val="MEHArial"/>
        <w:spacing w:before="0" w:after="0"/>
        <w:ind w:left="-567" w:right="-613"/>
        <w:rPr>
          <w:sz w:val="22"/>
        </w:rPr>
      </w:pPr>
      <w:r w:rsidRPr="00952C33">
        <w:rPr>
          <w:sz w:val="22"/>
        </w:rPr>
        <w:t xml:space="preserve">Kieran McDaid – director of estates, </w:t>
      </w:r>
      <w:proofErr w:type="gramStart"/>
      <w:r w:rsidRPr="00952C33">
        <w:rPr>
          <w:sz w:val="22"/>
        </w:rPr>
        <w:t>capital</w:t>
      </w:r>
      <w:proofErr w:type="gramEnd"/>
      <w:r w:rsidRPr="00952C33">
        <w:rPr>
          <w:sz w:val="22"/>
        </w:rPr>
        <w:t xml:space="preserve"> and major projects (M)</w:t>
      </w:r>
    </w:p>
    <w:p w14:paraId="6A0B3EF5" w14:textId="77777777" w:rsidR="00FB67CC" w:rsidRPr="00952C33" w:rsidRDefault="00FB67CC" w:rsidP="00FB6278">
      <w:pPr>
        <w:ind w:left="-567" w:right="-613"/>
        <w:rPr>
          <w:rFonts w:ascii="Arial" w:hAnsi="Arial"/>
          <w:sz w:val="22"/>
        </w:rPr>
      </w:pPr>
    </w:p>
    <w:p w14:paraId="2D457593" w14:textId="77777777" w:rsidR="00FB67CC" w:rsidRPr="00952C33" w:rsidRDefault="00FB67CC" w:rsidP="00FB6278">
      <w:pPr>
        <w:ind w:left="-567" w:right="-613"/>
        <w:rPr>
          <w:rStyle w:val="Hyperlink"/>
          <w:rFonts w:ascii="Arial" w:hAnsi="Arial"/>
          <w:color w:val="auto"/>
          <w:sz w:val="22"/>
          <w:u w:val="none"/>
        </w:rPr>
      </w:pPr>
      <w:r w:rsidRPr="00952C33">
        <w:rPr>
          <w:rFonts w:ascii="Arial" w:hAnsi="Arial"/>
          <w:sz w:val="22"/>
        </w:rPr>
        <w:t xml:space="preserve">Full profiles of all board members can be found here: </w:t>
      </w:r>
      <w:hyperlink r:id="rId20" w:history="1">
        <w:r w:rsidRPr="00952C33">
          <w:rPr>
            <w:rStyle w:val="Hyperlink"/>
            <w:rFonts w:ascii="Arial" w:hAnsi="Arial"/>
            <w:sz w:val="22"/>
          </w:rPr>
          <w:t>https://www.moorfields.nhs.uk/content/trust-board</w:t>
        </w:r>
      </w:hyperlink>
    </w:p>
    <w:p w14:paraId="5CBC477E" w14:textId="77777777" w:rsidR="00FB67CC" w:rsidRPr="00952C33" w:rsidRDefault="00FB67CC" w:rsidP="00FB6278">
      <w:pPr>
        <w:ind w:left="-567" w:right="-613"/>
        <w:rPr>
          <w:rFonts w:ascii="Arial" w:hAnsi="Arial"/>
          <w:sz w:val="22"/>
        </w:rPr>
      </w:pPr>
    </w:p>
    <w:p w14:paraId="575230DC" w14:textId="77777777" w:rsidR="00FB67CC" w:rsidRPr="00952C33" w:rsidRDefault="00FB67CC" w:rsidP="00FB6278">
      <w:pPr>
        <w:ind w:left="-567" w:right="-613"/>
        <w:rPr>
          <w:rFonts w:ascii="Arial" w:hAnsi="Arial"/>
          <w:sz w:val="22"/>
        </w:rPr>
        <w:sectPr w:rsidR="00FB67CC" w:rsidRPr="00952C33" w:rsidSect="00E45051">
          <w:pgSz w:w="11906" w:h="16838"/>
          <w:pgMar w:top="851" w:right="1440" w:bottom="993" w:left="1440" w:header="708" w:footer="0" w:gutter="0"/>
          <w:pgNumType w:start="6"/>
          <w:cols w:space="708"/>
          <w:titlePg/>
          <w:docGrid w:linePitch="360"/>
        </w:sectPr>
      </w:pPr>
    </w:p>
    <w:p w14:paraId="2FDE6DB1" w14:textId="1767705D" w:rsidR="00FB67CC" w:rsidRPr="00952C33" w:rsidRDefault="00DA5E1D" w:rsidP="00FB6278">
      <w:pPr>
        <w:pStyle w:val="MEHArial"/>
        <w:spacing w:before="0" w:after="0"/>
        <w:rPr>
          <w:b/>
          <w:sz w:val="22"/>
        </w:rPr>
      </w:pPr>
      <w:r w:rsidRPr="00952C33">
        <w:rPr>
          <w:b/>
          <w:sz w:val="22"/>
        </w:rPr>
        <w:lastRenderedPageBreak/>
        <w:t>20</w:t>
      </w:r>
      <w:r w:rsidR="00977D61" w:rsidRPr="00952C33">
        <w:rPr>
          <w:b/>
          <w:sz w:val="22"/>
        </w:rPr>
        <w:t>21</w:t>
      </w:r>
      <w:r w:rsidRPr="00952C33">
        <w:rPr>
          <w:b/>
          <w:sz w:val="22"/>
        </w:rPr>
        <w:t>/2</w:t>
      </w:r>
      <w:r w:rsidR="00977D61" w:rsidRPr="00952C33">
        <w:rPr>
          <w:b/>
          <w:sz w:val="22"/>
        </w:rPr>
        <w:t>2</w:t>
      </w:r>
      <w:r w:rsidR="00FB67CC" w:rsidRPr="00952C33">
        <w:rPr>
          <w:b/>
          <w:sz w:val="22"/>
        </w:rPr>
        <w:t xml:space="preserve"> attendance record – </w:t>
      </w:r>
      <w:r w:rsidR="00151580" w:rsidRPr="00952C33">
        <w:rPr>
          <w:b/>
          <w:sz w:val="22"/>
        </w:rPr>
        <w:t xml:space="preserve">voting </w:t>
      </w:r>
      <w:r w:rsidR="00FB67CC" w:rsidRPr="00952C33">
        <w:rPr>
          <w:b/>
          <w:sz w:val="22"/>
        </w:rPr>
        <w:t>board of directors</w:t>
      </w:r>
      <w:r w:rsidR="00FB67CC" w:rsidRPr="00952C33">
        <w:rPr>
          <w:noProof/>
          <w:sz w:val="22"/>
        </w:rPr>
        <mc:AlternateContent>
          <mc:Choice Requires="wps">
            <w:drawing>
              <wp:anchor distT="0" distB="0" distL="114300" distR="114300" simplePos="0" relativeHeight="251805696" behindDoc="0" locked="0" layoutInCell="1" allowOverlap="1" wp14:anchorId="0322E271" wp14:editId="6C55B2EF">
                <wp:simplePos x="0" y="0"/>
                <wp:positionH relativeFrom="column">
                  <wp:posOffset>5945505</wp:posOffset>
                </wp:positionH>
                <wp:positionV relativeFrom="paragraph">
                  <wp:posOffset>9592310</wp:posOffset>
                </wp:positionV>
                <wp:extent cx="952500" cy="304800"/>
                <wp:effectExtent l="0" t="0" r="0" b="0"/>
                <wp:wrapNone/>
                <wp:docPr id="350" name="Text Box 350"/>
                <wp:cNvGraphicFramePr/>
                <a:graphic xmlns:a="http://schemas.openxmlformats.org/drawingml/2006/main">
                  <a:graphicData uri="http://schemas.microsoft.com/office/word/2010/wordprocessingShape">
                    <wps:wsp>
                      <wps:cNvSpPr txBox="1"/>
                      <wps:spPr>
                        <a:xfrm>
                          <a:off x="0" y="0"/>
                          <a:ext cx="95250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98266D" w14:textId="77777777" w:rsidR="000A37A7" w:rsidRPr="00857562" w:rsidRDefault="000A37A7" w:rsidP="00FB67CC">
                            <w:pPr>
                              <w:jc w:val="right"/>
                              <w:rPr>
                                <w:rFonts w:asciiTheme="majorHAnsi" w:hAnsiTheme="majorHAnsi" w:cstheme="majorHAnsi"/>
                              </w:rPr>
                            </w:pPr>
                            <w:r w:rsidRPr="00857562">
                              <w:rPr>
                                <w:rFonts w:asciiTheme="majorHAnsi" w:hAnsiTheme="majorHAnsi" w:cstheme="majorHAnsi"/>
                              </w:rPr>
                              <w:t xml:space="preserve">Page </w:t>
                            </w:r>
                            <w:r>
                              <w:rPr>
                                <w:rFonts w:asciiTheme="majorHAnsi" w:hAnsiTheme="majorHAnsi" w:cstheme="majorHAnsi"/>
                              </w:rPr>
                              <w:t>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22E271" id="_x0000_t202" coordsize="21600,21600" o:spt="202" path="m,l,21600r21600,l21600,xe">
                <v:stroke joinstyle="miter"/>
                <v:path gradientshapeok="t" o:connecttype="rect"/>
              </v:shapetype>
              <v:shape id="Text Box 350" o:spid="_x0000_s1026" type="#_x0000_t202" style="position:absolute;margin-left:468.15pt;margin-top:755.3pt;width:75pt;height:24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eCXdAIAAGQFAAAOAAAAZHJzL2Uyb0RvYy54bWysVEtv2zAMvg/YfxB0X+ykSdcGcYosRYYB&#10;RVssHXpWZCkRJouapMTOfn0p2Xms66XDLjYlfiTFj4/JTVNpshPOKzAF7fdySoThUCqzLuiPp8Wn&#10;K0p8YKZkGowo6F54ejP9+GFS27EYwAZ0KRxBJ8aPa1vQTQh2nGWeb0TFfA+sMKiU4CoW8OjWWelY&#10;jd4rnQ3y/DKrwZXWARfe4+1tq6TT5F9KwcODlF4EoguKbwvp69J3Fb/ZdMLGa8fsRvHuGewfXlEx&#10;ZTDo0dUtC4xsnfrLVaW4Aw8y9DhUGUipuEg5YDb9/FU2yw2zIuWC5Hh7pMn/P7f8fre0j46E5gs0&#10;WMBISG392ONlzKeRrop/fClBPVK4P9ImmkA4Xl6PBqMcNRxVF/nwCmX0kp2MrfPhq4CKRKGgDquS&#10;yGK7Ox9a6AESY3nQqlwordMhdoKYa0d2DGuoQ3oiOv8DpQ2pC3p5McqTYwPRvPWsTXQjUi904U4J&#10;JinstYgYbb4LSVSZ8nwjNuNcmGP8hI4oiaHeY9jhT696j3GbB1qkyGDC0bhSBlzKPg3PibLy54Ey&#10;2eKxNmd5RzE0q6Yr/ArKPfaDg3ZUvOULhVW7Yz48MoezgYXGeQ8P+JEakHXoJEo24H6/dR/x2LKo&#10;paTGWSuo/7VlTlCivxls5uv+cBiHMx2Go88DPLhzzepcY7bVHLAV+rhZLE9ixAd9EKWD6hnXwixG&#10;RRUzHGMXNBzEeWg3AK4VLmazBMJxtCzcmaXl0XWkN/bkU/PMnO0aN2DH38NhKtn4Vf+22GhpYLYN&#10;IFVq7khwy2pHPI5yGo9u7cRdcX5OqNNynL4AAAD//wMAUEsDBBQABgAIAAAAIQBr4hxL4gAAAA4B&#10;AAAPAAAAZHJzL2Rvd25yZXYueG1sTI9PT4QwEMXvJn6HZky8mN12JSAiZWOMf5K9uawab106ApFO&#10;Ce0CfnvLSY/z3i9v3su3s+nYiINrLUnYrAUwpMrqlmoJh/JplQJzXpFWnSWU8IMOtsX5Wa4ybSd6&#10;xXHvaxZCyGVKQuN9n3HuqgaNcmvbIwXvyw5G+XAONdeDmkK46fi1EAk3qqXwoVE9PjRYfe9PRsLn&#10;Vf2xc/Pz2xTFUf/4MpY377qU8vJivr8D5nH2fzAs9UN1KEKnoz2RdqyTcBslUUCDEW9EAmxBRLpo&#10;x0WL0wR4kfP/M4pfAAAA//8DAFBLAQItABQABgAIAAAAIQC2gziS/gAAAOEBAAATAAAAAAAAAAAA&#10;AAAAAAAAAABbQ29udGVudF9UeXBlc10ueG1sUEsBAi0AFAAGAAgAAAAhADj9If/WAAAAlAEAAAsA&#10;AAAAAAAAAAAAAAAALwEAAF9yZWxzLy5yZWxzUEsBAi0AFAAGAAgAAAAhAGFJ4Jd0AgAAZAUAAA4A&#10;AAAAAAAAAAAAAAAALgIAAGRycy9lMm9Eb2MueG1sUEsBAi0AFAAGAAgAAAAhAGviHEviAAAADgEA&#10;AA8AAAAAAAAAAAAAAAAAzgQAAGRycy9kb3ducmV2LnhtbFBLBQYAAAAABAAEAPMAAADdBQAAAAA=&#10;" fillcolor="white [3201]" stroked="f" strokeweight=".5pt">
                <v:textbox>
                  <w:txbxContent>
                    <w:p w14:paraId="5C98266D" w14:textId="77777777" w:rsidR="000A37A7" w:rsidRPr="00857562" w:rsidRDefault="000A37A7" w:rsidP="00FB67CC">
                      <w:pPr>
                        <w:jc w:val="right"/>
                        <w:rPr>
                          <w:rFonts w:asciiTheme="majorHAnsi" w:hAnsiTheme="majorHAnsi" w:cstheme="majorHAnsi"/>
                        </w:rPr>
                      </w:pPr>
                      <w:r w:rsidRPr="00857562">
                        <w:rPr>
                          <w:rFonts w:asciiTheme="majorHAnsi" w:hAnsiTheme="majorHAnsi" w:cstheme="majorHAnsi"/>
                        </w:rPr>
                        <w:t xml:space="preserve">Page </w:t>
                      </w:r>
                      <w:r>
                        <w:rPr>
                          <w:rFonts w:asciiTheme="majorHAnsi" w:hAnsiTheme="majorHAnsi" w:cstheme="majorHAnsi"/>
                        </w:rPr>
                        <w:t>31</w:t>
                      </w:r>
                    </w:p>
                  </w:txbxContent>
                </v:textbox>
              </v:shape>
            </w:pict>
          </mc:Fallback>
        </mc:AlternateContent>
      </w:r>
    </w:p>
    <w:p w14:paraId="4C7B3A35" w14:textId="2E74F11A" w:rsidR="00FB67CC" w:rsidRPr="00952C33" w:rsidRDefault="00FB67CC" w:rsidP="00FB6278">
      <w:pPr>
        <w:ind w:left="-567" w:right="-613"/>
        <w:rPr>
          <w:rFonts w:ascii="Arial" w:hAnsi="Arial"/>
          <w:sz w:val="22"/>
        </w:rPr>
      </w:pPr>
    </w:p>
    <w:tbl>
      <w:tblPr>
        <w:tblStyle w:val="TableGrid"/>
        <w:tblW w:w="0" w:type="auto"/>
        <w:tblInd w:w="-459" w:type="dxa"/>
        <w:tblLook w:val="04A0" w:firstRow="1" w:lastRow="0" w:firstColumn="1" w:lastColumn="0" w:noHBand="0" w:noVBand="1"/>
      </w:tblPr>
      <w:tblGrid>
        <w:gridCol w:w="1843"/>
        <w:gridCol w:w="1248"/>
        <w:gridCol w:w="1239"/>
        <w:gridCol w:w="1218"/>
        <w:gridCol w:w="1230"/>
        <w:gridCol w:w="1235"/>
        <w:gridCol w:w="1235"/>
        <w:gridCol w:w="1236"/>
        <w:gridCol w:w="1233"/>
        <w:gridCol w:w="1235"/>
        <w:gridCol w:w="1238"/>
        <w:gridCol w:w="1164"/>
      </w:tblGrid>
      <w:tr w:rsidR="005573A4" w:rsidRPr="00151580" w14:paraId="4996BAE0" w14:textId="70A55C42" w:rsidTr="00151580">
        <w:tc>
          <w:tcPr>
            <w:tcW w:w="1843" w:type="dxa"/>
          </w:tcPr>
          <w:p w14:paraId="34F3AD05" w14:textId="77777777" w:rsidR="005573A4" w:rsidRPr="00952C33" w:rsidRDefault="005573A4" w:rsidP="00FB6278">
            <w:pPr>
              <w:jc w:val="center"/>
              <w:rPr>
                <w:rFonts w:ascii="Arial" w:hAnsi="Arial"/>
                <w:b/>
                <w:sz w:val="22"/>
              </w:rPr>
            </w:pPr>
            <w:r w:rsidRPr="00952C33">
              <w:rPr>
                <w:rFonts w:ascii="Arial" w:hAnsi="Arial"/>
                <w:b/>
                <w:sz w:val="22"/>
              </w:rPr>
              <w:t>Name</w:t>
            </w:r>
          </w:p>
        </w:tc>
        <w:tc>
          <w:tcPr>
            <w:tcW w:w="1248" w:type="dxa"/>
          </w:tcPr>
          <w:p w14:paraId="03417907" w14:textId="01572622" w:rsidR="005573A4" w:rsidRPr="00952C33" w:rsidRDefault="00977D61" w:rsidP="00FB6278">
            <w:pPr>
              <w:jc w:val="center"/>
              <w:rPr>
                <w:rFonts w:ascii="Arial" w:hAnsi="Arial"/>
                <w:b/>
                <w:sz w:val="22"/>
              </w:rPr>
            </w:pPr>
            <w:r w:rsidRPr="00952C33">
              <w:rPr>
                <w:rFonts w:ascii="Arial" w:hAnsi="Arial"/>
                <w:b/>
                <w:sz w:val="22"/>
              </w:rPr>
              <w:t>Apr 21</w:t>
            </w:r>
          </w:p>
        </w:tc>
        <w:tc>
          <w:tcPr>
            <w:tcW w:w="1239" w:type="dxa"/>
          </w:tcPr>
          <w:p w14:paraId="01CCBDB7" w14:textId="5E94FF6E" w:rsidR="005573A4" w:rsidRPr="00952C33" w:rsidRDefault="00977D61" w:rsidP="00FB6278">
            <w:pPr>
              <w:jc w:val="center"/>
              <w:rPr>
                <w:rFonts w:ascii="Arial" w:hAnsi="Arial"/>
                <w:b/>
                <w:sz w:val="22"/>
              </w:rPr>
            </w:pPr>
            <w:r w:rsidRPr="00952C33">
              <w:rPr>
                <w:rFonts w:ascii="Arial" w:hAnsi="Arial"/>
                <w:b/>
                <w:sz w:val="22"/>
              </w:rPr>
              <w:t>May 21</w:t>
            </w:r>
          </w:p>
        </w:tc>
        <w:tc>
          <w:tcPr>
            <w:tcW w:w="1218" w:type="dxa"/>
          </w:tcPr>
          <w:p w14:paraId="6A20D0AC" w14:textId="56E21E7B" w:rsidR="005573A4" w:rsidRPr="00952C33" w:rsidRDefault="00977D61" w:rsidP="00FB6278">
            <w:pPr>
              <w:jc w:val="center"/>
              <w:rPr>
                <w:rFonts w:ascii="Arial" w:hAnsi="Arial"/>
                <w:b/>
                <w:sz w:val="22"/>
              </w:rPr>
            </w:pPr>
            <w:r w:rsidRPr="00952C33">
              <w:rPr>
                <w:rFonts w:ascii="Arial" w:hAnsi="Arial"/>
                <w:b/>
                <w:sz w:val="22"/>
              </w:rPr>
              <w:t>Jun 21</w:t>
            </w:r>
          </w:p>
        </w:tc>
        <w:tc>
          <w:tcPr>
            <w:tcW w:w="1230" w:type="dxa"/>
          </w:tcPr>
          <w:p w14:paraId="2696C37E" w14:textId="4BBF5A55" w:rsidR="005573A4" w:rsidRPr="00952C33" w:rsidRDefault="00977D61" w:rsidP="00FB6278">
            <w:pPr>
              <w:jc w:val="center"/>
              <w:rPr>
                <w:rFonts w:ascii="Arial" w:hAnsi="Arial"/>
                <w:b/>
                <w:sz w:val="22"/>
              </w:rPr>
            </w:pPr>
            <w:r w:rsidRPr="00952C33">
              <w:rPr>
                <w:rFonts w:ascii="Arial" w:hAnsi="Arial"/>
                <w:b/>
                <w:sz w:val="22"/>
              </w:rPr>
              <w:t>Jul 21</w:t>
            </w:r>
          </w:p>
        </w:tc>
        <w:tc>
          <w:tcPr>
            <w:tcW w:w="1235" w:type="dxa"/>
          </w:tcPr>
          <w:p w14:paraId="00D6711E" w14:textId="5E71902E" w:rsidR="005573A4" w:rsidRPr="00952C33" w:rsidRDefault="00977D61" w:rsidP="00FB6278">
            <w:pPr>
              <w:jc w:val="center"/>
              <w:rPr>
                <w:rFonts w:ascii="Arial" w:hAnsi="Arial"/>
                <w:b/>
                <w:sz w:val="22"/>
              </w:rPr>
            </w:pPr>
            <w:r w:rsidRPr="00952C33">
              <w:rPr>
                <w:rFonts w:ascii="Arial" w:hAnsi="Arial"/>
                <w:b/>
                <w:sz w:val="22"/>
              </w:rPr>
              <w:t>Sept 21</w:t>
            </w:r>
          </w:p>
        </w:tc>
        <w:tc>
          <w:tcPr>
            <w:tcW w:w="1235" w:type="dxa"/>
          </w:tcPr>
          <w:p w14:paraId="3DBE4E83" w14:textId="5CDBAE07" w:rsidR="005573A4" w:rsidRPr="00952C33" w:rsidRDefault="00977D61" w:rsidP="00FB6278">
            <w:pPr>
              <w:jc w:val="center"/>
              <w:rPr>
                <w:rFonts w:ascii="Arial" w:hAnsi="Arial"/>
                <w:b/>
                <w:sz w:val="22"/>
              </w:rPr>
            </w:pPr>
            <w:r w:rsidRPr="00952C33">
              <w:rPr>
                <w:rFonts w:ascii="Arial" w:hAnsi="Arial"/>
                <w:b/>
                <w:sz w:val="22"/>
              </w:rPr>
              <w:t>Oct 21</w:t>
            </w:r>
          </w:p>
        </w:tc>
        <w:tc>
          <w:tcPr>
            <w:tcW w:w="1236" w:type="dxa"/>
          </w:tcPr>
          <w:p w14:paraId="48D6BD6D" w14:textId="0C98176E" w:rsidR="005573A4" w:rsidRPr="00952C33" w:rsidRDefault="005573A4" w:rsidP="00FB6278">
            <w:pPr>
              <w:jc w:val="center"/>
              <w:rPr>
                <w:rFonts w:ascii="Arial" w:hAnsi="Arial"/>
                <w:b/>
                <w:sz w:val="22"/>
              </w:rPr>
            </w:pPr>
            <w:r w:rsidRPr="00952C33">
              <w:rPr>
                <w:rFonts w:ascii="Arial" w:hAnsi="Arial"/>
                <w:b/>
                <w:sz w:val="22"/>
              </w:rPr>
              <w:t xml:space="preserve">Nov </w:t>
            </w:r>
            <w:r w:rsidR="00977D61" w:rsidRPr="00952C33">
              <w:rPr>
                <w:rFonts w:ascii="Arial" w:hAnsi="Arial"/>
                <w:b/>
                <w:sz w:val="22"/>
              </w:rPr>
              <w:t>21</w:t>
            </w:r>
          </w:p>
        </w:tc>
        <w:tc>
          <w:tcPr>
            <w:tcW w:w="1233" w:type="dxa"/>
          </w:tcPr>
          <w:p w14:paraId="712DC8A0" w14:textId="4A08EC94" w:rsidR="005573A4" w:rsidRPr="00952C33" w:rsidRDefault="00977D61" w:rsidP="00FB6278">
            <w:pPr>
              <w:jc w:val="center"/>
              <w:rPr>
                <w:rFonts w:ascii="Arial" w:hAnsi="Arial"/>
                <w:b/>
                <w:sz w:val="22"/>
              </w:rPr>
            </w:pPr>
            <w:r w:rsidRPr="00952C33">
              <w:rPr>
                <w:rFonts w:ascii="Arial" w:hAnsi="Arial"/>
                <w:b/>
                <w:sz w:val="22"/>
              </w:rPr>
              <w:t>Jan 22</w:t>
            </w:r>
          </w:p>
        </w:tc>
        <w:tc>
          <w:tcPr>
            <w:tcW w:w="1235" w:type="dxa"/>
          </w:tcPr>
          <w:p w14:paraId="04768DA7" w14:textId="5F2C67B2" w:rsidR="005573A4" w:rsidRPr="00952C33" w:rsidRDefault="00977D61" w:rsidP="00FB6278">
            <w:pPr>
              <w:jc w:val="center"/>
              <w:rPr>
                <w:rFonts w:ascii="Arial" w:hAnsi="Arial"/>
                <w:b/>
                <w:sz w:val="22"/>
              </w:rPr>
            </w:pPr>
            <w:r w:rsidRPr="00952C33">
              <w:rPr>
                <w:rFonts w:ascii="Arial" w:hAnsi="Arial"/>
                <w:b/>
                <w:sz w:val="22"/>
              </w:rPr>
              <w:t>Feb 22</w:t>
            </w:r>
          </w:p>
        </w:tc>
        <w:tc>
          <w:tcPr>
            <w:tcW w:w="1238" w:type="dxa"/>
          </w:tcPr>
          <w:p w14:paraId="5324E5F5" w14:textId="6FBDF24A" w:rsidR="005573A4" w:rsidRPr="00952C33" w:rsidRDefault="00977D61" w:rsidP="00FB6278">
            <w:pPr>
              <w:jc w:val="center"/>
              <w:rPr>
                <w:rFonts w:ascii="Arial" w:hAnsi="Arial"/>
                <w:b/>
                <w:sz w:val="22"/>
              </w:rPr>
            </w:pPr>
            <w:r w:rsidRPr="00952C33">
              <w:rPr>
                <w:rFonts w:ascii="Arial" w:hAnsi="Arial"/>
                <w:b/>
                <w:sz w:val="22"/>
              </w:rPr>
              <w:t>Mar 22</w:t>
            </w:r>
          </w:p>
        </w:tc>
        <w:tc>
          <w:tcPr>
            <w:tcW w:w="1164" w:type="dxa"/>
          </w:tcPr>
          <w:p w14:paraId="12D1435F" w14:textId="39748A2F" w:rsidR="005573A4" w:rsidRPr="00952C33" w:rsidRDefault="005573A4" w:rsidP="00FB6278">
            <w:pPr>
              <w:jc w:val="center"/>
              <w:rPr>
                <w:rFonts w:ascii="Arial" w:hAnsi="Arial"/>
                <w:b/>
                <w:sz w:val="22"/>
              </w:rPr>
            </w:pPr>
            <w:r w:rsidRPr="00952C33">
              <w:rPr>
                <w:rFonts w:ascii="Arial" w:hAnsi="Arial"/>
                <w:b/>
                <w:sz w:val="22"/>
              </w:rPr>
              <w:t>Total</w:t>
            </w:r>
          </w:p>
        </w:tc>
      </w:tr>
      <w:tr w:rsidR="00D622CF" w:rsidRPr="00151580" w14:paraId="6FD04189" w14:textId="01123C80" w:rsidTr="00151580">
        <w:tc>
          <w:tcPr>
            <w:tcW w:w="1843" w:type="dxa"/>
          </w:tcPr>
          <w:p w14:paraId="32E2BFA3" w14:textId="77777777" w:rsidR="00D622CF" w:rsidRPr="00952C33" w:rsidRDefault="00D622CF" w:rsidP="00FB6278">
            <w:pPr>
              <w:rPr>
                <w:rFonts w:ascii="Arial" w:hAnsi="Arial"/>
                <w:sz w:val="22"/>
              </w:rPr>
            </w:pPr>
            <w:r w:rsidRPr="00952C33">
              <w:rPr>
                <w:rFonts w:ascii="Arial" w:hAnsi="Arial"/>
                <w:sz w:val="22"/>
              </w:rPr>
              <w:t>Tessa Green</w:t>
            </w:r>
          </w:p>
        </w:tc>
        <w:tc>
          <w:tcPr>
            <w:tcW w:w="1248" w:type="dxa"/>
            <w:vAlign w:val="center"/>
          </w:tcPr>
          <w:p w14:paraId="3FDEA1F6" w14:textId="4BBCFC43" w:rsidR="00D622CF" w:rsidRPr="00952C33" w:rsidRDefault="00D00386" w:rsidP="00FB6278">
            <w:pPr>
              <w:jc w:val="center"/>
              <w:rPr>
                <w:rFonts w:ascii="Arial" w:hAnsi="Arial"/>
                <w:sz w:val="22"/>
              </w:rPr>
            </w:pPr>
            <w:r w:rsidRPr="00952C33">
              <w:rPr>
                <w:rFonts w:ascii="Arial" w:hAnsi="Arial" w:hint="eastAsia"/>
                <w:sz w:val="22"/>
              </w:rPr>
              <w:t>√</w:t>
            </w:r>
          </w:p>
        </w:tc>
        <w:tc>
          <w:tcPr>
            <w:tcW w:w="1239" w:type="dxa"/>
            <w:vAlign w:val="center"/>
          </w:tcPr>
          <w:p w14:paraId="5AF83AB9" w14:textId="2C26689D" w:rsidR="00D622CF" w:rsidRPr="00952C33" w:rsidRDefault="00D00386" w:rsidP="00FB6278">
            <w:pPr>
              <w:jc w:val="center"/>
              <w:rPr>
                <w:rFonts w:ascii="Arial" w:hAnsi="Arial"/>
                <w:sz w:val="22"/>
              </w:rPr>
            </w:pPr>
            <w:r w:rsidRPr="00952C33">
              <w:rPr>
                <w:rFonts w:ascii="Arial" w:hAnsi="Arial" w:hint="eastAsia"/>
                <w:sz w:val="22"/>
              </w:rPr>
              <w:t>√</w:t>
            </w:r>
          </w:p>
        </w:tc>
        <w:tc>
          <w:tcPr>
            <w:tcW w:w="1218" w:type="dxa"/>
            <w:vAlign w:val="center"/>
          </w:tcPr>
          <w:p w14:paraId="725FA45F" w14:textId="58881372" w:rsidR="00D622CF" w:rsidRPr="00952C33" w:rsidRDefault="00D00386" w:rsidP="00FB6278">
            <w:pPr>
              <w:jc w:val="center"/>
              <w:rPr>
                <w:rFonts w:ascii="Arial" w:hAnsi="Arial"/>
                <w:sz w:val="22"/>
              </w:rPr>
            </w:pPr>
            <w:r w:rsidRPr="00952C33">
              <w:rPr>
                <w:rFonts w:ascii="Arial" w:hAnsi="Arial" w:hint="eastAsia"/>
                <w:sz w:val="22"/>
              </w:rPr>
              <w:t>√</w:t>
            </w:r>
          </w:p>
        </w:tc>
        <w:tc>
          <w:tcPr>
            <w:tcW w:w="1230" w:type="dxa"/>
            <w:vAlign w:val="center"/>
          </w:tcPr>
          <w:p w14:paraId="7FF1BBAC" w14:textId="775ED008" w:rsidR="00D622CF" w:rsidRPr="00952C33" w:rsidRDefault="00D00386" w:rsidP="00FB6278">
            <w:pPr>
              <w:jc w:val="center"/>
              <w:rPr>
                <w:rFonts w:ascii="Arial" w:hAnsi="Arial"/>
                <w:sz w:val="22"/>
              </w:rPr>
            </w:pPr>
            <w:r w:rsidRPr="00952C33">
              <w:rPr>
                <w:rFonts w:ascii="Arial" w:hAnsi="Arial" w:hint="eastAsia"/>
                <w:sz w:val="22"/>
              </w:rPr>
              <w:t>√</w:t>
            </w:r>
          </w:p>
        </w:tc>
        <w:tc>
          <w:tcPr>
            <w:tcW w:w="1235" w:type="dxa"/>
            <w:vAlign w:val="center"/>
          </w:tcPr>
          <w:p w14:paraId="77B9A7F9" w14:textId="0B5FB806" w:rsidR="00D622CF" w:rsidRPr="00952C33" w:rsidRDefault="00D00386" w:rsidP="00FB6278">
            <w:pPr>
              <w:jc w:val="center"/>
              <w:rPr>
                <w:rFonts w:ascii="Arial" w:hAnsi="Arial"/>
                <w:sz w:val="22"/>
              </w:rPr>
            </w:pPr>
            <w:r w:rsidRPr="00952C33">
              <w:rPr>
                <w:rFonts w:ascii="Arial" w:hAnsi="Arial" w:hint="eastAsia"/>
                <w:sz w:val="22"/>
              </w:rPr>
              <w:t>√</w:t>
            </w:r>
          </w:p>
        </w:tc>
        <w:tc>
          <w:tcPr>
            <w:tcW w:w="1235" w:type="dxa"/>
            <w:vAlign w:val="center"/>
          </w:tcPr>
          <w:p w14:paraId="286DEA47" w14:textId="72236E0E" w:rsidR="00D622CF" w:rsidRPr="00952C33" w:rsidRDefault="00D00386" w:rsidP="00FB6278">
            <w:pPr>
              <w:jc w:val="center"/>
              <w:rPr>
                <w:rFonts w:ascii="Arial" w:hAnsi="Arial"/>
                <w:sz w:val="22"/>
              </w:rPr>
            </w:pPr>
            <w:r w:rsidRPr="00952C33">
              <w:rPr>
                <w:rFonts w:ascii="Arial" w:hAnsi="Arial" w:hint="eastAsia"/>
                <w:sz w:val="22"/>
              </w:rPr>
              <w:t>√</w:t>
            </w:r>
          </w:p>
        </w:tc>
        <w:tc>
          <w:tcPr>
            <w:tcW w:w="1236" w:type="dxa"/>
            <w:vAlign w:val="center"/>
          </w:tcPr>
          <w:p w14:paraId="1BC17226" w14:textId="544211E9" w:rsidR="00D622CF" w:rsidRPr="00952C33" w:rsidRDefault="00D00386" w:rsidP="00FB6278">
            <w:pPr>
              <w:jc w:val="center"/>
              <w:rPr>
                <w:rFonts w:ascii="Arial" w:hAnsi="Arial"/>
                <w:sz w:val="22"/>
              </w:rPr>
            </w:pPr>
            <w:r w:rsidRPr="00952C33">
              <w:rPr>
                <w:rFonts w:ascii="Arial" w:hAnsi="Arial" w:hint="eastAsia"/>
                <w:sz w:val="22"/>
              </w:rPr>
              <w:t>√</w:t>
            </w:r>
          </w:p>
        </w:tc>
        <w:tc>
          <w:tcPr>
            <w:tcW w:w="1233" w:type="dxa"/>
            <w:vAlign w:val="center"/>
          </w:tcPr>
          <w:p w14:paraId="6744D2CD" w14:textId="05B5F708" w:rsidR="00D622CF" w:rsidRPr="00952C33" w:rsidRDefault="00D00386" w:rsidP="00FB6278">
            <w:pPr>
              <w:jc w:val="center"/>
              <w:rPr>
                <w:rFonts w:ascii="Arial" w:hAnsi="Arial"/>
                <w:sz w:val="22"/>
              </w:rPr>
            </w:pPr>
            <w:r w:rsidRPr="00952C33">
              <w:rPr>
                <w:rFonts w:ascii="Arial" w:hAnsi="Arial" w:hint="eastAsia"/>
                <w:sz w:val="22"/>
              </w:rPr>
              <w:t>√</w:t>
            </w:r>
          </w:p>
        </w:tc>
        <w:tc>
          <w:tcPr>
            <w:tcW w:w="1235" w:type="dxa"/>
            <w:vAlign w:val="center"/>
          </w:tcPr>
          <w:p w14:paraId="5657E8C0" w14:textId="30D2AA26" w:rsidR="00D622CF" w:rsidRPr="00952C33" w:rsidRDefault="00D00386" w:rsidP="00FB6278">
            <w:pPr>
              <w:jc w:val="center"/>
              <w:rPr>
                <w:rFonts w:ascii="Arial" w:hAnsi="Arial"/>
                <w:sz w:val="22"/>
              </w:rPr>
            </w:pPr>
            <w:r w:rsidRPr="00952C33">
              <w:rPr>
                <w:rFonts w:ascii="Arial" w:hAnsi="Arial" w:hint="eastAsia"/>
                <w:sz w:val="22"/>
              </w:rPr>
              <w:t>√</w:t>
            </w:r>
          </w:p>
        </w:tc>
        <w:tc>
          <w:tcPr>
            <w:tcW w:w="1238" w:type="dxa"/>
            <w:vAlign w:val="center"/>
          </w:tcPr>
          <w:p w14:paraId="0588E545" w14:textId="1CD64F25" w:rsidR="00D622CF" w:rsidRPr="00952C33" w:rsidRDefault="00D00386" w:rsidP="00FB6278">
            <w:pPr>
              <w:jc w:val="center"/>
              <w:rPr>
                <w:rFonts w:ascii="Arial" w:hAnsi="Arial"/>
                <w:sz w:val="22"/>
              </w:rPr>
            </w:pPr>
            <w:r w:rsidRPr="00952C33">
              <w:rPr>
                <w:rFonts w:ascii="Arial" w:hAnsi="Arial" w:hint="eastAsia"/>
                <w:sz w:val="22"/>
              </w:rPr>
              <w:t>√</w:t>
            </w:r>
          </w:p>
        </w:tc>
        <w:tc>
          <w:tcPr>
            <w:tcW w:w="1164" w:type="dxa"/>
            <w:vAlign w:val="center"/>
          </w:tcPr>
          <w:p w14:paraId="33A7BBB0" w14:textId="6A77BE04" w:rsidR="00D622CF" w:rsidRPr="00952C33" w:rsidRDefault="00D622CF" w:rsidP="00FB6278">
            <w:pPr>
              <w:jc w:val="center"/>
              <w:rPr>
                <w:rFonts w:ascii="Arial" w:hAnsi="Arial"/>
                <w:sz w:val="22"/>
              </w:rPr>
            </w:pPr>
            <w:r w:rsidRPr="00952C33">
              <w:rPr>
                <w:rFonts w:ascii="Arial" w:hAnsi="Arial"/>
                <w:sz w:val="22"/>
              </w:rPr>
              <w:t>10/10</w:t>
            </w:r>
          </w:p>
        </w:tc>
      </w:tr>
      <w:tr w:rsidR="00D622CF" w:rsidRPr="00151580" w14:paraId="7F22C140" w14:textId="52B382C6" w:rsidTr="00151580">
        <w:tc>
          <w:tcPr>
            <w:tcW w:w="1843" w:type="dxa"/>
          </w:tcPr>
          <w:p w14:paraId="79D29A31" w14:textId="7B97DC79" w:rsidR="00D622CF" w:rsidRPr="00952C33" w:rsidRDefault="00977D61" w:rsidP="00FB6278">
            <w:pPr>
              <w:rPr>
                <w:rFonts w:ascii="Arial" w:hAnsi="Arial"/>
                <w:sz w:val="22"/>
              </w:rPr>
            </w:pPr>
            <w:r w:rsidRPr="00952C33">
              <w:rPr>
                <w:rFonts w:ascii="Arial" w:hAnsi="Arial"/>
                <w:sz w:val="22"/>
              </w:rPr>
              <w:t xml:space="preserve">Martin </w:t>
            </w:r>
            <w:proofErr w:type="spellStart"/>
            <w:r w:rsidRPr="00952C33">
              <w:rPr>
                <w:rFonts w:ascii="Arial" w:hAnsi="Arial"/>
                <w:sz w:val="22"/>
              </w:rPr>
              <w:t>Kuper</w:t>
            </w:r>
            <w:proofErr w:type="spellEnd"/>
          </w:p>
        </w:tc>
        <w:tc>
          <w:tcPr>
            <w:tcW w:w="1248" w:type="dxa"/>
            <w:vAlign w:val="center"/>
          </w:tcPr>
          <w:p w14:paraId="1F7232ED" w14:textId="7A6B9E0B" w:rsidR="00D622CF" w:rsidRPr="00952C33" w:rsidRDefault="00430D3D" w:rsidP="00FB6278">
            <w:pPr>
              <w:jc w:val="center"/>
              <w:rPr>
                <w:rFonts w:ascii="Arial" w:hAnsi="Arial"/>
                <w:sz w:val="22"/>
              </w:rPr>
            </w:pPr>
            <w:r w:rsidRPr="00952C33">
              <w:rPr>
                <w:rFonts w:ascii="Arial" w:hAnsi="Arial"/>
                <w:sz w:val="22"/>
              </w:rPr>
              <w:t>*</w:t>
            </w:r>
          </w:p>
        </w:tc>
        <w:tc>
          <w:tcPr>
            <w:tcW w:w="1239" w:type="dxa"/>
            <w:vAlign w:val="center"/>
          </w:tcPr>
          <w:p w14:paraId="7B1881F0" w14:textId="707A45B1" w:rsidR="00D622CF" w:rsidRPr="00952C33" w:rsidRDefault="00430D3D" w:rsidP="00FB6278">
            <w:pPr>
              <w:jc w:val="center"/>
              <w:rPr>
                <w:rFonts w:ascii="Arial" w:hAnsi="Arial"/>
                <w:sz w:val="22"/>
              </w:rPr>
            </w:pPr>
            <w:r w:rsidRPr="00952C33">
              <w:rPr>
                <w:rFonts w:ascii="Arial" w:hAnsi="Arial"/>
                <w:sz w:val="22"/>
              </w:rPr>
              <w:t>*</w:t>
            </w:r>
          </w:p>
        </w:tc>
        <w:tc>
          <w:tcPr>
            <w:tcW w:w="1218" w:type="dxa"/>
            <w:vAlign w:val="center"/>
          </w:tcPr>
          <w:p w14:paraId="574B3E01" w14:textId="63E07FAE" w:rsidR="00D622CF" w:rsidRPr="00952C33" w:rsidRDefault="00430D3D" w:rsidP="00FB6278">
            <w:pPr>
              <w:jc w:val="center"/>
              <w:rPr>
                <w:rFonts w:ascii="Arial" w:hAnsi="Arial"/>
                <w:sz w:val="22"/>
              </w:rPr>
            </w:pPr>
            <w:r w:rsidRPr="00952C33">
              <w:rPr>
                <w:rFonts w:ascii="Arial" w:hAnsi="Arial"/>
                <w:sz w:val="22"/>
              </w:rPr>
              <w:t>*</w:t>
            </w:r>
          </w:p>
        </w:tc>
        <w:tc>
          <w:tcPr>
            <w:tcW w:w="1230" w:type="dxa"/>
            <w:vAlign w:val="center"/>
          </w:tcPr>
          <w:p w14:paraId="763DDE34" w14:textId="588D072E" w:rsidR="00D622CF" w:rsidRPr="00952C33" w:rsidRDefault="00430D3D" w:rsidP="00FB6278">
            <w:pPr>
              <w:jc w:val="center"/>
              <w:rPr>
                <w:rFonts w:ascii="Arial" w:hAnsi="Arial"/>
                <w:sz w:val="22"/>
              </w:rPr>
            </w:pPr>
            <w:r w:rsidRPr="00952C33">
              <w:rPr>
                <w:rFonts w:ascii="Arial" w:hAnsi="Arial"/>
                <w:sz w:val="22"/>
              </w:rPr>
              <w:t>*</w:t>
            </w:r>
          </w:p>
        </w:tc>
        <w:tc>
          <w:tcPr>
            <w:tcW w:w="1235" w:type="dxa"/>
            <w:vAlign w:val="center"/>
          </w:tcPr>
          <w:p w14:paraId="3E826135" w14:textId="292CF213" w:rsidR="00D622CF" w:rsidRPr="00952C33" w:rsidRDefault="008870DD" w:rsidP="00FB6278">
            <w:pPr>
              <w:jc w:val="center"/>
              <w:rPr>
                <w:rFonts w:ascii="Arial" w:hAnsi="Arial"/>
                <w:sz w:val="22"/>
              </w:rPr>
            </w:pPr>
            <w:r w:rsidRPr="00952C33">
              <w:rPr>
                <w:rFonts w:ascii="Arial" w:hAnsi="Arial" w:hint="eastAsia"/>
                <w:sz w:val="22"/>
              </w:rPr>
              <w:t>√</w:t>
            </w:r>
          </w:p>
        </w:tc>
        <w:tc>
          <w:tcPr>
            <w:tcW w:w="1235" w:type="dxa"/>
            <w:vAlign w:val="center"/>
          </w:tcPr>
          <w:p w14:paraId="2AD812E2" w14:textId="1FD98E1B" w:rsidR="00D622CF" w:rsidRPr="00952C33" w:rsidRDefault="001B71B6" w:rsidP="00FB6278">
            <w:pPr>
              <w:jc w:val="center"/>
              <w:rPr>
                <w:rFonts w:ascii="Arial" w:hAnsi="Arial"/>
                <w:sz w:val="22"/>
              </w:rPr>
            </w:pPr>
            <w:r w:rsidRPr="00952C33">
              <w:rPr>
                <w:rFonts w:ascii="Arial" w:hAnsi="Arial" w:hint="eastAsia"/>
                <w:sz w:val="22"/>
              </w:rPr>
              <w:t>√</w:t>
            </w:r>
          </w:p>
        </w:tc>
        <w:tc>
          <w:tcPr>
            <w:tcW w:w="1236" w:type="dxa"/>
            <w:vAlign w:val="center"/>
          </w:tcPr>
          <w:p w14:paraId="3E593FC5" w14:textId="5B170547" w:rsidR="00D622CF" w:rsidRPr="00952C33" w:rsidRDefault="001B71B6" w:rsidP="00FB6278">
            <w:pPr>
              <w:jc w:val="center"/>
              <w:rPr>
                <w:rFonts w:ascii="Arial" w:hAnsi="Arial"/>
                <w:sz w:val="22"/>
              </w:rPr>
            </w:pPr>
            <w:r w:rsidRPr="00952C33">
              <w:rPr>
                <w:rFonts w:ascii="Arial" w:hAnsi="Arial" w:hint="eastAsia"/>
                <w:sz w:val="22"/>
              </w:rPr>
              <w:t>√</w:t>
            </w:r>
          </w:p>
        </w:tc>
        <w:tc>
          <w:tcPr>
            <w:tcW w:w="1233" w:type="dxa"/>
            <w:vAlign w:val="center"/>
          </w:tcPr>
          <w:p w14:paraId="00F02FFA" w14:textId="5897403E" w:rsidR="00D622CF" w:rsidRPr="00952C33" w:rsidRDefault="001B71B6" w:rsidP="00FB6278">
            <w:pPr>
              <w:jc w:val="center"/>
              <w:rPr>
                <w:rFonts w:ascii="Arial" w:hAnsi="Arial"/>
                <w:sz w:val="22"/>
              </w:rPr>
            </w:pPr>
            <w:r w:rsidRPr="00952C33">
              <w:rPr>
                <w:rFonts w:ascii="Arial" w:hAnsi="Arial" w:hint="eastAsia"/>
                <w:sz w:val="22"/>
              </w:rPr>
              <w:t>√</w:t>
            </w:r>
          </w:p>
        </w:tc>
        <w:tc>
          <w:tcPr>
            <w:tcW w:w="1235" w:type="dxa"/>
            <w:vAlign w:val="center"/>
          </w:tcPr>
          <w:p w14:paraId="196D4145" w14:textId="199BE69C" w:rsidR="00D622CF" w:rsidRPr="00952C33" w:rsidRDefault="001B71B6" w:rsidP="00FB6278">
            <w:pPr>
              <w:jc w:val="center"/>
              <w:rPr>
                <w:rFonts w:ascii="Arial" w:hAnsi="Arial"/>
                <w:sz w:val="22"/>
              </w:rPr>
            </w:pPr>
            <w:r w:rsidRPr="00952C33">
              <w:rPr>
                <w:rFonts w:ascii="Arial" w:hAnsi="Arial" w:hint="eastAsia"/>
                <w:sz w:val="22"/>
              </w:rPr>
              <w:t>√</w:t>
            </w:r>
          </w:p>
        </w:tc>
        <w:tc>
          <w:tcPr>
            <w:tcW w:w="1238" w:type="dxa"/>
            <w:vAlign w:val="center"/>
          </w:tcPr>
          <w:p w14:paraId="0F6DB76E" w14:textId="25A9A735" w:rsidR="00D622CF" w:rsidRPr="00952C33" w:rsidRDefault="00977D61" w:rsidP="00FB6278">
            <w:pPr>
              <w:jc w:val="center"/>
              <w:rPr>
                <w:rFonts w:ascii="Arial" w:hAnsi="Arial"/>
                <w:sz w:val="22"/>
              </w:rPr>
            </w:pPr>
            <w:r w:rsidRPr="00952C33">
              <w:rPr>
                <w:rFonts w:ascii="Arial" w:hAnsi="Arial" w:hint="eastAsia"/>
                <w:sz w:val="22"/>
              </w:rPr>
              <w:t>√</w:t>
            </w:r>
          </w:p>
        </w:tc>
        <w:tc>
          <w:tcPr>
            <w:tcW w:w="1164" w:type="dxa"/>
            <w:vAlign w:val="center"/>
          </w:tcPr>
          <w:p w14:paraId="4BACD07A" w14:textId="4039DF6C" w:rsidR="00D622CF" w:rsidRPr="00952C33" w:rsidRDefault="00977D61" w:rsidP="00FB6278">
            <w:pPr>
              <w:jc w:val="center"/>
              <w:rPr>
                <w:rFonts w:ascii="Arial" w:hAnsi="Arial"/>
                <w:sz w:val="22"/>
              </w:rPr>
            </w:pPr>
            <w:r w:rsidRPr="00952C33">
              <w:rPr>
                <w:rFonts w:ascii="Arial" w:hAnsi="Arial"/>
                <w:sz w:val="22"/>
              </w:rPr>
              <w:t>6/6</w:t>
            </w:r>
          </w:p>
        </w:tc>
      </w:tr>
      <w:tr w:rsidR="00D622CF" w:rsidRPr="00151580" w14:paraId="22C4862C" w14:textId="3FC6BD66" w:rsidTr="00151580">
        <w:tc>
          <w:tcPr>
            <w:tcW w:w="1843" w:type="dxa"/>
          </w:tcPr>
          <w:p w14:paraId="3DFBE04E" w14:textId="4A8D5F13" w:rsidR="00D622CF" w:rsidRPr="00952C33" w:rsidRDefault="00D622CF" w:rsidP="00FB6278">
            <w:pPr>
              <w:rPr>
                <w:rFonts w:ascii="Arial" w:hAnsi="Arial"/>
                <w:sz w:val="22"/>
              </w:rPr>
            </w:pPr>
            <w:r w:rsidRPr="00952C33">
              <w:rPr>
                <w:rFonts w:ascii="Arial" w:hAnsi="Arial"/>
                <w:sz w:val="22"/>
              </w:rPr>
              <w:t>Vineet Bhalla</w:t>
            </w:r>
          </w:p>
        </w:tc>
        <w:tc>
          <w:tcPr>
            <w:tcW w:w="1248" w:type="dxa"/>
            <w:vAlign w:val="center"/>
          </w:tcPr>
          <w:p w14:paraId="02D8F126" w14:textId="793D6468" w:rsidR="00D622CF" w:rsidRPr="00952C33" w:rsidRDefault="00430D3D" w:rsidP="00FB6278">
            <w:pPr>
              <w:jc w:val="center"/>
              <w:rPr>
                <w:rFonts w:ascii="Arial" w:hAnsi="Arial"/>
                <w:sz w:val="22"/>
              </w:rPr>
            </w:pPr>
            <w:r w:rsidRPr="00952C33">
              <w:rPr>
                <w:rFonts w:ascii="Arial" w:hAnsi="Arial" w:hint="eastAsia"/>
                <w:sz w:val="22"/>
              </w:rPr>
              <w:t>√</w:t>
            </w:r>
          </w:p>
        </w:tc>
        <w:tc>
          <w:tcPr>
            <w:tcW w:w="1239" w:type="dxa"/>
            <w:vAlign w:val="center"/>
          </w:tcPr>
          <w:p w14:paraId="57A7E5FE" w14:textId="4D8C6C47" w:rsidR="00D622CF" w:rsidRPr="00952C33" w:rsidRDefault="00430D3D" w:rsidP="00FB6278">
            <w:pPr>
              <w:jc w:val="center"/>
              <w:rPr>
                <w:rFonts w:ascii="Arial" w:hAnsi="Arial"/>
                <w:sz w:val="22"/>
              </w:rPr>
            </w:pPr>
            <w:r w:rsidRPr="00952C33">
              <w:rPr>
                <w:rFonts w:ascii="Arial" w:hAnsi="Arial" w:hint="eastAsia"/>
                <w:sz w:val="22"/>
              </w:rPr>
              <w:t>√</w:t>
            </w:r>
          </w:p>
        </w:tc>
        <w:tc>
          <w:tcPr>
            <w:tcW w:w="1218" w:type="dxa"/>
            <w:vAlign w:val="center"/>
          </w:tcPr>
          <w:p w14:paraId="3736D896" w14:textId="1ECE08C6" w:rsidR="00D622CF" w:rsidRPr="00952C33" w:rsidRDefault="00430D3D" w:rsidP="00FB6278">
            <w:pPr>
              <w:jc w:val="center"/>
              <w:rPr>
                <w:rFonts w:ascii="Arial" w:hAnsi="Arial"/>
                <w:sz w:val="22"/>
              </w:rPr>
            </w:pPr>
            <w:r w:rsidRPr="00952C33">
              <w:rPr>
                <w:rFonts w:ascii="Arial" w:hAnsi="Arial" w:hint="eastAsia"/>
                <w:sz w:val="22"/>
              </w:rPr>
              <w:t>√</w:t>
            </w:r>
          </w:p>
        </w:tc>
        <w:tc>
          <w:tcPr>
            <w:tcW w:w="1230" w:type="dxa"/>
            <w:vAlign w:val="center"/>
          </w:tcPr>
          <w:p w14:paraId="5F2F1B0A" w14:textId="1D804DB1" w:rsidR="00D622CF" w:rsidRPr="00952C33" w:rsidRDefault="00430D3D" w:rsidP="00FB6278">
            <w:pPr>
              <w:jc w:val="center"/>
              <w:rPr>
                <w:rFonts w:ascii="Arial" w:hAnsi="Arial"/>
                <w:sz w:val="22"/>
              </w:rPr>
            </w:pPr>
            <w:r w:rsidRPr="00952C33">
              <w:rPr>
                <w:rFonts w:ascii="Arial" w:hAnsi="Arial" w:hint="eastAsia"/>
                <w:sz w:val="22"/>
              </w:rPr>
              <w:t>√</w:t>
            </w:r>
          </w:p>
        </w:tc>
        <w:tc>
          <w:tcPr>
            <w:tcW w:w="1235" w:type="dxa"/>
            <w:vAlign w:val="center"/>
          </w:tcPr>
          <w:p w14:paraId="2D2D3057" w14:textId="36ABBA83" w:rsidR="00D622CF" w:rsidRPr="00952C33" w:rsidRDefault="00D622CF" w:rsidP="00FB6278">
            <w:pPr>
              <w:jc w:val="center"/>
              <w:rPr>
                <w:rFonts w:ascii="Arial" w:hAnsi="Arial"/>
                <w:sz w:val="22"/>
              </w:rPr>
            </w:pPr>
          </w:p>
        </w:tc>
        <w:tc>
          <w:tcPr>
            <w:tcW w:w="1235" w:type="dxa"/>
            <w:vAlign w:val="center"/>
          </w:tcPr>
          <w:p w14:paraId="39A44E0D" w14:textId="3D85ECBF" w:rsidR="00D622CF" w:rsidRPr="00952C33" w:rsidRDefault="00430D3D" w:rsidP="00FB6278">
            <w:pPr>
              <w:jc w:val="center"/>
              <w:rPr>
                <w:rFonts w:ascii="Arial" w:hAnsi="Arial"/>
                <w:sz w:val="22"/>
              </w:rPr>
            </w:pPr>
            <w:r w:rsidRPr="00952C33">
              <w:rPr>
                <w:rFonts w:ascii="Arial" w:hAnsi="Arial" w:hint="eastAsia"/>
                <w:sz w:val="22"/>
              </w:rPr>
              <w:t>√</w:t>
            </w:r>
          </w:p>
        </w:tc>
        <w:tc>
          <w:tcPr>
            <w:tcW w:w="1236" w:type="dxa"/>
            <w:vAlign w:val="center"/>
          </w:tcPr>
          <w:p w14:paraId="6F531765" w14:textId="33ADB164" w:rsidR="00D622CF" w:rsidRPr="00952C33" w:rsidRDefault="00430D3D" w:rsidP="00FB6278">
            <w:pPr>
              <w:jc w:val="center"/>
              <w:rPr>
                <w:rFonts w:ascii="Arial" w:hAnsi="Arial"/>
                <w:sz w:val="22"/>
              </w:rPr>
            </w:pPr>
            <w:r w:rsidRPr="00952C33">
              <w:rPr>
                <w:rFonts w:ascii="Arial" w:hAnsi="Arial" w:hint="eastAsia"/>
                <w:sz w:val="22"/>
              </w:rPr>
              <w:t>√</w:t>
            </w:r>
          </w:p>
        </w:tc>
        <w:tc>
          <w:tcPr>
            <w:tcW w:w="1233" w:type="dxa"/>
            <w:vAlign w:val="center"/>
          </w:tcPr>
          <w:p w14:paraId="61B57341" w14:textId="6AA0583E" w:rsidR="00D622CF" w:rsidRPr="00952C33" w:rsidRDefault="00430D3D" w:rsidP="00FB6278">
            <w:pPr>
              <w:jc w:val="center"/>
              <w:rPr>
                <w:rFonts w:ascii="Arial" w:hAnsi="Arial"/>
                <w:sz w:val="22"/>
              </w:rPr>
            </w:pPr>
            <w:r w:rsidRPr="00952C33">
              <w:rPr>
                <w:rFonts w:ascii="Arial" w:hAnsi="Arial" w:hint="eastAsia"/>
                <w:sz w:val="22"/>
              </w:rPr>
              <w:t>√</w:t>
            </w:r>
          </w:p>
        </w:tc>
        <w:tc>
          <w:tcPr>
            <w:tcW w:w="1235" w:type="dxa"/>
            <w:vAlign w:val="center"/>
          </w:tcPr>
          <w:p w14:paraId="09135E4E" w14:textId="056B1CA8" w:rsidR="00D622CF" w:rsidRPr="00952C33" w:rsidRDefault="00430D3D" w:rsidP="00FB6278">
            <w:pPr>
              <w:jc w:val="center"/>
              <w:rPr>
                <w:rFonts w:ascii="Arial" w:hAnsi="Arial"/>
                <w:sz w:val="22"/>
              </w:rPr>
            </w:pPr>
            <w:r w:rsidRPr="00952C33">
              <w:rPr>
                <w:rFonts w:ascii="Arial" w:hAnsi="Arial" w:hint="eastAsia"/>
                <w:sz w:val="22"/>
              </w:rPr>
              <w:t>√</w:t>
            </w:r>
          </w:p>
        </w:tc>
        <w:tc>
          <w:tcPr>
            <w:tcW w:w="1238" w:type="dxa"/>
            <w:vAlign w:val="center"/>
          </w:tcPr>
          <w:p w14:paraId="47159A12" w14:textId="02B2CB14" w:rsidR="00D622CF" w:rsidRPr="00952C33" w:rsidRDefault="00430D3D" w:rsidP="00FB6278">
            <w:pPr>
              <w:jc w:val="center"/>
              <w:rPr>
                <w:rFonts w:ascii="Arial" w:hAnsi="Arial"/>
                <w:sz w:val="22"/>
              </w:rPr>
            </w:pPr>
            <w:r w:rsidRPr="00952C33">
              <w:rPr>
                <w:rFonts w:ascii="Arial" w:hAnsi="Arial" w:hint="eastAsia"/>
                <w:sz w:val="22"/>
              </w:rPr>
              <w:t>√</w:t>
            </w:r>
          </w:p>
        </w:tc>
        <w:tc>
          <w:tcPr>
            <w:tcW w:w="1164" w:type="dxa"/>
            <w:vAlign w:val="center"/>
          </w:tcPr>
          <w:p w14:paraId="465CCD2B" w14:textId="0C4D637B" w:rsidR="00D622CF" w:rsidRPr="00952C33" w:rsidRDefault="0059222F" w:rsidP="00FB6278">
            <w:pPr>
              <w:jc w:val="center"/>
              <w:rPr>
                <w:rFonts w:ascii="Arial" w:hAnsi="Arial"/>
                <w:sz w:val="22"/>
              </w:rPr>
            </w:pPr>
            <w:r w:rsidRPr="00952C33">
              <w:rPr>
                <w:rFonts w:ascii="Arial" w:hAnsi="Arial"/>
                <w:sz w:val="22"/>
              </w:rPr>
              <w:t>9</w:t>
            </w:r>
            <w:r w:rsidR="001B71B6" w:rsidRPr="00952C33">
              <w:rPr>
                <w:rFonts w:ascii="Arial" w:hAnsi="Arial"/>
                <w:sz w:val="22"/>
              </w:rPr>
              <w:t>/10</w:t>
            </w:r>
          </w:p>
        </w:tc>
      </w:tr>
      <w:tr w:rsidR="00D622CF" w:rsidRPr="00151580" w14:paraId="1CE6452C" w14:textId="7137BFA9" w:rsidTr="00151580">
        <w:tc>
          <w:tcPr>
            <w:tcW w:w="1843" w:type="dxa"/>
          </w:tcPr>
          <w:p w14:paraId="443202A1" w14:textId="77777777" w:rsidR="00D622CF" w:rsidRPr="00952C33" w:rsidRDefault="00D622CF" w:rsidP="00FB6278">
            <w:pPr>
              <w:rPr>
                <w:rFonts w:ascii="Arial" w:hAnsi="Arial"/>
                <w:sz w:val="22"/>
              </w:rPr>
            </w:pPr>
            <w:r w:rsidRPr="00952C33">
              <w:rPr>
                <w:rFonts w:ascii="Arial" w:hAnsi="Arial"/>
                <w:sz w:val="22"/>
              </w:rPr>
              <w:t>Andrew Dick</w:t>
            </w:r>
          </w:p>
        </w:tc>
        <w:tc>
          <w:tcPr>
            <w:tcW w:w="1248" w:type="dxa"/>
            <w:vAlign w:val="center"/>
          </w:tcPr>
          <w:p w14:paraId="4D9BC569" w14:textId="5EBD0203" w:rsidR="00D622CF" w:rsidRPr="00952C33" w:rsidRDefault="00430D3D" w:rsidP="00FB6278">
            <w:pPr>
              <w:jc w:val="center"/>
              <w:rPr>
                <w:rFonts w:ascii="Arial" w:hAnsi="Arial"/>
                <w:sz w:val="22"/>
              </w:rPr>
            </w:pPr>
            <w:r w:rsidRPr="00952C33">
              <w:rPr>
                <w:rFonts w:ascii="Arial" w:hAnsi="Arial" w:hint="eastAsia"/>
                <w:sz w:val="22"/>
              </w:rPr>
              <w:t>√</w:t>
            </w:r>
          </w:p>
        </w:tc>
        <w:tc>
          <w:tcPr>
            <w:tcW w:w="1239" w:type="dxa"/>
            <w:vAlign w:val="center"/>
          </w:tcPr>
          <w:p w14:paraId="6BF12EB3" w14:textId="75398A6C" w:rsidR="00D622CF" w:rsidRPr="00952C33" w:rsidRDefault="00430D3D" w:rsidP="00FB6278">
            <w:pPr>
              <w:jc w:val="center"/>
              <w:rPr>
                <w:rFonts w:ascii="Arial" w:hAnsi="Arial"/>
                <w:sz w:val="22"/>
              </w:rPr>
            </w:pPr>
            <w:r w:rsidRPr="00952C33">
              <w:rPr>
                <w:rFonts w:ascii="Arial" w:hAnsi="Arial" w:hint="eastAsia"/>
                <w:sz w:val="22"/>
              </w:rPr>
              <w:t>√</w:t>
            </w:r>
          </w:p>
        </w:tc>
        <w:tc>
          <w:tcPr>
            <w:tcW w:w="1218" w:type="dxa"/>
            <w:vAlign w:val="center"/>
          </w:tcPr>
          <w:p w14:paraId="3544E6AC" w14:textId="14A36E70" w:rsidR="00D622CF" w:rsidRPr="00952C33" w:rsidRDefault="00430D3D" w:rsidP="00FB6278">
            <w:pPr>
              <w:jc w:val="center"/>
              <w:rPr>
                <w:rFonts w:ascii="Arial" w:hAnsi="Arial"/>
                <w:sz w:val="22"/>
              </w:rPr>
            </w:pPr>
            <w:r w:rsidRPr="00952C33">
              <w:rPr>
                <w:rFonts w:ascii="Arial" w:hAnsi="Arial" w:hint="eastAsia"/>
                <w:sz w:val="22"/>
              </w:rPr>
              <w:t>√</w:t>
            </w:r>
          </w:p>
        </w:tc>
        <w:tc>
          <w:tcPr>
            <w:tcW w:w="1230" w:type="dxa"/>
            <w:vAlign w:val="center"/>
          </w:tcPr>
          <w:p w14:paraId="1E9975E7" w14:textId="1AC6FC6A" w:rsidR="00D622CF" w:rsidRPr="00952C33" w:rsidRDefault="00D622CF" w:rsidP="00FB6278">
            <w:pPr>
              <w:jc w:val="center"/>
              <w:rPr>
                <w:rFonts w:ascii="Arial" w:hAnsi="Arial"/>
                <w:sz w:val="22"/>
              </w:rPr>
            </w:pPr>
          </w:p>
        </w:tc>
        <w:tc>
          <w:tcPr>
            <w:tcW w:w="1235" w:type="dxa"/>
            <w:vAlign w:val="center"/>
          </w:tcPr>
          <w:p w14:paraId="004CCF8D" w14:textId="19FDA4D3" w:rsidR="00D622CF" w:rsidRPr="00952C33" w:rsidRDefault="00430D3D" w:rsidP="00FB6278">
            <w:pPr>
              <w:jc w:val="center"/>
              <w:rPr>
                <w:rFonts w:ascii="Arial" w:hAnsi="Arial"/>
                <w:sz w:val="22"/>
              </w:rPr>
            </w:pPr>
            <w:r w:rsidRPr="00952C33">
              <w:rPr>
                <w:rFonts w:ascii="Arial" w:hAnsi="Arial" w:hint="eastAsia"/>
                <w:sz w:val="22"/>
              </w:rPr>
              <w:t>√</w:t>
            </w:r>
          </w:p>
        </w:tc>
        <w:tc>
          <w:tcPr>
            <w:tcW w:w="1235" w:type="dxa"/>
            <w:vAlign w:val="center"/>
          </w:tcPr>
          <w:p w14:paraId="1DC30348" w14:textId="487205AF" w:rsidR="00D622CF" w:rsidRPr="00952C33" w:rsidRDefault="00430D3D" w:rsidP="00FB6278">
            <w:pPr>
              <w:jc w:val="center"/>
              <w:rPr>
                <w:rFonts w:ascii="Arial" w:hAnsi="Arial"/>
                <w:sz w:val="22"/>
              </w:rPr>
            </w:pPr>
            <w:r w:rsidRPr="00952C33">
              <w:rPr>
                <w:rFonts w:ascii="Arial" w:hAnsi="Arial" w:hint="eastAsia"/>
                <w:sz w:val="22"/>
              </w:rPr>
              <w:t>√</w:t>
            </w:r>
          </w:p>
        </w:tc>
        <w:tc>
          <w:tcPr>
            <w:tcW w:w="1236" w:type="dxa"/>
            <w:vAlign w:val="center"/>
          </w:tcPr>
          <w:p w14:paraId="5D619754" w14:textId="60A50693" w:rsidR="00D622CF" w:rsidRPr="00952C33" w:rsidRDefault="00430D3D" w:rsidP="00FB6278">
            <w:pPr>
              <w:jc w:val="center"/>
              <w:rPr>
                <w:rFonts w:ascii="Arial" w:hAnsi="Arial"/>
                <w:sz w:val="22"/>
              </w:rPr>
            </w:pPr>
            <w:r w:rsidRPr="00952C33">
              <w:rPr>
                <w:rFonts w:ascii="Arial" w:hAnsi="Arial" w:hint="eastAsia"/>
                <w:sz w:val="22"/>
              </w:rPr>
              <w:t>√</w:t>
            </w:r>
          </w:p>
        </w:tc>
        <w:tc>
          <w:tcPr>
            <w:tcW w:w="1233" w:type="dxa"/>
            <w:vAlign w:val="center"/>
          </w:tcPr>
          <w:p w14:paraId="03F76642" w14:textId="5B7722BE" w:rsidR="00D622CF" w:rsidRPr="00952C33" w:rsidRDefault="00430D3D" w:rsidP="00FB6278">
            <w:pPr>
              <w:jc w:val="center"/>
              <w:rPr>
                <w:rFonts w:ascii="Arial" w:hAnsi="Arial"/>
                <w:sz w:val="22"/>
              </w:rPr>
            </w:pPr>
            <w:r w:rsidRPr="00952C33">
              <w:rPr>
                <w:rFonts w:ascii="Arial" w:hAnsi="Arial" w:hint="eastAsia"/>
                <w:sz w:val="22"/>
              </w:rPr>
              <w:t>√</w:t>
            </w:r>
          </w:p>
        </w:tc>
        <w:tc>
          <w:tcPr>
            <w:tcW w:w="1235" w:type="dxa"/>
            <w:vAlign w:val="center"/>
          </w:tcPr>
          <w:p w14:paraId="451AA54D" w14:textId="1B2F9CF7" w:rsidR="00D622CF" w:rsidRPr="00952C33" w:rsidRDefault="00430D3D" w:rsidP="00FB6278">
            <w:pPr>
              <w:jc w:val="center"/>
              <w:rPr>
                <w:rFonts w:ascii="Arial" w:hAnsi="Arial"/>
                <w:sz w:val="22"/>
              </w:rPr>
            </w:pPr>
            <w:r w:rsidRPr="00952C33">
              <w:rPr>
                <w:rFonts w:ascii="Arial" w:hAnsi="Arial" w:hint="eastAsia"/>
                <w:sz w:val="22"/>
              </w:rPr>
              <w:t>√</w:t>
            </w:r>
          </w:p>
        </w:tc>
        <w:tc>
          <w:tcPr>
            <w:tcW w:w="1238" w:type="dxa"/>
            <w:vAlign w:val="center"/>
          </w:tcPr>
          <w:p w14:paraId="2A446513" w14:textId="1BB95E05" w:rsidR="00D622CF" w:rsidRPr="00952C33" w:rsidRDefault="00430D3D" w:rsidP="00FB6278">
            <w:pPr>
              <w:jc w:val="center"/>
              <w:rPr>
                <w:rFonts w:ascii="Arial" w:hAnsi="Arial"/>
                <w:sz w:val="22"/>
              </w:rPr>
            </w:pPr>
            <w:r w:rsidRPr="00952C33">
              <w:rPr>
                <w:rFonts w:ascii="Arial" w:hAnsi="Arial" w:hint="eastAsia"/>
                <w:sz w:val="22"/>
              </w:rPr>
              <w:t>√</w:t>
            </w:r>
          </w:p>
        </w:tc>
        <w:tc>
          <w:tcPr>
            <w:tcW w:w="1164" w:type="dxa"/>
            <w:vAlign w:val="center"/>
          </w:tcPr>
          <w:p w14:paraId="02C0BCD2" w14:textId="03277905" w:rsidR="00D622CF" w:rsidRPr="00952C33" w:rsidRDefault="00430D3D" w:rsidP="00FB6278">
            <w:pPr>
              <w:jc w:val="center"/>
              <w:rPr>
                <w:rFonts w:ascii="Arial" w:hAnsi="Arial"/>
                <w:sz w:val="22"/>
              </w:rPr>
            </w:pPr>
            <w:r w:rsidRPr="00952C33">
              <w:rPr>
                <w:rFonts w:ascii="Arial" w:hAnsi="Arial"/>
                <w:sz w:val="22"/>
              </w:rPr>
              <w:t>9</w:t>
            </w:r>
            <w:r w:rsidR="001B71B6" w:rsidRPr="00952C33">
              <w:rPr>
                <w:rFonts w:ascii="Arial" w:hAnsi="Arial"/>
                <w:sz w:val="22"/>
              </w:rPr>
              <w:t>/10</w:t>
            </w:r>
          </w:p>
        </w:tc>
      </w:tr>
      <w:tr w:rsidR="00D622CF" w:rsidRPr="00151580" w14:paraId="7F58AE79" w14:textId="37187285" w:rsidTr="00151580">
        <w:tc>
          <w:tcPr>
            <w:tcW w:w="1843" w:type="dxa"/>
          </w:tcPr>
          <w:p w14:paraId="7EE55FA9" w14:textId="77777777" w:rsidR="00D622CF" w:rsidRPr="00952C33" w:rsidRDefault="00D622CF" w:rsidP="00FB6278">
            <w:pPr>
              <w:rPr>
                <w:rFonts w:ascii="Arial" w:hAnsi="Arial"/>
                <w:sz w:val="22"/>
              </w:rPr>
            </w:pPr>
            <w:r w:rsidRPr="00952C33">
              <w:rPr>
                <w:rFonts w:ascii="Arial" w:hAnsi="Arial"/>
                <w:sz w:val="22"/>
              </w:rPr>
              <w:t>Ros Given-Wilson</w:t>
            </w:r>
          </w:p>
        </w:tc>
        <w:tc>
          <w:tcPr>
            <w:tcW w:w="1248" w:type="dxa"/>
            <w:vAlign w:val="center"/>
          </w:tcPr>
          <w:p w14:paraId="4093CB95" w14:textId="59162A62" w:rsidR="00D622CF" w:rsidRPr="00952C33" w:rsidRDefault="00430D3D" w:rsidP="00FB6278">
            <w:pPr>
              <w:jc w:val="center"/>
              <w:rPr>
                <w:rFonts w:ascii="Arial" w:hAnsi="Arial"/>
                <w:sz w:val="22"/>
              </w:rPr>
            </w:pPr>
            <w:r w:rsidRPr="00952C33">
              <w:rPr>
                <w:rFonts w:ascii="Arial" w:hAnsi="Arial" w:hint="eastAsia"/>
                <w:sz w:val="22"/>
              </w:rPr>
              <w:t>√</w:t>
            </w:r>
          </w:p>
        </w:tc>
        <w:tc>
          <w:tcPr>
            <w:tcW w:w="1239" w:type="dxa"/>
            <w:vAlign w:val="center"/>
          </w:tcPr>
          <w:p w14:paraId="00F5F045" w14:textId="68C3D64A" w:rsidR="00D622CF" w:rsidRPr="00952C33" w:rsidRDefault="00430D3D" w:rsidP="00FB6278">
            <w:pPr>
              <w:jc w:val="center"/>
              <w:rPr>
                <w:rFonts w:ascii="Arial" w:hAnsi="Arial"/>
                <w:sz w:val="22"/>
              </w:rPr>
            </w:pPr>
            <w:r w:rsidRPr="00952C33">
              <w:rPr>
                <w:rFonts w:ascii="Arial" w:hAnsi="Arial" w:hint="eastAsia"/>
                <w:sz w:val="22"/>
              </w:rPr>
              <w:t>√</w:t>
            </w:r>
          </w:p>
        </w:tc>
        <w:tc>
          <w:tcPr>
            <w:tcW w:w="1218" w:type="dxa"/>
            <w:vAlign w:val="center"/>
          </w:tcPr>
          <w:p w14:paraId="7D6F0757" w14:textId="70F9B4C1" w:rsidR="00D622CF" w:rsidRPr="00952C33" w:rsidRDefault="00430D3D" w:rsidP="00FB6278">
            <w:pPr>
              <w:jc w:val="center"/>
              <w:rPr>
                <w:rFonts w:ascii="Arial" w:hAnsi="Arial"/>
                <w:sz w:val="22"/>
              </w:rPr>
            </w:pPr>
            <w:r w:rsidRPr="00952C33">
              <w:rPr>
                <w:rFonts w:ascii="Arial" w:hAnsi="Arial" w:hint="eastAsia"/>
                <w:sz w:val="22"/>
              </w:rPr>
              <w:t>√</w:t>
            </w:r>
          </w:p>
        </w:tc>
        <w:tc>
          <w:tcPr>
            <w:tcW w:w="1230" w:type="dxa"/>
            <w:vAlign w:val="center"/>
          </w:tcPr>
          <w:p w14:paraId="760F3213" w14:textId="193508C7" w:rsidR="00D622CF" w:rsidRPr="00952C33" w:rsidRDefault="00430D3D" w:rsidP="00FB6278">
            <w:pPr>
              <w:jc w:val="center"/>
              <w:rPr>
                <w:rFonts w:ascii="Arial" w:hAnsi="Arial"/>
                <w:sz w:val="22"/>
              </w:rPr>
            </w:pPr>
            <w:r w:rsidRPr="00952C33">
              <w:rPr>
                <w:rFonts w:ascii="Arial" w:hAnsi="Arial" w:hint="eastAsia"/>
                <w:sz w:val="22"/>
              </w:rPr>
              <w:t>√</w:t>
            </w:r>
          </w:p>
        </w:tc>
        <w:tc>
          <w:tcPr>
            <w:tcW w:w="1235" w:type="dxa"/>
            <w:vAlign w:val="center"/>
          </w:tcPr>
          <w:p w14:paraId="4000E6C9" w14:textId="6BCB1B41" w:rsidR="00D622CF" w:rsidRPr="00952C33" w:rsidRDefault="00430D3D" w:rsidP="00FB6278">
            <w:pPr>
              <w:jc w:val="center"/>
              <w:rPr>
                <w:rFonts w:ascii="Arial" w:hAnsi="Arial"/>
                <w:sz w:val="22"/>
              </w:rPr>
            </w:pPr>
            <w:r w:rsidRPr="00952C33">
              <w:rPr>
                <w:rFonts w:ascii="Arial" w:hAnsi="Arial" w:hint="eastAsia"/>
                <w:sz w:val="22"/>
              </w:rPr>
              <w:t>√</w:t>
            </w:r>
          </w:p>
        </w:tc>
        <w:tc>
          <w:tcPr>
            <w:tcW w:w="1235" w:type="dxa"/>
            <w:vAlign w:val="center"/>
          </w:tcPr>
          <w:p w14:paraId="7DA270FA" w14:textId="34CF9722" w:rsidR="00D622CF" w:rsidRPr="00952C33" w:rsidRDefault="00430D3D" w:rsidP="00FB6278">
            <w:pPr>
              <w:jc w:val="center"/>
              <w:rPr>
                <w:rFonts w:ascii="Arial" w:hAnsi="Arial"/>
                <w:sz w:val="22"/>
              </w:rPr>
            </w:pPr>
            <w:r w:rsidRPr="00952C33">
              <w:rPr>
                <w:rFonts w:ascii="Arial" w:hAnsi="Arial" w:hint="eastAsia"/>
                <w:sz w:val="22"/>
              </w:rPr>
              <w:t>√</w:t>
            </w:r>
          </w:p>
        </w:tc>
        <w:tc>
          <w:tcPr>
            <w:tcW w:w="1236" w:type="dxa"/>
            <w:vAlign w:val="center"/>
          </w:tcPr>
          <w:p w14:paraId="5BD51D5B" w14:textId="49850E7D" w:rsidR="00D622CF" w:rsidRPr="00952C33" w:rsidRDefault="00430D3D" w:rsidP="00FB6278">
            <w:pPr>
              <w:jc w:val="center"/>
              <w:rPr>
                <w:rFonts w:ascii="Arial" w:hAnsi="Arial"/>
                <w:sz w:val="22"/>
              </w:rPr>
            </w:pPr>
            <w:r w:rsidRPr="00952C33">
              <w:rPr>
                <w:rFonts w:ascii="Arial" w:hAnsi="Arial" w:hint="eastAsia"/>
                <w:sz w:val="22"/>
              </w:rPr>
              <w:t>√</w:t>
            </w:r>
          </w:p>
        </w:tc>
        <w:tc>
          <w:tcPr>
            <w:tcW w:w="1233" w:type="dxa"/>
            <w:vAlign w:val="center"/>
          </w:tcPr>
          <w:p w14:paraId="19D413B0" w14:textId="476F3178" w:rsidR="00D622CF" w:rsidRPr="00952C33" w:rsidRDefault="00D622CF" w:rsidP="00FB6278">
            <w:pPr>
              <w:jc w:val="center"/>
              <w:rPr>
                <w:rFonts w:ascii="Arial" w:hAnsi="Arial"/>
                <w:sz w:val="22"/>
              </w:rPr>
            </w:pPr>
          </w:p>
        </w:tc>
        <w:tc>
          <w:tcPr>
            <w:tcW w:w="1235" w:type="dxa"/>
            <w:vAlign w:val="center"/>
          </w:tcPr>
          <w:p w14:paraId="7804026D" w14:textId="35F31214" w:rsidR="00D622CF" w:rsidRPr="00952C33" w:rsidRDefault="00430D3D" w:rsidP="00FB6278">
            <w:pPr>
              <w:jc w:val="center"/>
              <w:rPr>
                <w:rFonts w:ascii="Arial" w:hAnsi="Arial"/>
                <w:sz w:val="22"/>
              </w:rPr>
            </w:pPr>
            <w:r w:rsidRPr="00952C33">
              <w:rPr>
                <w:rFonts w:ascii="Arial" w:hAnsi="Arial" w:hint="eastAsia"/>
                <w:sz w:val="22"/>
              </w:rPr>
              <w:t>√</w:t>
            </w:r>
          </w:p>
        </w:tc>
        <w:tc>
          <w:tcPr>
            <w:tcW w:w="1238" w:type="dxa"/>
            <w:vAlign w:val="center"/>
          </w:tcPr>
          <w:p w14:paraId="4CDE1857" w14:textId="20C04344" w:rsidR="00D622CF" w:rsidRPr="00952C33" w:rsidRDefault="00430D3D" w:rsidP="00FB6278">
            <w:pPr>
              <w:jc w:val="center"/>
              <w:rPr>
                <w:rFonts w:ascii="Arial" w:hAnsi="Arial"/>
                <w:sz w:val="22"/>
              </w:rPr>
            </w:pPr>
            <w:r w:rsidRPr="00952C33">
              <w:rPr>
                <w:rFonts w:ascii="Arial" w:hAnsi="Arial" w:hint="eastAsia"/>
                <w:sz w:val="22"/>
              </w:rPr>
              <w:t>√</w:t>
            </w:r>
          </w:p>
        </w:tc>
        <w:tc>
          <w:tcPr>
            <w:tcW w:w="1164" w:type="dxa"/>
            <w:vAlign w:val="center"/>
          </w:tcPr>
          <w:p w14:paraId="3FEE34EE" w14:textId="15AB86BA" w:rsidR="00D622CF" w:rsidRPr="00952C33" w:rsidRDefault="006201B2" w:rsidP="00FB6278">
            <w:pPr>
              <w:jc w:val="center"/>
              <w:rPr>
                <w:rFonts w:ascii="Arial" w:hAnsi="Arial"/>
                <w:sz w:val="22"/>
              </w:rPr>
            </w:pPr>
            <w:r w:rsidRPr="00952C33">
              <w:rPr>
                <w:rFonts w:ascii="Arial" w:hAnsi="Arial"/>
                <w:sz w:val="22"/>
              </w:rPr>
              <w:t>9</w:t>
            </w:r>
            <w:r w:rsidR="001B71B6" w:rsidRPr="00952C33">
              <w:rPr>
                <w:rFonts w:ascii="Arial" w:hAnsi="Arial"/>
                <w:sz w:val="22"/>
              </w:rPr>
              <w:t>/10</w:t>
            </w:r>
          </w:p>
        </w:tc>
      </w:tr>
      <w:tr w:rsidR="00D622CF" w:rsidRPr="00151580" w14:paraId="2962E8E8" w14:textId="30716C6C" w:rsidTr="00151580">
        <w:tc>
          <w:tcPr>
            <w:tcW w:w="1843" w:type="dxa"/>
          </w:tcPr>
          <w:p w14:paraId="5B14D39C" w14:textId="6B2EC569" w:rsidR="00D622CF" w:rsidRPr="00952C33" w:rsidRDefault="00D622CF" w:rsidP="00FB6278">
            <w:pPr>
              <w:rPr>
                <w:rFonts w:ascii="Arial" w:hAnsi="Arial"/>
                <w:sz w:val="22"/>
              </w:rPr>
            </w:pPr>
            <w:r w:rsidRPr="00952C33">
              <w:rPr>
                <w:rFonts w:ascii="Arial" w:hAnsi="Arial"/>
                <w:sz w:val="22"/>
              </w:rPr>
              <w:t>Nick Hardie</w:t>
            </w:r>
          </w:p>
        </w:tc>
        <w:tc>
          <w:tcPr>
            <w:tcW w:w="1248" w:type="dxa"/>
            <w:vAlign w:val="center"/>
          </w:tcPr>
          <w:p w14:paraId="4906E854" w14:textId="09F279ED" w:rsidR="00D622CF" w:rsidRPr="00952C33" w:rsidRDefault="00430D3D" w:rsidP="00FB6278">
            <w:pPr>
              <w:jc w:val="center"/>
              <w:rPr>
                <w:rFonts w:ascii="Arial" w:hAnsi="Arial"/>
                <w:sz w:val="22"/>
              </w:rPr>
            </w:pPr>
            <w:r w:rsidRPr="00952C33">
              <w:rPr>
                <w:rFonts w:ascii="Arial" w:hAnsi="Arial" w:hint="eastAsia"/>
                <w:sz w:val="22"/>
              </w:rPr>
              <w:t>√</w:t>
            </w:r>
          </w:p>
        </w:tc>
        <w:tc>
          <w:tcPr>
            <w:tcW w:w="1239" w:type="dxa"/>
            <w:vAlign w:val="center"/>
          </w:tcPr>
          <w:p w14:paraId="290BC47F" w14:textId="6EF79C56" w:rsidR="00D622CF" w:rsidRPr="00952C33" w:rsidRDefault="00430D3D" w:rsidP="00FB6278">
            <w:pPr>
              <w:jc w:val="center"/>
              <w:rPr>
                <w:rFonts w:ascii="Arial" w:hAnsi="Arial"/>
                <w:sz w:val="22"/>
              </w:rPr>
            </w:pPr>
            <w:r w:rsidRPr="00952C33">
              <w:rPr>
                <w:rFonts w:ascii="Arial" w:hAnsi="Arial" w:hint="eastAsia"/>
                <w:sz w:val="22"/>
              </w:rPr>
              <w:t>√</w:t>
            </w:r>
          </w:p>
        </w:tc>
        <w:tc>
          <w:tcPr>
            <w:tcW w:w="1218" w:type="dxa"/>
            <w:vAlign w:val="center"/>
          </w:tcPr>
          <w:p w14:paraId="7D9C62F6" w14:textId="20B5522F" w:rsidR="00D622CF" w:rsidRPr="00952C33" w:rsidRDefault="00430D3D" w:rsidP="00FB6278">
            <w:pPr>
              <w:jc w:val="center"/>
              <w:rPr>
                <w:rFonts w:ascii="Arial" w:hAnsi="Arial"/>
                <w:sz w:val="22"/>
              </w:rPr>
            </w:pPr>
            <w:r w:rsidRPr="00952C33">
              <w:rPr>
                <w:rFonts w:ascii="Arial" w:hAnsi="Arial" w:hint="eastAsia"/>
                <w:sz w:val="22"/>
              </w:rPr>
              <w:t>√</w:t>
            </w:r>
          </w:p>
        </w:tc>
        <w:tc>
          <w:tcPr>
            <w:tcW w:w="1230" w:type="dxa"/>
            <w:vAlign w:val="center"/>
          </w:tcPr>
          <w:p w14:paraId="437DF7C8" w14:textId="7ECDD824" w:rsidR="00D622CF" w:rsidRPr="00952C33" w:rsidRDefault="00430D3D" w:rsidP="00FB6278">
            <w:pPr>
              <w:jc w:val="center"/>
              <w:rPr>
                <w:rFonts w:ascii="Arial" w:hAnsi="Arial"/>
                <w:sz w:val="22"/>
              </w:rPr>
            </w:pPr>
            <w:r w:rsidRPr="00952C33">
              <w:rPr>
                <w:rFonts w:ascii="Arial" w:hAnsi="Arial" w:hint="eastAsia"/>
                <w:sz w:val="22"/>
              </w:rPr>
              <w:t>√</w:t>
            </w:r>
          </w:p>
        </w:tc>
        <w:tc>
          <w:tcPr>
            <w:tcW w:w="1235" w:type="dxa"/>
            <w:vAlign w:val="center"/>
          </w:tcPr>
          <w:p w14:paraId="52977D9C" w14:textId="225532FC" w:rsidR="00D622CF" w:rsidRPr="00952C33" w:rsidRDefault="00430D3D" w:rsidP="00FB6278">
            <w:pPr>
              <w:jc w:val="center"/>
              <w:rPr>
                <w:rFonts w:ascii="Arial" w:hAnsi="Arial"/>
                <w:sz w:val="22"/>
              </w:rPr>
            </w:pPr>
            <w:r w:rsidRPr="00952C33">
              <w:rPr>
                <w:rFonts w:ascii="Arial" w:hAnsi="Arial" w:hint="eastAsia"/>
                <w:sz w:val="22"/>
              </w:rPr>
              <w:t>√</w:t>
            </w:r>
          </w:p>
        </w:tc>
        <w:tc>
          <w:tcPr>
            <w:tcW w:w="1235" w:type="dxa"/>
            <w:vAlign w:val="center"/>
          </w:tcPr>
          <w:p w14:paraId="18BAAE3A" w14:textId="5A81A056" w:rsidR="00D622CF" w:rsidRPr="00952C33" w:rsidRDefault="00430D3D" w:rsidP="00FB6278">
            <w:pPr>
              <w:jc w:val="center"/>
              <w:rPr>
                <w:rFonts w:ascii="Arial" w:hAnsi="Arial"/>
                <w:sz w:val="22"/>
              </w:rPr>
            </w:pPr>
            <w:r w:rsidRPr="00952C33">
              <w:rPr>
                <w:rFonts w:ascii="Arial" w:hAnsi="Arial" w:hint="eastAsia"/>
                <w:sz w:val="22"/>
              </w:rPr>
              <w:t>√</w:t>
            </w:r>
          </w:p>
        </w:tc>
        <w:tc>
          <w:tcPr>
            <w:tcW w:w="1236" w:type="dxa"/>
            <w:vAlign w:val="center"/>
          </w:tcPr>
          <w:p w14:paraId="4CBAB7C5" w14:textId="17F14F5F" w:rsidR="00D622CF" w:rsidRPr="00952C33" w:rsidRDefault="00430D3D" w:rsidP="00FB6278">
            <w:pPr>
              <w:jc w:val="center"/>
              <w:rPr>
                <w:rFonts w:ascii="Arial" w:hAnsi="Arial"/>
                <w:sz w:val="22"/>
              </w:rPr>
            </w:pPr>
            <w:r w:rsidRPr="00952C33">
              <w:rPr>
                <w:rFonts w:ascii="Arial" w:hAnsi="Arial" w:hint="eastAsia"/>
                <w:sz w:val="22"/>
              </w:rPr>
              <w:t>√</w:t>
            </w:r>
          </w:p>
        </w:tc>
        <w:tc>
          <w:tcPr>
            <w:tcW w:w="1233" w:type="dxa"/>
            <w:vAlign w:val="center"/>
          </w:tcPr>
          <w:p w14:paraId="3228CC18" w14:textId="57C33EBC" w:rsidR="00D622CF" w:rsidRPr="00952C33" w:rsidRDefault="00430D3D" w:rsidP="00FB6278">
            <w:pPr>
              <w:jc w:val="center"/>
              <w:rPr>
                <w:rFonts w:ascii="Arial" w:hAnsi="Arial"/>
                <w:sz w:val="22"/>
              </w:rPr>
            </w:pPr>
            <w:r w:rsidRPr="00952C33">
              <w:rPr>
                <w:rFonts w:ascii="Arial" w:hAnsi="Arial" w:hint="eastAsia"/>
                <w:sz w:val="22"/>
              </w:rPr>
              <w:t>√</w:t>
            </w:r>
          </w:p>
        </w:tc>
        <w:tc>
          <w:tcPr>
            <w:tcW w:w="1235" w:type="dxa"/>
            <w:vAlign w:val="center"/>
          </w:tcPr>
          <w:p w14:paraId="622A9227" w14:textId="3DCF83B4" w:rsidR="00D622CF" w:rsidRPr="00952C33" w:rsidRDefault="00430D3D" w:rsidP="00FB6278">
            <w:pPr>
              <w:jc w:val="center"/>
              <w:rPr>
                <w:rFonts w:ascii="Arial" w:hAnsi="Arial"/>
                <w:sz w:val="22"/>
              </w:rPr>
            </w:pPr>
            <w:r w:rsidRPr="00952C33">
              <w:rPr>
                <w:rFonts w:ascii="Arial" w:hAnsi="Arial" w:hint="eastAsia"/>
                <w:sz w:val="22"/>
              </w:rPr>
              <w:t>√</w:t>
            </w:r>
          </w:p>
        </w:tc>
        <w:tc>
          <w:tcPr>
            <w:tcW w:w="1238" w:type="dxa"/>
            <w:vAlign w:val="center"/>
          </w:tcPr>
          <w:p w14:paraId="1635CF6B" w14:textId="3B6281BE" w:rsidR="00D622CF" w:rsidRPr="00952C33" w:rsidRDefault="00430D3D" w:rsidP="00FB6278">
            <w:pPr>
              <w:jc w:val="center"/>
              <w:rPr>
                <w:rFonts w:ascii="Arial" w:hAnsi="Arial"/>
                <w:sz w:val="22"/>
              </w:rPr>
            </w:pPr>
            <w:r w:rsidRPr="00952C33">
              <w:rPr>
                <w:rFonts w:ascii="Arial" w:hAnsi="Arial" w:hint="eastAsia"/>
                <w:sz w:val="22"/>
              </w:rPr>
              <w:t>√</w:t>
            </w:r>
          </w:p>
        </w:tc>
        <w:tc>
          <w:tcPr>
            <w:tcW w:w="1164" w:type="dxa"/>
            <w:vAlign w:val="center"/>
          </w:tcPr>
          <w:p w14:paraId="0A593C89" w14:textId="68B7D372" w:rsidR="00D622CF" w:rsidRPr="00952C33" w:rsidRDefault="00430D3D" w:rsidP="00FB6278">
            <w:pPr>
              <w:jc w:val="center"/>
              <w:rPr>
                <w:rFonts w:ascii="Arial" w:hAnsi="Arial"/>
                <w:sz w:val="22"/>
              </w:rPr>
            </w:pPr>
            <w:r w:rsidRPr="00952C33">
              <w:rPr>
                <w:rFonts w:ascii="Arial" w:hAnsi="Arial"/>
                <w:sz w:val="22"/>
              </w:rPr>
              <w:t>10</w:t>
            </w:r>
            <w:r w:rsidR="001B71B6" w:rsidRPr="00952C33">
              <w:rPr>
                <w:rFonts w:ascii="Arial" w:hAnsi="Arial"/>
                <w:sz w:val="22"/>
              </w:rPr>
              <w:t>/10</w:t>
            </w:r>
          </w:p>
        </w:tc>
      </w:tr>
      <w:tr w:rsidR="00D622CF" w:rsidRPr="00151580" w14:paraId="10F86090" w14:textId="1C740A52" w:rsidTr="00151580">
        <w:tc>
          <w:tcPr>
            <w:tcW w:w="1843" w:type="dxa"/>
          </w:tcPr>
          <w:p w14:paraId="23F69C28" w14:textId="664A822D" w:rsidR="00D622CF" w:rsidRPr="00952C33" w:rsidRDefault="00D622CF" w:rsidP="00FB6278">
            <w:pPr>
              <w:rPr>
                <w:rFonts w:ascii="Arial" w:hAnsi="Arial"/>
                <w:sz w:val="22"/>
              </w:rPr>
            </w:pPr>
            <w:r w:rsidRPr="00952C33">
              <w:rPr>
                <w:rFonts w:ascii="Arial" w:hAnsi="Arial"/>
                <w:sz w:val="22"/>
              </w:rPr>
              <w:t>David Hills</w:t>
            </w:r>
          </w:p>
        </w:tc>
        <w:tc>
          <w:tcPr>
            <w:tcW w:w="1248" w:type="dxa"/>
            <w:vAlign w:val="center"/>
          </w:tcPr>
          <w:p w14:paraId="46D17EE7" w14:textId="3F6D6892" w:rsidR="00D622CF" w:rsidRPr="00952C33" w:rsidRDefault="00430D3D" w:rsidP="00FB6278">
            <w:pPr>
              <w:jc w:val="center"/>
              <w:rPr>
                <w:rFonts w:ascii="Arial" w:hAnsi="Arial"/>
                <w:sz w:val="22"/>
              </w:rPr>
            </w:pPr>
            <w:r w:rsidRPr="00952C33">
              <w:rPr>
                <w:rFonts w:ascii="Arial" w:hAnsi="Arial" w:hint="eastAsia"/>
                <w:sz w:val="22"/>
              </w:rPr>
              <w:t>√</w:t>
            </w:r>
          </w:p>
        </w:tc>
        <w:tc>
          <w:tcPr>
            <w:tcW w:w="1239" w:type="dxa"/>
            <w:vAlign w:val="center"/>
          </w:tcPr>
          <w:p w14:paraId="6DFE2B9F" w14:textId="60AB1082" w:rsidR="00D622CF" w:rsidRPr="00952C33" w:rsidRDefault="00430D3D" w:rsidP="00FB6278">
            <w:pPr>
              <w:jc w:val="center"/>
              <w:rPr>
                <w:rFonts w:ascii="Arial" w:hAnsi="Arial"/>
                <w:sz w:val="22"/>
              </w:rPr>
            </w:pPr>
            <w:r w:rsidRPr="00952C33">
              <w:rPr>
                <w:rFonts w:ascii="Arial" w:hAnsi="Arial" w:hint="eastAsia"/>
                <w:sz w:val="22"/>
              </w:rPr>
              <w:t>√</w:t>
            </w:r>
          </w:p>
        </w:tc>
        <w:tc>
          <w:tcPr>
            <w:tcW w:w="1218" w:type="dxa"/>
            <w:vAlign w:val="center"/>
          </w:tcPr>
          <w:p w14:paraId="1436D8F7" w14:textId="000D27DF" w:rsidR="00D622CF" w:rsidRPr="00952C33" w:rsidRDefault="00430D3D" w:rsidP="00FB6278">
            <w:pPr>
              <w:jc w:val="center"/>
              <w:rPr>
                <w:rFonts w:ascii="Arial" w:hAnsi="Arial"/>
                <w:sz w:val="22"/>
              </w:rPr>
            </w:pPr>
            <w:r w:rsidRPr="00952C33">
              <w:rPr>
                <w:rFonts w:ascii="Arial" w:hAnsi="Arial" w:hint="eastAsia"/>
                <w:sz w:val="22"/>
              </w:rPr>
              <w:t>√</w:t>
            </w:r>
          </w:p>
        </w:tc>
        <w:tc>
          <w:tcPr>
            <w:tcW w:w="1230" w:type="dxa"/>
            <w:vAlign w:val="center"/>
          </w:tcPr>
          <w:p w14:paraId="4ADC6C72" w14:textId="0656B63E" w:rsidR="00D622CF" w:rsidRPr="00952C33" w:rsidRDefault="00430D3D" w:rsidP="00FB6278">
            <w:pPr>
              <w:jc w:val="center"/>
              <w:rPr>
                <w:rFonts w:ascii="Arial" w:hAnsi="Arial"/>
                <w:sz w:val="22"/>
              </w:rPr>
            </w:pPr>
            <w:r w:rsidRPr="00952C33">
              <w:rPr>
                <w:rFonts w:ascii="Arial" w:hAnsi="Arial" w:hint="eastAsia"/>
                <w:sz w:val="22"/>
              </w:rPr>
              <w:t>√</w:t>
            </w:r>
          </w:p>
        </w:tc>
        <w:tc>
          <w:tcPr>
            <w:tcW w:w="1235" w:type="dxa"/>
            <w:vAlign w:val="center"/>
          </w:tcPr>
          <w:p w14:paraId="05392AA8" w14:textId="4AC19E11" w:rsidR="00D622CF" w:rsidRPr="00952C33" w:rsidRDefault="00430D3D" w:rsidP="00FB6278">
            <w:pPr>
              <w:jc w:val="center"/>
              <w:rPr>
                <w:rFonts w:ascii="Arial" w:hAnsi="Arial"/>
                <w:sz w:val="22"/>
              </w:rPr>
            </w:pPr>
            <w:r w:rsidRPr="00952C33">
              <w:rPr>
                <w:rFonts w:ascii="Arial" w:hAnsi="Arial" w:hint="eastAsia"/>
                <w:sz w:val="22"/>
              </w:rPr>
              <w:t>√</w:t>
            </w:r>
          </w:p>
        </w:tc>
        <w:tc>
          <w:tcPr>
            <w:tcW w:w="1235" w:type="dxa"/>
            <w:vAlign w:val="center"/>
          </w:tcPr>
          <w:p w14:paraId="7D262F51" w14:textId="606A150B" w:rsidR="00D622CF" w:rsidRPr="00952C33" w:rsidRDefault="00430D3D" w:rsidP="00FB6278">
            <w:pPr>
              <w:jc w:val="center"/>
              <w:rPr>
                <w:rFonts w:ascii="Arial" w:hAnsi="Arial"/>
                <w:sz w:val="22"/>
              </w:rPr>
            </w:pPr>
            <w:r w:rsidRPr="00952C33">
              <w:rPr>
                <w:rFonts w:ascii="Arial" w:hAnsi="Arial" w:hint="eastAsia"/>
                <w:sz w:val="22"/>
              </w:rPr>
              <w:t>√</w:t>
            </w:r>
          </w:p>
        </w:tc>
        <w:tc>
          <w:tcPr>
            <w:tcW w:w="1236" w:type="dxa"/>
            <w:vAlign w:val="center"/>
          </w:tcPr>
          <w:p w14:paraId="3CF230C9" w14:textId="5429DF81" w:rsidR="00D622CF" w:rsidRPr="00952C33" w:rsidRDefault="00430D3D" w:rsidP="00FB6278">
            <w:pPr>
              <w:jc w:val="center"/>
              <w:rPr>
                <w:rFonts w:ascii="Arial" w:hAnsi="Arial"/>
                <w:sz w:val="22"/>
              </w:rPr>
            </w:pPr>
            <w:r w:rsidRPr="00952C33">
              <w:rPr>
                <w:rFonts w:ascii="Arial" w:hAnsi="Arial" w:hint="eastAsia"/>
                <w:sz w:val="22"/>
              </w:rPr>
              <w:t>√</w:t>
            </w:r>
          </w:p>
        </w:tc>
        <w:tc>
          <w:tcPr>
            <w:tcW w:w="1233" w:type="dxa"/>
            <w:vAlign w:val="center"/>
          </w:tcPr>
          <w:p w14:paraId="32465A53" w14:textId="29321506" w:rsidR="00D622CF" w:rsidRPr="00952C33" w:rsidRDefault="00430D3D" w:rsidP="00FB6278">
            <w:pPr>
              <w:jc w:val="center"/>
              <w:rPr>
                <w:rFonts w:ascii="Arial" w:hAnsi="Arial"/>
                <w:sz w:val="22"/>
              </w:rPr>
            </w:pPr>
            <w:r w:rsidRPr="00952C33">
              <w:rPr>
                <w:rFonts w:ascii="Arial" w:hAnsi="Arial" w:hint="eastAsia"/>
                <w:sz w:val="22"/>
              </w:rPr>
              <w:t>√</w:t>
            </w:r>
          </w:p>
        </w:tc>
        <w:tc>
          <w:tcPr>
            <w:tcW w:w="1235" w:type="dxa"/>
            <w:vAlign w:val="center"/>
          </w:tcPr>
          <w:p w14:paraId="5003EAAF" w14:textId="2177D95C" w:rsidR="00D622CF" w:rsidRPr="00952C33" w:rsidRDefault="00430D3D" w:rsidP="00FB6278">
            <w:pPr>
              <w:jc w:val="center"/>
              <w:rPr>
                <w:rFonts w:ascii="Arial" w:hAnsi="Arial"/>
                <w:sz w:val="22"/>
              </w:rPr>
            </w:pPr>
            <w:r w:rsidRPr="00952C33">
              <w:rPr>
                <w:rFonts w:ascii="Arial" w:hAnsi="Arial" w:hint="eastAsia"/>
                <w:sz w:val="22"/>
              </w:rPr>
              <w:t>√</w:t>
            </w:r>
          </w:p>
        </w:tc>
        <w:tc>
          <w:tcPr>
            <w:tcW w:w="1238" w:type="dxa"/>
            <w:vAlign w:val="center"/>
          </w:tcPr>
          <w:p w14:paraId="414F0ED2" w14:textId="66412247" w:rsidR="00D622CF" w:rsidRPr="00952C33" w:rsidRDefault="00430D3D" w:rsidP="00FB6278">
            <w:pPr>
              <w:jc w:val="center"/>
              <w:rPr>
                <w:rFonts w:ascii="Arial" w:hAnsi="Arial"/>
                <w:sz w:val="22"/>
              </w:rPr>
            </w:pPr>
            <w:r w:rsidRPr="00952C33">
              <w:rPr>
                <w:rFonts w:ascii="Arial" w:hAnsi="Arial" w:hint="eastAsia"/>
                <w:sz w:val="22"/>
              </w:rPr>
              <w:t>√</w:t>
            </w:r>
          </w:p>
        </w:tc>
        <w:tc>
          <w:tcPr>
            <w:tcW w:w="1164" w:type="dxa"/>
            <w:vAlign w:val="center"/>
          </w:tcPr>
          <w:p w14:paraId="2ABCA842" w14:textId="77BCF1B1" w:rsidR="00D622CF" w:rsidRPr="00952C33" w:rsidRDefault="00430D3D" w:rsidP="00FB6278">
            <w:pPr>
              <w:jc w:val="center"/>
              <w:rPr>
                <w:rFonts w:ascii="Arial" w:hAnsi="Arial"/>
                <w:sz w:val="22"/>
              </w:rPr>
            </w:pPr>
            <w:r w:rsidRPr="00952C33">
              <w:rPr>
                <w:rFonts w:ascii="Arial" w:hAnsi="Arial"/>
                <w:sz w:val="22"/>
              </w:rPr>
              <w:t>10</w:t>
            </w:r>
            <w:r w:rsidR="001B71B6" w:rsidRPr="00952C33">
              <w:rPr>
                <w:rFonts w:ascii="Arial" w:hAnsi="Arial"/>
                <w:sz w:val="22"/>
              </w:rPr>
              <w:t>/10</w:t>
            </w:r>
          </w:p>
        </w:tc>
      </w:tr>
      <w:tr w:rsidR="00D622CF" w:rsidRPr="00151580" w14:paraId="4251A389" w14:textId="228FB5DC" w:rsidTr="00151580">
        <w:tc>
          <w:tcPr>
            <w:tcW w:w="1843" w:type="dxa"/>
          </w:tcPr>
          <w:p w14:paraId="222C912B" w14:textId="492CC27C" w:rsidR="00D622CF" w:rsidRPr="00952C33" w:rsidRDefault="00D622CF" w:rsidP="00FB6278">
            <w:pPr>
              <w:rPr>
                <w:rFonts w:ascii="Arial" w:hAnsi="Arial"/>
                <w:sz w:val="22"/>
              </w:rPr>
            </w:pPr>
            <w:r w:rsidRPr="00952C33">
              <w:rPr>
                <w:rFonts w:ascii="Arial" w:hAnsi="Arial"/>
                <w:sz w:val="22"/>
              </w:rPr>
              <w:t>Richard Holmes</w:t>
            </w:r>
          </w:p>
        </w:tc>
        <w:tc>
          <w:tcPr>
            <w:tcW w:w="1248" w:type="dxa"/>
            <w:vAlign w:val="center"/>
          </w:tcPr>
          <w:p w14:paraId="22C9DAB8" w14:textId="2CC260FD" w:rsidR="00D622CF" w:rsidRPr="00952C33" w:rsidRDefault="00430D3D" w:rsidP="00FB6278">
            <w:pPr>
              <w:jc w:val="center"/>
              <w:rPr>
                <w:rFonts w:ascii="Arial" w:hAnsi="Arial"/>
                <w:sz w:val="22"/>
              </w:rPr>
            </w:pPr>
            <w:r w:rsidRPr="00952C33">
              <w:rPr>
                <w:rFonts w:ascii="Arial" w:hAnsi="Arial" w:hint="eastAsia"/>
                <w:sz w:val="22"/>
              </w:rPr>
              <w:t>√</w:t>
            </w:r>
          </w:p>
        </w:tc>
        <w:tc>
          <w:tcPr>
            <w:tcW w:w="1239" w:type="dxa"/>
            <w:vAlign w:val="center"/>
          </w:tcPr>
          <w:p w14:paraId="34D87A45" w14:textId="7775F3C1" w:rsidR="00D622CF" w:rsidRPr="00952C33" w:rsidRDefault="00430D3D" w:rsidP="00FB6278">
            <w:pPr>
              <w:jc w:val="center"/>
              <w:rPr>
                <w:rFonts w:ascii="Arial" w:hAnsi="Arial"/>
                <w:sz w:val="22"/>
              </w:rPr>
            </w:pPr>
            <w:r w:rsidRPr="00952C33">
              <w:rPr>
                <w:rFonts w:ascii="Arial" w:hAnsi="Arial" w:hint="eastAsia"/>
                <w:sz w:val="22"/>
              </w:rPr>
              <w:t>√</w:t>
            </w:r>
          </w:p>
        </w:tc>
        <w:tc>
          <w:tcPr>
            <w:tcW w:w="1218" w:type="dxa"/>
            <w:vAlign w:val="center"/>
          </w:tcPr>
          <w:p w14:paraId="63C43FAE" w14:textId="45BFCD0D" w:rsidR="00D622CF" w:rsidRPr="00952C33" w:rsidRDefault="00430D3D" w:rsidP="00FB6278">
            <w:pPr>
              <w:jc w:val="center"/>
              <w:rPr>
                <w:rFonts w:ascii="Arial" w:hAnsi="Arial"/>
                <w:sz w:val="22"/>
              </w:rPr>
            </w:pPr>
            <w:r w:rsidRPr="00952C33">
              <w:rPr>
                <w:rFonts w:ascii="Arial" w:hAnsi="Arial" w:hint="eastAsia"/>
                <w:sz w:val="22"/>
              </w:rPr>
              <w:t>√</w:t>
            </w:r>
          </w:p>
        </w:tc>
        <w:tc>
          <w:tcPr>
            <w:tcW w:w="1230" w:type="dxa"/>
            <w:vAlign w:val="center"/>
          </w:tcPr>
          <w:p w14:paraId="6FD77019" w14:textId="7FBD2CF3" w:rsidR="00D622CF" w:rsidRPr="00952C33" w:rsidRDefault="00D622CF" w:rsidP="00FB6278">
            <w:pPr>
              <w:jc w:val="center"/>
              <w:rPr>
                <w:rFonts w:ascii="Arial" w:hAnsi="Arial"/>
                <w:sz w:val="22"/>
              </w:rPr>
            </w:pPr>
          </w:p>
        </w:tc>
        <w:tc>
          <w:tcPr>
            <w:tcW w:w="1235" w:type="dxa"/>
            <w:vAlign w:val="center"/>
          </w:tcPr>
          <w:p w14:paraId="36F4506A" w14:textId="7021E4E1" w:rsidR="00D622CF" w:rsidRPr="00952C33" w:rsidRDefault="00430D3D" w:rsidP="00FB6278">
            <w:pPr>
              <w:jc w:val="center"/>
              <w:rPr>
                <w:rFonts w:ascii="Arial" w:hAnsi="Arial"/>
                <w:sz w:val="22"/>
              </w:rPr>
            </w:pPr>
            <w:r w:rsidRPr="00952C33">
              <w:rPr>
                <w:rFonts w:ascii="Arial" w:hAnsi="Arial" w:hint="eastAsia"/>
                <w:sz w:val="22"/>
              </w:rPr>
              <w:t>√</w:t>
            </w:r>
          </w:p>
        </w:tc>
        <w:tc>
          <w:tcPr>
            <w:tcW w:w="1235" w:type="dxa"/>
            <w:vAlign w:val="center"/>
          </w:tcPr>
          <w:p w14:paraId="55BDCA8C" w14:textId="30BB6803" w:rsidR="00D622CF" w:rsidRPr="00952C33" w:rsidRDefault="00430D3D" w:rsidP="00FB6278">
            <w:pPr>
              <w:jc w:val="center"/>
              <w:rPr>
                <w:rFonts w:ascii="Arial" w:hAnsi="Arial"/>
                <w:sz w:val="22"/>
              </w:rPr>
            </w:pPr>
            <w:r w:rsidRPr="00952C33">
              <w:rPr>
                <w:rFonts w:ascii="Arial" w:hAnsi="Arial" w:hint="eastAsia"/>
                <w:sz w:val="22"/>
              </w:rPr>
              <w:t>√</w:t>
            </w:r>
          </w:p>
        </w:tc>
        <w:tc>
          <w:tcPr>
            <w:tcW w:w="1236" w:type="dxa"/>
            <w:vAlign w:val="center"/>
          </w:tcPr>
          <w:p w14:paraId="6D10471B" w14:textId="1746260C" w:rsidR="00D622CF" w:rsidRPr="00952C33" w:rsidRDefault="00430D3D" w:rsidP="00FB6278">
            <w:pPr>
              <w:jc w:val="center"/>
              <w:rPr>
                <w:rFonts w:ascii="Arial" w:hAnsi="Arial"/>
                <w:sz w:val="22"/>
              </w:rPr>
            </w:pPr>
            <w:r w:rsidRPr="00952C33">
              <w:rPr>
                <w:rFonts w:ascii="Arial" w:hAnsi="Arial" w:hint="eastAsia"/>
                <w:sz w:val="22"/>
              </w:rPr>
              <w:t>√</w:t>
            </w:r>
          </w:p>
        </w:tc>
        <w:tc>
          <w:tcPr>
            <w:tcW w:w="1233" w:type="dxa"/>
            <w:vAlign w:val="center"/>
          </w:tcPr>
          <w:p w14:paraId="2484C661" w14:textId="580ECDAB" w:rsidR="00D622CF" w:rsidRPr="00952C33" w:rsidRDefault="00D622CF" w:rsidP="00FB6278">
            <w:pPr>
              <w:jc w:val="center"/>
              <w:rPr>
                <w:rFonts w:ascii="Arial" w:hAnsi="Arial"/>
                <w:sz w:val="22"/>
              </w:rPr>
            </w:pPr>
          </w:p>
        </w:tc>
        <w:tc>
          <w:tcPr>
            <w:tcW w:w="1235" w:type="dxa"/>
            <w:vAlign w:val="center"/>
          </w:tcPr>
          <w:p w14:paraId="14BB3C8D" w14:textId="755FC96F" w:rsidR="00D622CF" w:rsidRPr="00952C33" w:rsidRDefault="00430D3D" w:rsidP="00FB6278">
            <w:pPr>
              <w:jc w:val="center"/>
              <w:rPr>
                <w:rFonts w:ascii="Arial" w:hAnsi="Arial"/>
                <w:sz w:val="22"/>
              </w:rPr>
            </w:pPr>
            <w:r w:rsidRPr="00952C33">
              <w:rPr>
                <w:rFonts w:ascii="Arial" w:hAnsi="Arial" w:hint="eastAsia"/>
                <w:sz w:val="22"/>
              </w:rPr>
              <w:t>√</w:t>
            </w:r>
          </w:p>
        </w:tc>
        <w:tc>
          <w:tcPr>
            <w:tcW w:w="1238" w:type="dxa"/>
            <w:vAlign w:val="center"/>
          </w:tcPr>
          <w:p w14:paraId="6E0EA15F" w14:textId="3F552963" w:rsidR="00D622CF" w:rsidRPr="00952C33" w:rsidRDefault="00430D3D" w:rsidP="00FB6278">
            <w:pPr>
              <w:jc w:val="center"/>
              <w:rPr>
                <w:rFonts w:ascii="Arial" w:hAnsi="Arial"/>
                <w:sz w:val="22"/>
              </w:rPr>
            </w:pPr>
            <w:r w:rsidRPr="00952C33">
              <w:rPr>
                <w:rFonts w:ascii="Arial" w:hAnsi="Arial" w:hint="eastAsia"/>
                <w:sz w:val="22"/>
              </w:rPr>
              <w:t>√</w:t>
            </w:r>
          </w:p>
        </w:tc>
        <w:tc>
          <w:tcPr>
            <w:tcW w:w="1164" w:type="dxa"/>
            <w:vAlign w:val="center"/>
          </w:tcPr>
          <w:p w14:paraId="7E407024" w14:textId="5D75587F" w:rsidR="00D622CF" w:rsidRPr="00952C33" w:rsidRDefault="006201B2" w:rsidP="00FB6278">
            <w:pPr>
              <w:jc w:val="center"/>
              <w:rPr>
                <w:rFonts w:ascii="Arial" w:hAnsi="Arial"/>
                <w:sz w:val="22"/>
              </w:rPr>
            </w:pPr>
            <w:r w:rsidRPr="00952C33">
              <w:rPr>
                <w:rFonts w:ascii="Arial" w:hAnsi="Arial"/>
                <w:sz w:val="22"/>
              </w:rPr>
              <w:t>8</w:t>
            </w:r>
            <w:r w:rsidR="001B71B6" w:rsidRPr="00952C33">
              <w:rPr>
                <w:rFonts w:ascii="Arial" w:hAnsi="Arial"/>
                <w:sz w:val="22"/>
              </w:rPr>
              <w:t>/10</w:t>
            </w:r>
          </w:p>
        </w:tc>
      </w:tr>
      <w:tr w:rsidR="0059222F" w:rsidRPr="00151580" w14:paraId="54130436" w14:textId="77777777" w:rsidTr="00CD6322">
        <w:tc>
          <w:tcPr>
            <w:tcW w:w="1843" w:type="dxa"/>
          </w:tcPr>
          <w:p w14:paraId="756A33FB" w14:textId="77777777" w:rsidR="0059222F" w:rsidRPr="00952C33" w:rsidRDefault="0059222F" w:rsidP="00FB6278">
            <w:pPr>
              <w:rPr>
                <w:rFonts w:ascii="Arial" w:hAnsi="Arial"/>
                <w:sz w:val="22"/>
              </w:rPr>
            </w:pPr>
            <w:r w:rsidRPr="00952C33">
              <w:rPr>
                <w:rFonts w:ascii="Arial" w:hAnsi="Arial"/>
                <w:sz w:val="22"/>
              </w:rPr>
              <w:t>Peng Tee Khaw</w:t>
            </w:r>
          </w:p>
        </w:tc>
        <w:tc>
          <w:tcPr>
            <w:tcW w:w="1248" w:type="dxa"/>
            <w:vAlign w:val="center"/>
          </w:tcPr>
          <w:p w14:paraId="0659237E"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9" w:type="dxa"/>
            <w:vAlign w:val="center"/>
          </w:tcPr>
          <w:p w14:paraId="24B33D44"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18" w:type="dxa"/>
            <w:vAlign w:val="center"/>
          </w:tcPr>
          <w:p w14:paraId="0B421ECA"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0" w:type="dxa"/>
            <w:vAlign w:val="center"/>
          </w:tcPr>
          <w:p w14:paraId="02A3F0FF"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5" w:type="dxa"/>
            <w:vAlign w:val="center"/>
          </w:tcPr>
          <w:p w14:paraId="6661104B"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5" w:type="dxa"/>
            <w:vAlign w:val="center"/>
          </w:tcPr>
          <w:p w14:paraId="34BB0D27"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6" w:type="dxa"/>
            <w:vAlign w:val="center"/>
          </w:tcPr>
          <w:p w14:paraId="06F45DF9"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3" w:type="dxa"/>
            <w:vAlign w:val="center"/>
          </w:tcPr>
          <w:p w14:paraId="67C5D3E6"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5" w:type="dxa"/>
            <w:vAlign w:val="center"/>
          </w:tcPr>
          <w:p w14:paraId="2B5F1278"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8" w:type="dxa"/>
            <w:vAlign w:val="center"/>
          </w:tcPr>
          <w:p w14:paraId="79545F5B"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164" w:type="dxa"/>
            <w:vAlign w:val="center"/>
          </w:tcPr>
          <w:p w14:paraId="34DB1720" w14:textId="77777777" w:rsidR="0059222F" w:rsidRPr="00952C33" w:rsidRDefault="0059222F" w:rsidP="00FB6278">
            <w:pPr>
              <w:jc w:val="center"/>
              <w:rPr>
                <w:rFonts w:ascii="Arial" w:hAnsi="Arial"/>
                <w:sz w:val="22"/>
              </w:rPr>
            </w:pPr>
            <w:r w:rsidRPr="00952C33">
              <w:rPr>
                <w:rFonts w:ascii="Arial" w:hAnsi="Arial"/>
                <w:sz w:val="22"/>
              </w:rPr>
              <w:t>10/10</w:t>
            </w:r>
          </w:p>
        </w:tc>
      </w:tr>
      <w:tr w:rsidR="0059222F" w:rsidRPr="00151580" w14:paraId="3FD6F302" w14:textId="77777777" w:rsidTr="00CD6322">
        <w:tc>
          <w:tcPr>
            <w:tcW w:w="1843" w:type="dxa"/>
          </w:tcPr>
          <w:p w14:paraId="7314428F" w14:textId="77777777" w:rsidR="0059222F" w:rsidRPr="00952C33" w:rsidRDefault="0059222F" w:rsidP="00FB6278">
            <w:pPr>
              <w:rPr>
                <w:rFonts w:ascii="Arial" w:hAnsi="Arial"/>
                <w:sz w:val="22"/>
              </w:rPr>
            </w:pPr>
            <w:r w:rsidRPr="00952C33">
              <w:rPr>
                <w:rFonts w:ascii="Arial" w:hAnsi="Arial"/>
                <w:sz w:val="22"/>
              </w:rPr>
              <w:t>Adrian Morris</w:t>
            </w:r>
          </w:p>
        </w:tc>
        <w:tc>
          <w:tcPr>
            <w:tcW w:w="1248" w:type="dxa"/>
            <w:vAlign w:val="center"/>
          </w:tcPr>
          <w:p w14:paraId="6B4A6BD2"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9" w:type="dxa"/>
            <w:vAlign w:val="center"/>
          </w:tcPr>
          <w:p w14:paraId="21174B81"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18" w:type="dxa"/>
            <w:vAlign w:val="center"/>
          </w:tcPr>
          <w:p w14:paraId="15B86337" w14:textId="77777777" w:rsidR="0059222F" w:rsidRPr="00952C33" w:rsidRDefault="0059222F" w:rsidP="00FB6278">
            <w:pPr>
              <w:jc w:val="center"/>
              <w:rPr>
                <w:rFonts w:ascii="Arial" w:hAnsi="Arial"/>
                <w:sz w:val="22"/>
              </w:rPr>
            </w:pPr>
          </w:p>
        </w:tc>
        <w:tc>
          <w:tcPr>
            <w:tcW w:w="1230" w:type="dxa"/>
            <w:vAlign w:val="center"/>
          </w:tcPr>
          <w:p w14:paraId="5DC2F62B"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5" w:type="dxa"/>
            <w:vAlign w:val="center"/>
          </w:tcPr>
          <w:p w14:paraId="1B6AAA83"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5" w:type="dxa"/>
            <w:vAlign w:val="center"/>
          </w:tcPr>
          <w:p w14:paraId="661C23BA"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6" w:type="dxa"/>
            <w:vAlign w:val="center"/>
          </w:tcPr>
          <w:p w14:paraId="609382FD"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3" w:type="dxa"/>
            <w:vAlign w:val="center"/>
          </w:tcPr>
          <w:p w14:paraId="16151DBF"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5" w:type="dxa"/>
            <w:vAlign w:val="center"/>
          </w:tcPr>
          <w:p w14:paraId="4322E933"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8" w:type="dxa"/>
            <w:vAlign w:val="center"/>
          </w:tcPr>
          <w:p w14:paraId="2D5927F0"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164" w:type="dxa"/>
            <w:vAlign w:val="center"/>
          </w:tcPr>
          <w:p w14:paraId="505DF6EE" w14:textId="276D8280" w:rsidR="0059222F" w:rsidRPr="00952C33" w:rsidRDefault="0059222F" w:rsidP="00FB6278">
            <w:pPr>
              <w:jc w:val="center"/>
              <w:rPr>
                <w:rFonts w:ascii="Arial" w:hAnsi="Arial"/>
                <w:sz w:val="22"/>
              </w:rPr>
            </w:pPr>
            <w:r w:rsidRPr="00952C33">
              <w:rPr>
                <w:rFonts w:ascii="Arial" w:hAnsi="Arial"/>
                <w:sz w:val="22"/>
              </w:rPr>
              <w:t>9/10</w:t>
            </w:r>
          </w:p>
        </w:tc>
      </w:tr>
      <w:tr w:rsidR="0059222F" w:rsidRPr="00151580" w14:paraId="2201563E" w14:textId="77777777" w:rsidTr="00CD6322">
        <w:tc>
          <w:tcPr>
            <w:tcW w:w="1843" w:type="dxa"/>
          </w:tcPr>
          <w:p w14:paraId="01F60A24" w14:textId="77777777" w:rsidR="0059222F" w:rsidRPr="00952C33" w:rsidRDefault="0059222F" w:rsidP="00FB6278">
            <w:pPr>
              <w:rPr>
                <w:rFonts w:ascii="Arial" w:hAnsi="Arial"/>
                <w:sz w:val="22"/>
              </w:rPr>
            </w:pPr>
            <w:r w:rsidRPr="00952C33">
              <w:rPr>
                <w:rFonts w:ascii="Arial" w:hAnsi="Arial"/>
                <w:sz w:val="22"/>
              </w:rPr>
              <w:t>Johanna Moss</w:t>
            </w:r>
          </w:p>
        </w:tc>
        <w:tc>
          <w:tcPr>
            <w:tcW w:w="1248" w:type="dxa"/>
            <w:vAlign w:val="center"/>
          </w:tcPr>
          <w:p w14:paraId="56EFA712"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9" w:type="dxa"/>
            <w:vAlign w:val="center"/>
          </w:tcPr>
          <w:p w14:paraId="42E94CE3"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18" w:type="dxa"/>
            <w:vAlign w:val="center"/>
          </w:tcPr>
          <w:p w14:paraId="0B3767CD"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0" w:type="dxa"/>
            <w:vAlign w:val="center"/>
          </w:tcPr>
          <w:p w14:paraId="6795D3F3"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5" w:type="dxa"/>
            <w:vAlign w:val="center"/>
          </w:tcPr>
          <w:p w14:paraId="79F0FF1E"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5" w:type="dxa"/>
            <w:vAlign w:val="center"/>
          </w:tcPr>
          <w:p w14:paraId="2D782D0B"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6" w:type="dxa"/>
            <w:vAlign w:val="center"/>
          </w:tcPr>
          <w:p w14:paraId="7664BE4F"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3" w:type="dxa"/>
            <w:vAlign w:val="center"/>
          </w:tcPr>
          <w:p w14:paraId="11E5C933"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5" w:type="dxa"/>
            <w:vAlign w:val="center"/>
          </w:tcPr>
          <w:p w14:paraId="37645D9A"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8" w:type="dxa"/>
            <w:vAlign w:val="center"/>
          </w:tcPr>
          <w:p w14:paraId="2067C001"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164" w:type="dxa"/>
            <w:vAlign w:val="center"/>
          </w:tcPr>
          <w:p w14:paraId="473D9EC9" w14:textId="28043C2D" w:rsidR="0059222F" w:rsidRPr="00952C33" w:rsidRDefault="0059222F" w:rsidP="00FB6278">
            <w:pPr>
              <w:jc w:val="center"/>
              <w:rPr>
                <w:rFonts w:ascii="Arial" w:hAnsi="Arial"/>
                <w:sz w:val="22"/>
              </w:rPr>
            </w:pPr>
            <w:r w:rsidRPr="00952C33">
              <w:rPr>
                <w:rFonts w:ascii="Arial" w:hAnsi="Arial"/>
                <w:sz w:val="22"/>
              </w:rPr>
              <w:t>10/10</w:t>
            </w:r>
          </w:p>
        </w:tc>
      </w:tr>
      <w:tr w:rsidR="00D622CF" w:rsidRPr="00151580" w14:paraId="19CBFB68" w14:textId="091B1044" w:rsidTr="00151580">
        <w:tc>
          <w:tcPr>
            <w:tcW w:w="1843" w:type="dxa"/>
          </w:tcPr>
          <w:p w14:paraId="6195E4D3" w14:textId="77777777" w:rsidR="00D622CF" w:rsidRPr="00952C33" w:rsidRDefault="00D622CF" w:rsidP="00FB6278">
            <w:pPr>
              <w:rPr>
                <w:rFonts w:ascii="Arial" w:hAnsi="Arial"/>
                <w:sz w:val="22"/>
              </w:rPr>
            </w:pPr>
            <w:r w:rsidRPr="00952C33">
              <w:rPr>
                <w:rFonts w:ascii="Arial" w:hAnsi="Arial"/>
                <w:sz w:val="22"/>
              </w:rPr>
              <w:t>Sumita Singha</w:t>
            </w:r>
          </w:p>
        </w:tc>
        <w:tc>
          <w:tcPr>
            <w:tcW w:w="1248" w:type="dxa"/>
            <w:vAlign w:val="center"/>
          </w:tcPr>
          <w:p w14:paraId="4E7867C4" w14:textId="7AD74088" w:rsidR="00D622CF" w:rsidRPr="00952C33" w:rsidRDefault="00430D3D" w:rsidP="00FB6278">
            <w:pPr>
              <w:jc w:val="center"/>
              <w:rPr>
                <w:rFonts w:ascii="Arial" w:hAnsi="Arial"/>
                <w:sz w:val="22"/>
              </w:rPr>
            </w:pPr>
            <w:r w:rsidRPr="00952C33">
              <w:rPr>
                <w:rFonts w:ascii="Arial" w:hAnsi="Arial" w:hint="eastAsia"/>
                <w:sz w:val="22"/>
              </w:rPr>
              <w:t>√</w:t>
            </w:r>
          </w:p>
        </w:tc>
        <w:tc>
          <w:tcPr>
            <w:tcW w:w="1239" w:type="dxa"/>
            <w:vAlign w:val="center"/>
          </w:tcPr>
          <w:p w14:paraId="7C31A05E" w14:textId="7908B299" w:rsidR="00D622CF" w:rsidRPr="00952C33" w:rsidRDefault="00430D3D" w:rsidP="00FB6278">
            <w:pPr>
              <w:jc w:val="center"/>
              <w:rPr>
                <w:rFonts w:ascii="Arial" w:hAnsi="Arial"/>
                <w:sz w:val="22"/>
              </w:rPr>
            </w:pPr>
            <w:r w:rsidRPr="00952C33">
              <w:rPr>
                <w:rFonts w:ascii="Arial" w:hAnsi="Arial" w:hint="eastAsia"/>
                <w:sz w:val="22"/>
              </w:rPr>
              <w:t>√</w:t>
            </w:r>
          </w:p>
        </w:tc>
        <w:tc>
          <w:tcPr>
            <w:tcW w:w="1218" w:type="dxa"/>
            <w:vAlign w:val="center"/>
          </w:tcPr>
          <w:p w14:paraId="7AEA7282" w14:textId="629064CA" w:rsidR="00D622CF" w:rsidRPr="00952C33" w:rsidRDefault="00430D3D" w:rsidP="00FB6278">
            <w:pPr>
              <w:jc w:val="center"/>
              <w:rPr>
                <w:rFonts w:ascii="Arial" w:hAnsi="Arial"/>
                <w:sz w:val="22"/>
              </w:rPr>
            </w:pPr>
            <w:r w:rsidRPr="00952C33">
              <w:rPr>
                <w:rFonts w:ascii="Arial" w:hAnsi="Arial" w:hint="eastAsia"/>
                <w:sz w:val="22"/>
              </w:rPr>
              <w:t>√</w:t>
            </w:r>
          </w:p>
        </w:tc>
        <w:tc>
          <w:tcPr>
            <w:tcW w:w="1230" w:type="dxa"/>
            <w:vAlign w:val="center"/>
          </w:tcPr>
          <w:p w14:paraId="16E23202" w14:textId="5B87AAAF" w:rsidR="00D622CF" w:rsidRPr="00952C33" w:rsidRDefault="00430D3D" w:rsidP="00FB6278">
            <w:pPr>
              <w:jc w:val="center"/>
              <w:rPr>
                <w:rFonts w:ascii="Arial" w:hAnsi="Arial"/>
                <w:sz w:val="22"/>
              </w:rPr>
            </w:pPr>
            <w:r w:rsidRPr="00952C33">
              <w:rPr>
                <w:rFonts w:ascii="Arial" w:hAnsi="Arial" w:hint="eastAsia"/>
                <w:sz w:val="22"/>
              </w:rPr>
              <w:t>√</w:t>
            </w:r>
          </w:p>
        </w:tc>
        <w:tc>
          <w:tcPr>
            <w:tcW w:w="1235" w:type="dxa"/>
            <w:vAlign w:val="center"/>
          </w:tcPr>
          <w:p w14:paraId="7EA533F1" w14:textId="7F06C0D3" w:rsidR="00D622CF" w:rsidRPr="00952C33" w:rsidRDefault="00430D3D" w:rsidP="00FB6278">
            <w:pPr>
              <w:jc w:val="center"/>
              <w:rPr>
                <w:rFonts w:ascii="Arial" w:hAnsi="Arial"/>
                <w:sz w:val="22"/>
              </w:rPr>
            </w:pPr>
            <w:r w:rsidRPr="00952C33">
              <w:rPr>
                <w:rFonts w:ascii="Arial" w:hAnsi="Arial" w:hint="eastAsia"/>
                <w:sz w:val="22"/>
              </w:rPr>
              <w:t>√</w:t>
            </w:r>
          </w:p>
        </w:tc>
        <w:tc>
          <w:tcPr>
            <w:tcW w:w="1235" w:type="dxa"/>
            <w:vAlign w:val="center"/>
          </w:tcPr>
          <w:p w14:paraId="22C68DC1" w14:textId="64ACE22D" w:rsidR="00D622CF" w:rsidRPr="00952C33" w:rsidRDefault="00430D3D" w:rsidP="00FB6278">
            <w:pPr>
              <w:jc w:val="center"/>
              <w:rPr>
                <w:rFonts w:ascii="Arial" w:hAnsi="Arial"/>
                <w:sz w:val="22"/>
              </w:rPr>
            </w:pPr>
            <w:r w:rsidRPr="00952C33">
              <w:rPr>
                <w:rFonts w:ascii="Arial" w:hAnsi="Arial" w:hint="eastAsia"/>
                <w:sz w:val="22"/>
              </w:rPr>
              <w:t>√</w:t>
            </w:r>
          </w:p>
        </w:tc>
        <w:tc>
          <w:tcPr>
            <w:tcW w:w="1236" w:type="dxa"/>
            <w:vAlign w:val="center"/>
          </w:tcPr>
          <w:p w14:paraId="3638D97D" w14:textId="06EAB081" w:rsidR="00D622CF" w:rsidRPr="00952C33" w:rsidRDefault="00D622CF" w:rsidP="00FB6278">
            <w:pPr>
              <w:jc w:val="center"/>
              <w:rPr>
                <w:rFonts w:ascii="Arial" w:hAnsi="Arial"/>
                <w:sz w:val="22"/>
              </w:rPr>
            </w:pPr>
          </w:p>
        </w:tc>
        <w:tc>
          <w:tcPr>
            <w:tcW w:w="1233" w:type="dxa"/>
            <w:vAlign w:val="center"/>
          </w:tcPr>
          <w:p w14:paraId="3DFC68FA" w14:textId="7B339FEB" w:rsidR="00D622CF" w:rsidRPr="00952C33" w:rsidRDefault="00430D3D" w:rsidP="00FB6278">
            <w:pPr>
              <w:jc w:val="center"/>
              <w:rPr>
                <w:rFonts w:ascii="Arial" w:hAnsi="Arial"/>
                <w:sz w:val="22"/>
              </w:rPr>
            </w:pPr>
            <w:r w:rsidRPr="00952C33">
              <w:rPr>
                <w:rFonts w:ascii="Arial" w:hAnsi="Arial" w:hint="eastAsia"/>
                <w:sz w:val="22"/>
              </w:rPr>
              <w:t>√</w:t>
            </w:r>
          </w:p>
        </w:tc>
        <w:tc>
          <w:tcPr>
            <w:tcW w:w="1235" w:type="dxa"/>
            <w:vAlign w:val="center"/>
          </w:tcPr>
          <w:p w14:paraId="17540D20" w14:textId="65797E2B" w:rsidR="00D622CF" w:rsidRPr="00952C33" w:rsidRDefault="00430D3D" w:rsidP="00FB6278">
            <w:pPr>
              <w:jc w:val="center"/>
              <w:rPr>
                <w:rFonts w:ascii="Arial" w:hAnsi="Arial"/>
                <w:sz w:val="22"/>
              </w:rPr>
            </w:pPr>
            <w:r w:rsidRPr="00952C33">
              <w:rPr>
                <w:rFonts w:ascii="Arial" w:hAnsi="Arial" w:hint="eastAsia"/>
                <w:sz w:val="22"/>
              </w:rPr>
              <w:t>√</w:t>
            </w:r>
          </w:p>
        </w:tc>
        <w:tc>
          <w:tcPr>
            <w:tcW w:w="1238" w:type="dxa"/>
            <w:vAlign w:val="center"/>
          </w:tcPr>
          <w:p w14:paraId="0E8830FC" w14:textId="2EFCE0D7" w:rsidR="00D622CF" w:rsidRPr="00952C33" w:rsidRDefault="00430D3D" w:rsidP="00FB6278">
            <w:pPr>
              <w:jc w:val="center"/>
              <w:rPr>
                <w:rFonts w:ascii="Arial" w:hAnsi="Arial"/>
                <w:sz w:val="22"/>
              </w:rPr>
            </w:pPr>
            <w:r w:rsidRPr="00952C33">
              <w:rPr>
                <w:rFonts w:ascii="Arial" w:hAnsi="Arial" w:hint="eastAsia"/>
                <w:sz w:val="22"/>
              </w:rPr>
              <w:t>√</w:t>
            </w:r>
          </w:p>
        </w:tc>
        <w:tc>
          <w:tcPr>
            <w:tcW w:w="1164" w:type="dxa"/>
            <w:vAlign w:val="center"/>
          </w:tcPr>
          <w:p w14:paraId="6E4BA57E" w14:textId="674FB590" w:rsidR="00D622CF" w:rsidRPr="00952C33" w:rsidRDefault="0059222F" w:rsidP="00FB6278">
            <w:pPr>
              <w:jc w:val="center"/>
              <w:rPr>
                <w:rFonts w:ascii="Arial" w:hAnsi="Arial"/>
                <w:sz w:val="22"/>
              </w:rPr>
            </w:pPr>
            <w:r w:rsidRPr="00952C33">
              <w:rPr>
                <w:rFonts w:ascii="Arial" w:hAnsi="Arial"/>
                <w:sz w:val="22"/>
              </w:rPr>
              <w:t>9</w:t>
            </w:r>
            <w:r w:rsidR="001B71B6" w:rsidRPr="00952C33">
              <w:rPr>
                <w:rFonts w:ascii="Arial" w:hAnsi="Arial"/>
                <w:sz w:val="22"/>
              </w:rPr>
              <w:t>/10</w:t>
            </w:r>
          </w:p>
        </w:tc>
      </w:tr>
      <w:tr w:rsidR="0059222F" w:rsidRPr="00151580" w14:paraId="3D66C409" w14:textId="77777777" w:rsidTr="00CD6322">
        <w:tc>
          <w:tcPr>
            <w:tcW w:w="1843" w:type="dxa"/>
          </w:tcPr>
          <w:p w14:paraId="0762C00B" w14:textId="77777777" w:rsidR="0059222F" w:rsidRPr="00952C33" w:rsidRDefault="0059222F" w:rsidP="00FB6278">
            <w:pPr>
              <w:rPr>
                <w:rFonts w:ascii="Arial" w:hAnsi="Arial"/>
                <w:sz w:val="22"/>
              </w:rPr>
            </w:pPr>
            <w:r w:rsidRPr="00952C33">
              <w:rPr>
                <w:rFonts w:ascii="Arial" w:hAnsi="Arial"/>
                <w:sz w:val="22"/>
              </w:rPr>
              <w:t>Jon Spencer</w:t>
            </w:r>
          </w:p>
        </w:tc>
        <w:tc>
          <w:tcPr>
            <w:tcW w:w="1248" w:type="dxa"/>
            <w:vAlign w:val="center"/>
          </w:tcPr>
          <w:p w14:paraId="726E208D"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9" w:type="dxa"/>
            <w:vAlign w:val="center"/>
          </w:tcPr>
          <w:p w14:paraId="05E3AC69"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18" w:type="dxa"/>
            <w:vAlign w:val="center"/>
          </w:tcPr>
          <w:p w14:paraId="0A59F8A9"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0" w:type="dxa"/>
            <w:vAlign w:val="center"/>
          </w:tcPr>
          <w:p w14:paraId="38A52DEE"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5" w:type="dxa"/>
            <w:vAlign w:val="center"/>
          </w:tcPr>
          <w:p w14:paraId="33DFE8B1"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5" w:type="dxa"/>
            <w:vAlign w:val="center"/>
          </w:tcPr>
          <w:p w14:paraId="2FEE90FD"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6" w:type="dxa"/>
            <w:vAlign w:val="center"/>
          </w:tcPr>
          <w:p w14:paraId="6E3D06B6"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3" w:type="dxa"/>
            <w:vAlign w:val="center"/>
          </w:tcPr>
          <w:p w14:paraId="363754ED"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5" w:type="dxa"/>
            <w:vAlign w:val="center"/>
          </w:tcPr>
          <w:p w14:paraId="03C1D5A7"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8" w:type="dxa"/>
            <w:vAlign w:val="center"/>
          </w:tcPr>
          <w:p w14:paraId="3E2E1B12"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164" w:type="dxa"/>
            <w:vAlign w:val="center"/>
          </w:tcPr>
          <w:p w14:paraId="09D14C3F" w14:textId="30AA1E22" w:rsidR="0059222F" w:rsidRPr="00952C33" w:rsidRDefault="0059222F" w:rsidP="00FB6278">
            <w:pPr>
              <w:jc w:val="center"/>
              <w:rPr>
                <w:rFonts w:ascii="Arial" w:hAnsi="Arial"/>
                <w:sz w:val="22"/>
              </w:rPr>
            </w:pPr>
            <w:r w:rsidRPr="00952C33">
              <w:rPr>
                <w:rFonts w:ascii="Arial" w:hAnsi="Arial"/>
                <w:sz w:val="22"/>
              </w:rPr>
              <w:t>9/10</w:t>
            </w:r>
          </w:p>
        </w:tc>
      </w:tr>
      <w:tr w:rsidR="0059222F" w:rsidRPr="00151580" w14:paraId="1F3283BC" w14:textId="77777777" w:rsidTr="00CD6322">
        <w:tc>
          <w:tcPr>
            <w:tcW w:w="1843" w:type="dxa"/>
          </w:tcPr>
          <w:p w14:paraId="1DE7D679" w14:textId="77777777" w:rsidR="0059222F" w:rsidRPr="00952C33" w:rsidRDefault="0059222F" w:rsidP="00FB6278">
            <w:pPr>
              <w:rPr>
                <w:rFonts w:ascii="Arial" w:hAnsi="Arial"/>
                <w:sz w:val="22"/>
              </w:rPr>
            </w:pPr>
            <w:r w:rsidRPr="00952C33">
              <w:rPr>
                <w:rFonts w:ascii="Arial" w:hAnsi="Arial"/>
                <w:sz w:val="22"/>
              </w:rPr>
              <w:t>Louisa Wickham</w:t>
            </w:r>
          </w:p>
        </w:tc>
        <w:tc>
          <w:tcPr>
            <w:tcW w:w="1248" w:type="dxa"/>
            <w:vAlign w:val="center"/>
          </w:tcPr>
          <w:p w14:paraId="621B91DC"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9" w:type="dxa"/>
            <w:vAlign w:val="center"/>
          </w:tcPr>
          <w:p w14:paraId="56B77DB6" w14:textId="77777777" w:rsidR="0059222F" w:rsidRPr="00952C33" w:rsidRDefault="0059222F" w:rsidP="00FB6278">
            <w:pPr>
              <w:jc w:val="center"/>
              <w:rPr>
                <w:rFonts w:ascii="Arial" w:hAnsi="Arial"/>
                <w:sz w:val="22"/>
              </w:rPr>
            </w:pPr>
          </w:p>
        </w:tc>
        <w:tc>
          <w:tcPr>
            <w:tcW w:w="1218" w:type="dxa"/>
            <w:vAlign w:val="center"/>
          </w:tcPr>
          <w:p w14:paraId="585E9252"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0" w:type="dxa"/>
            <w:vAlign w:val="center"/>
          </w:tcPr>
          <w:p w14:paraId="3F204083"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5" w:type="dxa"/>
            <w:vAlign w:val="center"/>
          </w:tcPr>
          <w:p w14:paraId="5357AA92"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5" w:type="dxa"/>
            <w:vAlign w:val="center"/>
          </w:tcPr>
          <w:p w14:paraId="653779BB"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6" w:type="dxa"/>
            <w:vAlign w:val="center"/>
          </w:tcPr>
          <w:p w14:paraId="1C45DAD8"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3" w:type="dxa"/>
            <w:vAlign w:val="center"/>
          </w:tcPr>
          <w:p w14:paraId="3EE95720"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5" w:type="dxa"/>
            <w:vAlign w:val="center"/>
          </w:tcPr>
          <w:p w14:paraId="18C04B7B"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8" w:type="dxa"/>
            <w:vAlign w:val="center"/>
          </w:tcPr>
          <w:p w14:paraId="241C73E5"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164" w:type="dxa"/>
            <w:vAlign w:val="center"/>
          </w:tcPr>
          <w:p w14:paraId="7296D33B" w14:textId="001D0410" w:rsidR="0059222F" w:rsidRPr="00952C33" w:rsidRDefault="0059222F" w:rsidP="00FB6278">
            <w:pPr>
              <w:jc w:val="center"/>
              <w:rPr>
                <w:rFonts w:ascii="Arial" w:hAnsi="Arial"/>
                <w:sz w:val="22"/>
              </w:rPr>
            </w:pPr>
            <w:r w:rsidRPr="00952C33">
              <w:rPr>
                <w:rFonts w:ascii="Arial" w:hAnsi="Arial"/>
                <w:sz w:val="22"/>
              </w:rPr>
              <w:t>10/10</w:t>
            </w:r>
          </w:p>
        </w:tc>
      </w:tr>
      <w:tr w:rsidR="00D622CF" w:rsidRPr="00151580" w14:paraId="57B3E121" w14:textId="6718B3BB" w:rsidTr="00151580">
        <w:tc>
          <w:tcPr>
            <w:tcW w:w="1843" w:type="dxa"/>
          </w:tcPr>
          <w:p w14:paraId="33D2FC73" w14:textId="1A9568B4" w:rsidR="00D622CF" w:rsidRPr="00952C33" w:rsidRDefault="00D622CF" w:rsidP="00FB6278">
            <w:pPr>
              <w:rPr>
                <w:rFonts w:ascii="Arial" w:hAnsi="Arial"/>
                <w:sz w:val="22"/>
              </w:rPr>
            </w:pPr>
            <w:r w:rsidRPr="00952C33">
              <w:rPr>
                <w:rFonts w:ascii="Arial" w:hAnsi="Arial"/>
                <w:sz w:val="22"/>
              </w:rPr>
              <w:t>Jonathan Wilson</w:t>
            </w:r>
          </w:p>
        </w:tc>
        <w:tc>
          <w:tcPr>
            <w:tcW w:w="1248" w:type="dxa"/>
            <w:vAlign w:val="center"/>
          </w:tcPr>
          <w:p w14:paraId="402BA1EB" w14:textId="4B499112" w:rsidR="00D622CF" w:rsidRPr="00952C33" w:rsidRDefault="00430D3D" w:rsidP="00FB6278">
            <w:pPr>
              <w:jc w:val="center"/>
              <w:rPr>
                <w:rFonts w:ascii="Arial" w:hAnsi="Arial"/>
                <w:sz w:val="22"/>
              </w:rPr>
            </w:pPr>
            <w:r w:rsidRPr="00952C33">
              <w:rPr>
                <w:rFonts w:ascii="Arial" w:hAnsi="Arial" w:hint="eastAsia"/>
                <w:sz w:val="22"/>
              </w:rPr>
              <w:t>√</w:t>
            </w:r>
          </w:p>
        </w:tc>
        <w:tc>
          <w:tcPr>
            <w:tcW w:w="1239" w:type="dxa"/>
            <w:vAlign w:val="center"/>
          </w:tcPr>
          <w:p w14:paraId="64EF7B8D" w14:textId="23F16ED8" w:rsidR="00D622CF" w:rsidRPr="00952C33" w:rsidRDefault="00430D3D" w:rsidP="00FB6278">
            <w:pPr>
              <w:jc w:val="center"/>
              <w:rPr>
                <w:rFonts w:ascii="Arial" w:hAnsi="Arial"/>
                <w:sz w:val="22"/>
              </w:rPr>
            </w:pPr>
            <w:r w:rsidRPr="00952C33">
              <w:rPr>
                <w:rFonts w:ascii="Arial" w:hAnsi="Arial" w:hint="eastAsia"/>
                <w:sz w:val="22"/>
              </w:rPr>
              <w:t>√</w:t>
            </w:r>
          </w:p>
        </w:tc>
        <w:tc>
          <w:tcPr>
            <w:tcW w:w="1218" w:type="dxa"/>
            <w:vAlign w:val="center"/>
          </w:tcPr>
          <w:p w14:paraId="6D83890D" w14:textId="6401E516" w:rsidR="00D622CF" w:rsidRPr="00952C33" w:rsidRDefault="00430D3D" w:rsidP="00FB6278">
            <w:pPr>
              <w:jc w:val="center"/>
              <w:rPr>
                <w:rFonts w:ascii="Arial" w:hAnsi="Arial"/>
                <w:sz w:val="22"/>
              </w:rPr>
            </w:pPr>
            <w:r w:rsidRPr="00952C33">
              <w:rPr>
                <w:rFonts w:ascii="Arial" w:hAnsi="Arial" w:hint="eastAsia"/>
                <w:sz w:val="22"/>
              </w:rPr>
              <w:t>√</w:t>
            </w:r>
          </w:p>
        </w:tc>
        <w:tc>
          <w:tcPr>
            <w:tcW w:w="1230" w:type="dxa"/>
            <w:vAlign w:val="center"/>
          </w:tcPr>
          <w:p w14:paraId="5263BF7E" w14:textId="03B66F5A" w:rsidR="00D622CF" w:rsidRPr="00952C33" w:rsidRDefault="00430D3D" w:rsidP="00FB6278">
            <w:pPr>
              <w:jc w:val="center"/>
              <w:rPr>
                <w:rFonts w:ascii="Arial" w:hAnsi="Arial"/>
                <w:sz w:val="22"/>
              </w:rPr>
            </w:pPr>
            <w:r w:rsidRPr="00952C33">
              <w:rPr>
                <w:rFonts w:ascii="Arial" w:hAnsi="Arial" w:hint="eastAsia"/>
                <w:sz w:val="22"/>
              </w:rPr>
              <w:t>√</w:t>
            </w:r>
          </w:p>
        </w:tc>
        <w:tc>
          <w:tcPr>
            <w:tcW w:w="1235" w:type="dxa"/>
            <w:vAlign w:val="center"/>
          </w:tcPr>
          <w:p w14:paraId="57B6147F" w14:textId="6F28AFB2" w:rsidR="00D622CF" w:rsidRPr="00952C33" w:rsidRDefault="00430D3D" w:rsidP="00FB6278">
            <w:pPr>
              <w:jc w:val="center"/>
              <w:rPr>
                <w:rFonts w:ascii="Arial" w:hAnsi="Arial"/>
                <w:sz w:val="22"/>
              </w:rPr>
            </w:pPr>
            <w:r w:rsidRPr="00952C33">
              <w:rPr>
                <w:rFonts w:ascii="Arial" w:hAnsi="Arial" w:hint="eastAsia"/>
                <w:sz w:val="22"/>
              </w:rPr>
              <w:t>√</w:t>
            </w:r>
          </w:p>
        </w:tc>
        <w:tc>
          <w:tcPr>
            <w:tcW w:w="1235" w:type="dxa"/>
            <w:vAlign w:val="center"/>
          </w:tcPr>
          <w:p w14:paraId="7F3D302A" w14:textId="1AE722DF" w:rsidR="00D622CF" w:rsidRPr="00952C33" w:rsidRDefault="00430D3D" w:rsidP="00FB6278">
            <w:pPr>
              <w:jc w:val="center"/>
              <w:rPr>
                <w:rFonts w:ascii="Arial" w:hAnsi="Arial"/>
                <w:sz w:val="22"/>
              </w:rPr>
            </w:pPr>
            <w:r w:rsidRPr="00952C33">
              <w:rPr>
                <w:rFonts w:ascii="Arial" w:hAnsi="Arial" w:hint="eastAsia"/>
                <w:sz w:val="22"/>
              </w:rPr>
              <w:t>√</w:t>
            </w:r>
          </w:p>
        </w:tc>
        <w:tc>
          <w:tcPr>
            <w:tcW w:w="1236" w:type="dxa"/>
            <w:vAlign w:val="center"/>
          </w:tcPr>
          <w:p w14:paraId="696DA7E7" w14:textId="21430246" w:rsidR="00D622CF" w:rsidRPr="00952C33" w:rsidRDefault="00430D3D" w:rsidP="00FB6278">
            <w:pPr>
              <w:jc w:val="center"/>
              <w:rPr>
                <w:rFonts w:ascii="Arial" w:hAnsi="Arial"/>
                <w:sz w:val="22"/>
              </w:rPr>
            </w:pPr>
            <w:r w:rsidRPr="00952C33">
              <w:rPr>
                <w:rFonts w:ascii="Arial" w:hAnsi="Arial" w:hint="eastAsia"/>
                <w:sz w:val="22"/>
              </w:rPr>
              <w:t>√</w:t>
            </w:r>
          </w:p>
        </w:tc>
        <w:tc>
          <w:tcPr>
            <w:tcW w:w="1233" w:type="dxa"/>
            <w:vAlign w:val="center"/>
          </w:tcPr>
          <w:p w14:paraId="2ECF3172" w14:textId="0026DCC9" w:rsidR="00D622CF" w:rsidRPr="00952C33" w:rsidRDefault="00430D3D" w:rsidP="00FB6278">
            <w:pPr>
              <w:jc w:val="center"/>
              <w:rPr>
                <w:rFonts w:ascii="Arial" w:hAnsi="Arial"/>
                <w:sz w:val="22"/>
              </w:rPr>
            </w:pPr>
            <w:r w:rsidRPr="00952C33">
              <w:rPr>
                <w:rFonts w:ascii="Arial" w:hAnsi="Arial" w:hint="eastAsia"/>
                <w:sz w:val="22"/>
              </w:rPr>
              <w:t>√</w:t>
            </w:r>
          </w:p>
        </w:tc>
        <w:tc>
          <w:tcPr>
            <w:tcW w:w="1235" w:type="dxa"/>
            <w:vAlign w:val="center"/>
          </w:tcPr>
          <w:p w14:paraId="5DA8A4CD" w14:textId="379C9CC2" w:rsidR="00D622CF" w:rsidRPr="00952C33" w:rsidRDefault="00430D3D" w:rsidP="00FB6278">
            <w:pPr>
              <w:jc w:val="center"/>
              <w:rPr>
                <w:rFonts w:ascii="Arial" w:hAnsi="Arial"/>
                <w:sz w:val="22"/>
              </w:rPr>
            </w:pPr>
            <w:r w:rsidRPr="00952C33">
              <w:rPr>
                <w:rFonts w:ascii="Arial" w:hAnsi="Arial" w:hint="eastAsia"/>
                <w:sz w:val="22"/>
              </w:rPr>
              <w:t>√</w:t>
            </w:r>
          </w:p>
        </w:tc>
        <w:tc>
          <w:tcPr>
            <w:tcW w:w="1238" w:type="dxa"/>
            <w:vAlign w:val="center"/>
          </w:tcPr>
          <w:p w14:paraId="29C723C4" w14:textId="17F78192" w:rsidR="00D622CF" w:rsidRPr="00952C33" w:rsidRDefault="00430D3D" w:rsidP="00FB6278">
            <w:pPr>
              <w:jc w:val="center"/>
              <w:rPr>
                <w:rFonts w:ascii="Arial" w:hAnsi="Arial"/>
                <w:sz w:val="22"/>
              </w:rPr>
            </w:pPr>
            <w:r w:rsidRPr="00952C33">
              <w:rPr>
                <w:rFonts w:ascii="Arial" w:hAnsi="Arial" w:hint="eastAsia"/>
                <w:sz w:val="22"/>
              </w:rPr>
              <w:t>√</w:t>
            </w:r>
          </w:p>
        </w:tc>
        <w:tc>
          <w:tcPr>
            <w:tcW w:w="1164" w:type="dxa"/>
            <w:vAlign w:val="center"/>
          </w:tcPr>
          <w:p w14:paraId="39B3E86C" w14:textId="1E5CF4A0" w:rsidR="00D622CF" w:rsidRPr="00952C33" w:rsidRDefault="001B71B6" w:rsidP="00FB6278">
            <w:pPr>
              <w:jc w:val="center"/>
              <w:rPr>
                <w:rFonts w:ascii="Arial" w:hAnsi="Arial"/>
                <w:sz w:val="22"/>
              </w:rPr>
            </w:pPr>
            <w:r w:rsidRPr="00952C33">
              <w:rPr>
                <w:rFonts w:ascii="Arial" w:hAnsi="Arial"/>
                <w:sz w:val="22"/>
              </w:rPr>
              <w:t>10/10</w:t>
            </w:r>
          </w:p>
        </w:tc>
      </w:tr>
      <w:tr w:rsidR="0059222F" w:rsidRPr="00151580" w14:paraId="6E037193" w14:textId="77777777" w:rsidTr="00CD6322">
        <w:tc>
          <w:tcPr>
            <w:tcW w:w="1843" w:type="dxa"/>
          </w:tcPr>
          <w:p w14:paraId="35EC0266" w14:textId="77777777" w:rsidR="0059222F" w:rsidRPr="00952C33" w:rsidRDefault="0059222F" w:rsidP="00FB6278">
            <w:pPr>
              <w:rPr>
                <w:rFonts w:ascii="Arial" w:hAnsi="Arial"/>
                <w:sz w:val="22"/>
              </w:rPr>
            </w:pPr>
            <w:r w:rsidRPr="00952C33">
              <w:rPr>
                <w:rFonts w:ascii="Arial" w:hAnsi="Arial"/>
                <w:sz w:val="22"/>
              </w:rPr>
              <w:t>David Probert</w:t>
            </w:r>
          </w:p>
        </w:tc>
        <w:tc>
          <w:tcPr>
            <w:tcW w:w="1248" w:type="dxa"/>
            <w:vAlign w:val="center"/>
          </w:tcPr>
          <w:p w14:paraId="3A24D21B"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9" w:type="dxa"/>
            <w:vAlign w:val="center"/>
          </w:tcPr>
          <w:p w14:paraId="319D217D"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18" w:type="dxa"/>
            <w:vAlign w:val="center"/>
          </w:tcPr>
          <w:p w14:paraId="741A7D6B"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0" w:type="dxa"/>
            <w:vAlign w:val="center"/>
          </w:tcPr>
          <w:p w14:paraId="374A56E0" w14:textId="77777777" w:rsidR="0059222F" w:rsidRPr="00952C33" w:rsidRDefault="0059222F" w:rsidP="00FB6278">
            <w:pPr>
              <w:jc w:val="center"/>
              <w:rPr>
                <w:rFonts w:ascii="Arial" w:hAnsi="Arial"/>
                <w:sz w:val="22"/>
              </w:rPr>
            </w:pPr>
            <w:r w:rsidRPr="00952C33">
              <w:rPr>
                <w:rFonts w:ascii="Arial" w:hAnsi="Arial" w:hint="eastAsia"/>
                <w:sz w:val="22"/>
              </w:rPr>
              <w:t>√</w:t>
            </w:r>
          </w:p>
        </w:tc>
        <w:tc>
          <w:tcPr>
            <w:tcW w:w="1235" w:type="dxa"/>
            <w:vAlign w:val="center"/>
          </w:tcPr>
          <w:p w14:paraId="39F3A385" w14:textId="77777777" w:rsidR="0059222F" w:rsidRPr="00952C33" w:rsidRDefault="0059222F" w:rsidP="00FB6278">
            <w:pPr>
              <w:jc w:val="center"/>
              <w:rPr>
                <w:rFonts w:ascii="Arial" w:hAnsi="Arial"/>
                <w:sz w:val="22"/>
              </w:rPr>
            </w:pPr>
            <w:r w:rsidRPr="00952C33">
              <w:rPr>
                <w:rFonts w:ascii="Arial" w:hAnsi="Arial"/>
                <w:sz w:val="22"/>
              </w:rPr>
              <w:t>*</w:t>
            </w:r>
          </w:p>
        </w:tc>
        <w:tc>
          <w:tcPr>
            <w:tcW w:w="1235" w:type="dxa"/>
            <w:vAlign w:val="center"/>
          </w:tcPr>
          <w:p w14:paraId="52D4FE7B" w14:textId="77777777" w:rsidR="0059222F" w:rsidRPr="00952C33" w:rsidRDefault="0059222F" w:rsidP="00FB6278">
            <w:pPr>
              <w:jc w:val="center"/>
              <w:rPr>
                <w:rFonts w:ascii="Arial" w:hAnsi="Arial"/>
                <w:sz w:val="22"/>
              </w:rPr>
            </w:pPr>
            <w:r w:rsidRPr="00952C33">
              <w:rPr>
                <w:rFonts w:ascii="Arial" w:hAnsi="Arial"/>
                <w:sz w:val="22"/>
              </w:rPr>
              <w:t>*</w:t>
            </w:r>
          </w:p>
        </w:tc>
        <w:tc>
          <w:tcPr>
            <w:tcW w:w="1236" w:type="dxa"/>
            <w:vAlign w:val="center"/>
          </w:tcPr>
          <w:p w14:paraId="5033945E" w14:textId="77777777" w:rsidR="0059222F" w:rsidRPr="00952C33" w:rsidRDefault="0059222F" w:rsidP="00FB6278">
            <w:pPr>
              <w:jc w:val="center"/>
              <w:rPr>
                <w:rFonts w:ascii="Arial" w:hAnsi="Arial"/>
                <w:sz w:val="22"/>
              </w:rPr>
            </w:pPr>
            <w:r w:rsidRPr="00952C33">
              <w:rPr>
                <w:rFonts w:ascii="Arial" w:hAnsi="Arial"/>
                <w:sz w:val="22"/>
              </w:rPr>
              <w:t>*</w:t>
            </w:r>
          </w:p>
        </w:tc>
        <w:tc>
          <w:tcPr>
            <w:tcW w:w="1233" w:type="dxa"/>
            <w:vAlign w:val="center"/>
          </w:tcPr>
          <w:p w14:paraId="65CFB243" w14:textId="77777777" w:rsidR="0059222F" w:rsidRPr="00952C33" w:rsidRDefault="0059222F" w:rsidP="00FB6278">
            <w:pPr>
              <w:jc w:val="center"/>
              <w:rPr>
                <w:rFonts w:ascii="Arial" w:hAnsi="Arial"/>
                <w:sz w:val="22"/>
              </w:rPr>
            </w:pPr>
            <w:r w:rsidRPr="00952C33">
              <w:rPr>
                <w:rFonts w:ascii="Arial" w:hAnsi="Arial"/>
                <w:sz w:val="22"/>
              </w:rPr>
              <w:t>*</w:t>
            </w:r>
          </w:p>
        </w:tc>
        <w:tc>
          <w:tcPr>
            <w:tcW w:w="1235" w:type="dxa"/>
            <w:vAlign w:val="center"/>
          </w:tcPr>
          <w:p w14:paraId="6BF6A58E" w14:textId="77777777" w:rsidR="0059222F" w:rsidRPr="00952C33" w:rsidRDefault="0059222F" w:rsidP="00FB6278">
            <w:pPr>
              <w:jc w:val="center"/>
              <w:rPr>
                <w:rFonts w:ascii="Arial" w:hAnsi="Arial"/>
                <w:sz w:val="22"/>
              </w:rPr>
            </w:pPr>
            <w:r w:rsidRPr="00952C33">
              <w:rPr>
                <w:rFonts w:ascii="Arial" w:hAnsi="Arial"/>
                <w:sz w:val="22"/>
              </w:rPr>
              <w:t>*</w:t>
            </w:r>
          </w:p>
        </w:tc>
        <w:tc>
          <w:tcPr>
            <w:tcW w:w="1238" w:type="dxa"/>
            <w:vAlign w:val="center"/>
          </w:tcPr>
          <w:p w14:paraId="703A2408" w14:textId="77777777" w:rsidR="0059222F" w:rsidRPr="00952C33" w:rsidRDefault="0059222F" w:rsidP="00FB6278">
            <w:pPr>
              <w:jc w:val="center"/>
              <w:rPr>
                <w:rFonts w:ascii="Arial" w:hAnsi="Arial"/>
                <w:sz w:val="22"/>
              </w:rPr>
            </w:pPr>
            <w:r w:rsidRPr="00952C33">
              <w:rPr>
                <w:rFonts w:ascii="Arial" w:hAnsi="Arial"/>
                <w:sz w:val="22"/>
              </w:rPr>
              <w:t>*</w:t>
            </w:r>
          </w:p>
        </w:tc>
        <w:tc>
          <w:tcPr>
            <w:tcW w:w="1164" w:type="dxa"/>
            <w:vAlign w:val="center"/>
          </w:tcPr>
          <w:p w14:paraId="01853308" w14:textId="77777777" w:rsidR="0059222F" w:rsidRPr="00952C33" w:rsidRDefault="0059222F" w:rsidP="00FB6278">
            <w:pPr>
              <w:jc w:val="center"/>
              <w:rPr>
                <w:rFonts w:ascii="Arial" w:hAnsi="Arial"/>
                <w:sz w:val="22"/>
              </w:rPr>
            </w:pPr>
            <w:r w:rsidRPr="00952C33">
              <w:rPr>
                <w:rFonts w:ascii="Arial" w:hAnsi="Arial"/>
                <w:sz w:val="22"/>
              </w:rPr>
              <w:t>4/4</w:t>
            </w:r>
          </w:p>
        </w:tc>
      </w:tr>
      <w:tr w:rsidR="00D622CF" w:rsidRPr="00151580" w14:paraId="521D1718" w14:textId="48BC51EE" w:rsidTr="00151580">
        <w:tc>
          <w:tcPr>
            <w:tcW w:w="1843" w:type="dxa"/>
          </w:tcPr>
          <w:p w14:paraId="1F1DF157" w14:textId="3FF95C37" w:rsidR="00D622CF" w:rsidRPr="00952C33" w:rsidRDefault="00977D61" w:rsidP="00FB6278">
            <w:pPr>
              <w:rPr>
                <w:rFonts w:ascii="Arial" w:hAnsi="Arial"/>
                <w:sz w:val="22"/>
              </w:rPr>
            </w:pPr>
            <w:r w:rsidRPr="00952C33">
              <w:rPr>
                <w:rFonts w:ascii="Arial" w:hAnsi="Arial"/>
                <w:sz w:val="22"/>
              </w:rPr>
              <w:t>Sarah Needham+</w:t>
            </w:r>
          </w:p>
        </w:tc>
        <w:tc>
          <w:tcPr>
            <w:tcW w:w="1248" w:type="dxa"/>
            <w:vAlign w:val="center"/>
          </w:tcPr>
          <w:p w14:paraId="5AC05ACA" w14:textId="463578D1" w:rsidR="00D622CF" w:rsidRPr="00952C33" w:rsidRDefault="00977D61" w:rsidP="00FB6278">
            <w:pPr>
              <w:jc w:val="center"/>
              <w:rPr>
                <w:rFonts w:ascii="Arial" w:hAnsi="Arial"/>
                <w:sz w:val="22"/>
              </w:rPr>
            </w:pPr>
            <w:r w:rsidRPr="00952C33">
              <w:rPr>
                <w:rFonts w:ascii="Arial" w:hAnsi="Arial"/>
                <w:sz w:val="22"/>
              </w:rPr>
              <w:t>*</w:t>
            </w:r>
          </w:p>
        </w:tc>
        <w:tc>
          <w:tcPr>
            <w:tcW w:w="1239" w:type="dxa"/>
            <w:vAlign w:val="center"/>
          </w:tcPr>
          <w:p w14:paraId="2067DC77" w14:textId="313B5263" w:rsidR="00D622CF" w:rsidRPr="00952C33" w:rsidRDefault="00977D61" w:rsidP="00FB6278">
            <w:pPr>
              <w:jc w:val="center"/>
              <w:rPr>
                <w:rFonts w:ascii="Arial" w:hAnsi="Arial"/>
                <w:sz w:val="22"/>
              </w:rPr>
            </w:pPr>
            <w:r w:rsidRPr="00952C33">
              <w:rPr>
                <w:rFonts w:ascii="Arial" w:hAnsi="Arial"/>
                <w:sz w:val="22"/>
              </w:rPr>
              <w:t>*</w:t>
            </w:r>
          </w:p>
        </w:tc>
        <w:tc>
          <w:tcPr>
            <w:tcW w:w="1218" w:type="dxa"/>
            <w:vAlign w:val="center"/>
          </w:tcPr>
          <w:p w14:paraId="460812B2" w14:textId="278AA74A" w:rsidR="00D622CF" w:rsidRPr="00952C33" w:rsidRDefault="00977D61" w:rsidP="00FB6278">
            <w:pPr>
              <w:jc w:val="center"/>
              <w:rPr>
                <w:rFonts w:ascii="Arial" w:hAnsi="Arial"/>
                <w:sz w:val="22"/>
              </w:rPr>
            </w:pPr>
            <w:r w:rsidRPr="00952C33">
              <w:rPr>
                <w:rFonts w:ascii="Arial" w:hAnsi="Arial"/>
                <w:sz w:val="22"/>
              </w:rPr>
              <w:t>*</w:t>
            </w:r>
          </w:p>
        </w:tc>
        <w:tc>
          <w:tcPr>
            <w:tcW w:w="1230" w:type="dxa"/>
            <w:vAlign w:val="center"/>
          </w:tcPr>
          <w:p w14:paraId="4B8175FB" w14:textId="305575B4" w:rsidR="00D622CF" w:rsidRPr="00952C33" w:rsidRDefault="00977D61" w:rsidP="00FB6278">
            <w:pPr>
              <w:jc w:val="center"/>
              <w:rPr>
                <w:rFonts w:ascii="Arial" w:hAnsi="Arial"/>
                <w:sz w:val="22"/>
              </w:rPr>
            </w:pPr>
            <w:r w:rsidRPr="00952C33">
              <w:rPr>
                <w:rFonts w:ascii="Arial" w:hAnsi="Arial"/>
                <w:sz w:val="22"/>
              </w:rPr>
              <w:t>*</w:t>
            </w:r>
          </w:p>
        </w:tc>
        <w:tc>
          <w:tcPr>
            <w:tcW w:w="1235" w:type="dxa"/>
            <w:vAlign w:val="center"/>
          </w:tcPr>
          <w:p w14:paraId="4097F33A" w14:textId="3A011446" w:rsidR="00D622CF" w:rsidRPr="00952C33" w:rsidRDefault="00977D61" w:rsidP="00FB6278">
            <w:pPr>
              <w:jc w:val="center"/>
              <w:rPr>
                <w:rFonts w:ascii="Arial" w:hAnsi="Arial"/>
                <w:sz w:val="22"/>
              </w:rPr>
            </w:pPr>
            <w:r w:rsidRPr="00952C33">
              <w:rPr>
                <w:rFonts w:ascii="Arial" w:hAnsi="Arial"/>
                <w:sz w:val="22"/>
              </w:rPr>
              <w:t>*</w:t>
            </w:r>
          </w:p>
        </w:tc>
        <w:tc>
          <w:tcPr>
            <w:tcW w:w="1235" w:type="dxa"/>
            <w:vAlign w:val="center"/>
          </w:tcPr>
          <w:p w14:paraId="205AD821" w14:textId="4B117BFA" w:rsidR="00D622CF" w:rsidRPr="00952C33" w:rsidRDefault="00977D61" w:rsidP="00FB6278">
            <w:pPr>
              <w:jc w:val="center"/>
              <w:rPr>
                <w:rFonts w:ascii="Arial" w:hAnsi="Arial"/>
                <w:sz w:val="22"/>
              </w:rPr>
            </w:pPr>
            <w:r w:rsidRPr="00952C33">
              <w:rPr>
                <w:rFonts w:ascii="Arial" w:hAnsi="Arial"/>
                <w:sz w:val="22"/>
              </w:rPr>
              <w:t>*</w:t>
            </w:r>
          </w:p>
        </w:tc>
        <w:tc>
          <w:tcPr>
            <w:tcW w:w="1236" w:type="dxa"/>
            <w:vAlign w:val="center"/>
          </w:tcPr>
          <w:p w14:paraId="58223E95" w14:textId="611564AB" w:rsidR="00D622CF" w:rsidRPr="00952C33" w:rsidRDefault="00977D61" w:rsidP="00FB6278">
            <w:pPr>
              <w:jc w:val="center"/>
              <w:rPr>
                <w:rFonts w:ascii="Arial" w:hAnsi="Arial"/>
                <w:sz w:val="22"/>
              </w:rPr>
            </w:pPr>
            <w:r w:rsidRPr="00952C33">
              <w:rPr>
                <w:rFonts w:ascii="Arial" w:hAnsi="Arial"/>
                <w:sz w:val="22"/>
              </w:rPr>
              <w:t>*</w:t>
            </w:r>
          </w:p>
        </w:tc>
        <w:tc>
          <w:tcPr>
            <w:tcW w:w="1233" w:type="dxa"/>
            <w:vAlign w:val="center"/>
          </w:tcPr>
          <w:p w14:paraId="34C7B6BE" w14:textId="1BB02B42" w:rsidR="00D622CF" w:rsidRPr="00952C33" w:rsidRDefault="00977D61" w:rsidP="00FB6278">
            <w:pPr>
              <w:jc w:val="center"/>
              <w:rPr>
                <w:rFonts w:ascii="Arial" w:hAnsi="Arial"/>
                <w:sz w:val="22"/>
              </w:rPr>
            </w:pPr>
            <w:r w:rsidRPr="00952C33">
              <w:rPr>
                <w:rFonts w:ascii="Arial" w:hAnsi="Arial" w:hint="eastAsia"/>
                <w:sz w:val="22"/>
              </w:rPr>
              <w:t>√</w:t>
            </w:r>
          </w:p>
        </w:tc>
        <w:tc>
          <w:tcPr>
            <w:tcW w:w="1235" w:type="dxa"/>
            <w:vAlign w:val="center"/>
          </w:tcPr>
          <w:p w14:paraId="6CBA5DFA" w14:textId="067E2825" w:rsidR="00D622CF" w:rsidRPr="00952C33" w:rsidRDefault="00977D61" w:rsidP="00FB6278">
            <w:pPr>
              <w:jc w:val="center"/>
              <w:rPr>
                <w:rFonts w:ascii="Arial" w:hAnsi="Arial"/>
                <w:sz w:val="22"/>
              </w:rPr>
            </w:pPr>
            <w:r w:rsidRPr="00952C33">
              <w:rPr>
                <w:rFonts w:ascii="Arial" w:hAnsi="Arial" w:hint="eastAsia"/>
                <w:sz w:val="22"/>
              </w:rPr>
              <w:t>√</w:t>
            </w:r>
          </w:p>
        </w:tc>
        <w:tc>
          <w:tcPr>
            <w:tcW w:w="1238" w:type="dxa"/>
            <w:vAlign w:val="center"/>
          </w:tcPr>
          <w:p w14:paraId="44B4408C" w14:textId="586B5DB8" w:rsidR="00D622CF" w:rsidRPr="00952C33" w:rsidRDefault="00042CBB" w:rsidP="00FB6278">
            <w:pPr>
              <w:jc w:val="center"/>
              <w:rPr>
                <w:rFonts w:ascii="Arial" w:hAnsi="Arial"/>
                <w:sz w:val="22"/>
              </w:rPr>
            </w:pPr>
            <w:r w:rsidRPr="00952C33">
              <w:rPr>
                <w:rFonts w:ascii="Arial" w:hAnsi="Arial" w:hint="eastAsia"/>
                <w:sz w:val="22"/>
              </w:rPr>
              <w:t>√</w:t>
            </w:r>
          </w:p>
        </w:tc>
        <w:tc>
          <w:tcPr>
            <w:tcW w:w="1164" w:type="dxa"/>
            <w:vAlign w:val="center"/>
          </w:tcPr>
          <w:p w14:paraId="7B9FE276" w14:textId="578F4C47" w:rsidR="00D622CF" w:rsidRPr="00952C33" w:rsidRDefault="00042CBB" w:rsidP="00FB6278">
            <w:pPr>
              <w:jc w:val="center"/>
              <w:rPr>
                <w:rFonts w:ascii="Arial" w:hAnsi="Arial"/>
                <w:sz w:val="22"/>
              </w:rPr>
            </w:pPr>
            <w:r w:rsidRPr="00952C33">
              <w:rPr>
                <w:rFonts w:ascii="Arial" w:hAnsi="Arial"/>
                <w:sz w:val="22"/>
              </w:rPr>
              <w:t>3</w:t>
            </w:r>
            <w:r w:rsidR="00430D3D" w:rsidRPr="00952C33">
              <w:rPr>
                <w:rFonts w:ascii="Arial" w:hAnsi="Arial"/>
                <w:sz w:val="22"/>
              </w:rPr>
              <w:t>/</w:t>
            </w:r>
            <w:r w:rsidRPr="00952C33">
              <w:rPr>
                <w:rFonts w:ascii="Arial" w:hAnsi="Arial"/>
                <w:sz w:val="22"/>
              </w:rPr>
              <w:t>3</w:t>
            </w:r>
          </w:p>
        </w:tc>
      </w:tr>
    </w:tbl>
    <w:p w14:paraId="7201CBED" w14:textId="2909EDF2" w:rsidR="00FB67CC" w:rsidRPr="00952C33" w:rsidRDefault="00FB67CC" w:rsidP="00FB6278">
      <w:pPr>
        <w:rPr>
          <w:rFonts w:ascii="Arial" w:hAnsi="Arial"/>
          <w:sz w:val="22"/>
        </w:rPr>
      </w:pPr>
      <w:r w:rsidRPr="00952C33">
        <w:rPr>
          <w:rFonts w:ascii="Arial" w:hAnsi="Arial"/>
          <w:sz w:val="22"/>
        </w:rPr>
        <w:t xml:space="preserve">* </w:t>
      </w:r>
      <w:r w:rsidR="000A0197" w:rsidRPr="00952C33">
        <w:rPr>
          <w:rFonts w:ascii="Arial" w:hAnsi="Arial"/>
          <w:sz w:val="20"/>
        </w:rPr>
        <w:t>Not in post</w:t>
      </w:r>
    </w:p>
    <w:p w14:paraId="4293FD8F" w14:textId="61886C18" w:rsidR="00777F4F" w:rsidRPr="00952C33" w:rsidRDefault="00777F4F" w:rsidP="00FB6278">
      <w:pPr>
        <w:rPr>
          <w:rFonts w:ascii="Arial" w:hAnsi="Arial"/>
          <w:sz w:val="20"/>
        </w:rPr>
        <w:sectPr w:rsidR="00777F4F" w:rsidRPr="00952C33" w:rsidSect="00FB67CC">
          <w:pgSz w:w="16838" w:h="11906" w:orient="landscape"/>
          <w:pgMar w:top="1440" w:right="284" w:bottom="1440" w:left="1440" w:header="708" w:footer="708" w:gutter="0"/>
          <w:cols w:space="708"/>
          <w:docGrid w:linePitch="360"/>
        </w:sectPr>
      </w:pPr>
      <w:r w:rsidRPr="00952C33">
        <w:rPr>
          <w:rFonts w:ascii="Arial" w:hAnsi="Arial"/>
          <w:sz w:val="20"/>
        </w:rPr>
        <w:t>+ Acting role</w:t>
      </w:r>
    </w:p>
    <w:p w14:paraId="78E0A5BE" w14:textId="03178FB9" w:rsidR="00F0394C" w:rsidRPr="00952C33" w:rsidRDefault="00FB67CC" w:rsidP="00FB6278">
      <w:pPr>
        <w:pStyle w:val="MEHArial"/>
        <w:ind w:left="-567" w:right="-613"/>
        <w:jc w:val="both"/>
        <w:rPr>
          <w:sz w:val="22"/>
        </w:rPr>
      </w:pPr>
      <w:r w:rsidRPr="00952C33">
        <w:rPr>
          <w:sz w:val="22"/>
        </w:rPr>
        <w:lastRenderedPageBreak/>
        <w:t xml:space="preserve">The </w:t>
      </w:r>
      <w:r w:rsidRPr="00952C33">
        <w:rPr>
          <w:b/>
          <w:sz w:val="22"/>
        </w:rPr>
        <w:t>register of interests</w:t>
      </w:r>
      <w:r w:rsidRPr="00952C33">
        <w:rPr>
          <w:sz w:val="22"/>
        </w:rPr>
        <w:t xml:space="preserve"> of individual directors is available to the public on request </w:t>
      </w:r>
      <w:proofErr w:type="gramStart"/>
      <w:r w:rsidRPr="00952C33">
        <w:rPr>
          <w:sz w:val="22"/>
        </w:rPr>
        <w:t>and also</w:t>
      </w:r>
      <w:proofErr w:type="gramEnd"/>
      <w:r w:rsidRPr="00952C33">
        <w:rPr>
          <w:sz w:val="22"/>
        </w:rPr>
        <w:t xml:space="preserve"> via the trust’s website via </w:t>
      </w:r>
      <w:hyperlink r:id="rId21" w:history="1">
        <w:r w:rsidRPr="00952C33">
          <w:rPr>
            <w:rStyle w:val="Hyperlink"/>
            <w:sz w:val="22"/>
          </w:rPr>
          <w:t>https://www.moorfields.nhs.uk/content/trust-board</w:t>
        </w:r>
      </w:hyperlink>
      <w:r w:rsidRPr="00952C33">
        <w:rPr>
          <w:sz w:val="22"/>
        </w:rPr>
        <w:t xml:space="preserve">. Please write to: </w:t>
      </w:r>
      <w:r w:rsidR="007140F9" w:rsidRPr="00952C33">
        <w:rPr>
          <w:rFonts w:cs="Arial"/>
          <w:sz w:val="22"/>
          <w:szCs w:val="22"/>
        </w:rPr>
        <w:t>C</w:t>
      </w:r>
      <w:r w:rsidRPr="00952C33">
        <w:rPr>
          <w:rFonts w:cs="Arial"/>
          <w:sz w:val="22"/>
          <w:szCs w:val="22"/>
        </w:rPr>
        <w:t>ompany</w:t>
      </w:r>
      <w:r w:rsidRPr="00952C33">
        <w:rPr>
          <w:sz w:val="22"/>
        </w:rPr>
        <w:t xml:space="preserve"> secretary, Moorfields Eye Hospital NHS Foundation Trust, 162 City Road, London EC1V 2PD, email: </w:t>
      </w:r>
      <w:hyperlink r:id="rId22" w:history="1">
        <w:r w:rsidR="007A0F2F" w:rsidRPr="009B771E">
          <w:rPr>
            <w:rStyle w:val="Hyperlink"/>
            <w:sz w:val="22"/>
          </w:rPr>
          <w:t>foundation.moorfields@nhs.uk</w:t>
        </w:r>
      </w:hyperlink>
      <w:r w:rsidR="007A0F2F">
        <w:rPr>
          <w:sz w:val="22"/>
        </w:rPr>
        <w:t xml:space="preserve"> </w:t>
      </w:r>
      <w:r w:rsidR="00F0394C" w:rsidRPr="00952C33">
        <w:rPr>
          <w:sz w:val="22"/>
        </w:rPr>
        <w:t xml:space="preserve">or phone: 020 7566 2490. </w:t>
      </w:r>
    </w:p>
    <w:p w14:paraId="51A250DA" w14:textId="5A3DC749" w:rsidR="009A28A3" w:rsidRPr="00952C33" w:rsidRDefault="009A28A3" w:rsidP="00FB6278">
      <w:pPr>
        <w:pStyle w:val="MEHArial"/>
        <w:ind w:left="-567" w:right="-613"/>
        <w:jc w:val="both"/>
        <w:rPr>
          <w:b/>
          <w:sz w:val="22"/>
        </w:rPr>
      </w:pPr>
      <w:r w:rsidRPr="00952C33">
        <w:rPr>
          <w:b/>
          <w:sz w:val="22"/>
        </w:rPr>
        <w:t>Audit and risk committee</w:t>
      </w:r>
    </w:p>
    <w:p w14:paraId="61D0A5F1" w14:textId="2D8F858B" w:rsidR="00FB67CC" w:rsidRPr="00952C33" w:rsidRDefault="00FB67CC" w:rsidP="00FB6278">
      <w:pPr>
        <w:pStyle w:val="MEHArial"/>
        <w:ind w:left="-567" w:right="-613"/>
        <w:jc w:val="both"/>
        <w:rPr>
          <w:sz w:val="22"/>
        </w:rPr>
      </w:pPr>
      <w:r w:rsidRPr="00952C33">
        <w:rPr>
          <w:sz w:val="22"/>
        </w:rPr>
        <w:t>The board is required to maintain a sound system of internal control to safeguard its NHS clinical services, assets, and non-NHS commer</w:t>
      </w:r>
      <w:r w:rsidR="009A28A3" w:rsidRPr="00952C33">
        <w:rPr>
          <w:sz w:val="22"/>
        </w:rPr>
        <w:t xml:space="preserve">cial services and investments. </w:t>
      </w:r>
      <w:r w:rsidRPr="00952C33">
        <w:rPr>
          <w:sz w:val="22"/>
        </w:rPr>
        <w:t xml:space="preserve">The audit </w:t>
      </w:r>
      <w:r w:rsidR="00B359F1" w:rsidRPr="00952C33">
        <w:rPr>
          <w:sz w:val="22"/>
        </w:rPr>
        <w:t xml:space="preserve">and risk </w:t>
      </w:r>
      <w:r w:rsidRPr="00952C33">
        <w:rPr>
          <w:sz w:val="22"/>
        </w:rPr>
        <w:t xml:space="preserve">committee provides assurance to the board about the adequacy and effectiveness of the trust’s systems of internal control, its governance processes, service quality and economy, </w:t>
      </w:r>
      <w:proofErr w:type="gramStart"/>
      <w:r w:rsidRPr="00952C33">
        <w:rPr>
          <w:sz w:val="22"/>
        </w:rPr>
        <w:t>efficiency</w:t>
      </w:r>
      <w:proofErr w:type="gramEnd"/>
      <w:r w:rsidRPr="00952C33">
        <w:rPr>
          <w:sz w:val="22"/>
        </w:rPr>
        <w:t xml:space="preserve"> and effectiveness (value for money). The committee also recommends to the board the approval of the trust’s annual accounts and financial statements, management letter of representation and annual governance statement. Together with the quality and safety committee, the audit and risk committee recommend to the board the approval of the trust’s annual quality report.</w:t>
      </w:r>
    </w:p>
    <w:p w14:paraId="1C7AF295" w14:textId="77777777" w:rsidR="00FB67CC" w:rsidRPr="00952C33" w:rsidRDefault="00FB67CC" w:rsidP="00FB6278">
      <w:pPr>
        <w:pStyle w:val="MEHArial"/>
        <w:ind w:left="-567" w:right="-613"/>
        <w:jc w:val="both"/>
        <w:rPr>
          <w:sz w:val="22"/>
        </w:rPr>
      </w:pPr>
      <w:r w:rsidRPr="00952C33">
        <w:rPr>
          <w:sz w:val="22"/>
        </w:rPr>
        <w:t>In carrying out its duties, the audit and risk committee draws on, but is not limited to, the work of internal and external audit, the local counter-fraud specialist, financial, performance and other evidenced assurance reports from management.</w:t>
      </w:r>
    </w:p>
    <w:p w14:paraId="33B9046A" w14:textId="77777777" w:rsidR="00FB67CC" w:rsidRPr="00952C33" w:rsidRDefault="00FB67CC" w:rsidP="00FB6278">
      <w:pPr>
        <w:pStyle w:val="MEHArial"/>
        <w:ind w:left="-567" w:right="-613"/>
        <w:jc w:val="both"/>
        <w:rPr>
          <w:sz w:val="22"/>
        </w:rPr>
      </w:pPr>
      <w:r w:rsidRPr="00952C33">
        <w:rPr>
          <w:sz w:val="22"/>
        </w:rPr>
        <w:t xml:space="preserve">The audit and risk committee provides written activity reports following each committee meeting. These reports increase the visibility of the audit process to stakeholders. </w:t>
      </w:r>
    </w:p>
    <w:p w14:paraId="5BEB1885" w14:textId="77777777" w:rsidR="00FB67CC" w:rsidRPr="00952C33" w:rsidRDefault="00FB67CC" w:rsidP="00FB6278">
      <w:pPr>
        <w:pStyle w:val="MEHArial"/>
        <w:ind w:left="-567" w:right="-613"/>
        <w:jc w:val="both"/>
        <w:rPr>
          <w:sz w:val="22"/>
        </w:rPr>
      </w:pPr>
      <w:r w:rsidRPr="00952C33">
        <w:rPr>
          <w:sz w:val="22"/>
        </w:rPr>
        <w:t xml:space="preserve">The audit and risk committee assists the board in fulfilling its oversight responsibilities in respect of the integrity of the trust’s accounts, risk management and internal control arrangements, compliance with legal and regulatory requirements, the performance, qualifications and independence of the external auditors and the performance of the internal audit function. </w:t>
      </w:r>
    </w:p>
    <w:p w14:paraId="65188121" w14:textId="77777777" w:rsidR="00FB67CC" w:rsidRPr="00952C33" w:rsidRDefault="00FB67CC" w:rsidP="00FB6278">
      <w:pPr>
        <w:pStyle w:val="MEHArial"/>
        <w:ind w:left="-567" w:right="-613"/>
        <w:jc w:val="both"/>
        <w:rPr>
          <w:sz w:val="22"/>
        </w:rPr>
      </w:pPr>
      <w:r w:rsidRPr="00952C33">
        <w:rPr>
          <w:sz w:val="22"/>
        </w:rPr>
        <w:t>Management supplies the audit and risk committee with the information necessary for the performance of its duties. The internal auditors, the local counter-fraud specialist and the external auditors have direct access to the committee chairman and members separately from management.</w:t>
      </w:r>
    </w:p>
    <w:p w14:paraId="781EAE85" w14:textId="4A566DDC" w:rsidR="00FB67CC" w:rsidRPr="00952C33" w:rsidRDefault="00FB67CC" w:rsidP="00FB6278">
      <w:pPr>
        <w:pStyle w:val="MEHArial"/>
        <w:ind w:left="-567" w:right="-613"/>
        <w:jc w:val="both"/>
        <w:rPr>
          <w:sz w:val="22"/>
        </w:rPr>
      </w:pPr>
      <w:r w:rsidRPr="00952C33">
        <w:rPr>
          <w:sz w:val="22"/>
        </w:rPr>
        <w:t xml:space="preserve">The audit and risk committee comprises three non-executive directors, including the quality and safety committee chair. The board has satisfied itself that all the members of the committee are competent in financial matters. The chair has recent and relevant financial experience. The committee’s meetings are attended by the chief financial officer, internal auditors, local counter-fraud specialist, external </w:t>
      </w:r>
      <w:proofErr w:type="gramStart"/>
      <w:r w:rsidRPr="00952C33">
        <w:rPr>
          <w:sz w:val="22"/>
        </w:rPr>
        <w:t>auditors</w:t>
      </w:r>
      <w:proofErr w:type="gramEnd"/>
      <w:r w:rsidRPr="00952C33">
        <w:rPr>
          <w:sz w:val="22"/>
        </w:rPr>
        <w:t xml:space="preserve"> and others as required. The chief executive </w:t>
      </w:r>
      <w:r w:rsidR="001F5ACC" w:rsidRPr="00952C33">
        <w:rPr>
          <w:sz w:val="22"/>
        </w:rPr>
        <w:t>has</w:t>
      </w:r>
      <w:r w:rsidRPr="00952C33">
        <w:rPr>
          <w:sz w:val="22"/>
        </w:rPr>
        <w:t xml:space="preserve"> a standing invitation to attend the committee on an annual basis. </w:t>
      </w:r>
    </w:p>
    <w:p w14:paraId="719E9634" w14:textId="50ADE53D" w:rsidR="001E1B26" w:rsidRPr="00952C33" w:rsidRDefault="00FB67CC" w:rsidP="00FB6278">
      <w:pPr>
        <w:pStyle w:val="MEHArial"/>
        <w:ind w:left="-567" w:right="-613"/>
        <w:jc w:val="both"/>
        <w:rPr>
          <w:sz w:val="22"/>
        </w:rPr>
      </w:pPr>
      <w:r w:rsidRPr="00952C33">
        <w:rPr>
          <w:sz w:val="22"/>
        </w:rPr>
        <w:t xml:space="preserve">During </w:t>
      </w:r>
      <w:r w:rsidR="000A0197" w:rsidRPr="00952C33">
        <w:rPr>
          <w:sz w:val="22"/>
        </w:rPr>
        <w:t>20</w:t>
      </w:r>
      <w:r w:rsidR="0064101E" w:rsidRPr="00952C33">
        <w:rPr>
          <w:sz w:val="22"/>
        </w:rPr>
        <w:t>21</w:t>
      </w:r>
      <w:r w:rsidR="000A0197" w:rsidRPr="00952C33">
        <w:rPr>
          <w:sz w:val="22"/>
        </w:rPr>
        <w:t>/2</w:t>
      </w:r>
      <w:r w:rsidR="0064101E" w:rsidRPr="00952C33">
        <w:rPr>
          <w:sz w:val="22"/>
        </w:rPr>
        <w:t>2</w:t>
      </w:r>
      <w:r w:rsidRPr="00952C33">
        <w:rPr>
          <w:sz w:val="22"/>
        </w:rPr>
        <w:t xml:space="preserve">, the </w:t>
      </w:r>
      <w:r w:rsidR="006C2026" w:rsidRPr="00952C33">
        <w:rPr>
          <w:sz w:val="22"/>
        </w:rPr>
        <w:t xml:space="preserve">audit </w:t>
      </w:r>
      <w:r w:rsidR="007D0062" w:rsidRPr="00952C33">
        <w:rPr>
          <w:sz w:val="22"/>
        </w:rPr>
        <w:t xml:space="preserve">and risk </w:t>
      </w:r>
      <w:r w:rsidR="006C2026" w:rsidRPr="00952C33">
        <w:rPr>
          <w:sz w:val="22"/>
        </w:rPr>
        <w:t>committee met as follows:</w:t>
      </w:r>
    </w:p>
    <w:tbl>
      <w:tblPr>
        <w:tblW w:w="9801" w:type="dxa"/>
        <w:jc w:val="center"/>
        <w:tblLayout w:type="fixed"/>
        <w:tblCellMar>
          <w:left w:w="0" w:type="dxa"/>
          <w:right w:w="0" w:type="dxa"/>
        </w:tblCellMar>
        <w:tblLook w:val="0000" w:firstRow="0" w:lastRow="0" w:firstColumn="0" w:lastColumn="0" w:noHBand="0" w:noVBand="0"/>
      </w:tblPr>
      <w:tblGrid>
        <w:gridCol w:w="2168"/>
        <w:gridCol w:w="1341"/>
        <w:gridCol w:w="1341"/>
        <w:gridCol w:w="1372"/>
        <w:gridCol w:w="1275"/>
        <w:gridCol w:w="1152"/>
        <w:gridCol w:w="1152"/>
      </w:tblGrid>
      <w:tr w:rsidR="00FB67CC" w:rsidRPr="00777F4F" w14:paraId="594FFDDA" w14:textId="77777777" w:rsidTr="00B42676">
        <w:trPr>
          <w:trHeight w:val="424"/>
          <w:jc w:val="center"/>
        </w:trPr>
        <w:tc>
          <w:tcPr>
            <w:tcW w:w="2168" w:type="dxa"/>
            <w:tcBorders>
              <w:top w:val="single" w:sz="16" w:space="0" w:color="000000"/>
              <w:left w:val="single" w:sz="6" w:space="0" w:color="000000"/>
              <w:bottom w:val="single" w:sz="16" w:space="0" w:color="000000"/>
              <w:right w:val="single" w:sz="2" w:space="0" w:color="000000"/>
            </w:tcBorders>
            <w:tcMar>
              <w:top w:w="57" w:type="dxa"/>
              <w:left w:w="80" w:type="dxa"/>
              <w:bottom w:w="57" w:type="dxa"/>
              <w:right w:w="80" w:type="dxa"/>
            </w:tcMar>
            <w:vAlign w:val="center"/>
          </w:tcPr>
          <w:p w14:paraId="3415B6E5" w14:textId="77777777" w:rsidR="00FB67CC" w:rsidRPr="00952C33" w:rsidRDefault="00FB67CC" w:rsidP="00FB6278">
            <w:pPr>
              <w:pStyle w:val="MEHArial"/>
              <w:rPr>
                <w:b/>
                <w:sz w:val="22"/>
              </w:rPr>
            </w:pPr>
            <w:r w:rsidRPr="00952C33">
              <w:rPr>
                <w:b/>
                <w:sz w:val="22"/>
              </w:rPr>
              <w:t>Members/ dates</w:t>
            </w:r>
          </w:p>
        </w:tc>
        <w:tc>
          <w:tcPr>
            <w:tcW w:w="1341" w:type="dxa"/>
            <w:tcBorders>
              <w:top w:val="single" w:sz="16" w:space="0" w:color="000000"/>
              <w:left w:val="single" w:sz="2" w:space="0" w:color="000000"/>
              <w:bottom w:val="single" w:sz="16" w:space="0" w:color="000000"/>
              <w:right w:val="single" w:sz="2" w:space="0" w:color="000000"/>
            </w:tcBorders>
          </w:tcPr>
          <w:p w14:paraId="4016339A" w14:textId="01D74694" w:rsidR="00FB67CC" w:rsidRPr="00952C33" w:rsidRDefault="005C7C6F" w:rsidP="00FB6278">
            <w:pPr>
              <w:pStyle w:val="MEHArial"/>
              <w:jc w:val="center"/>
              <w:rPr>
                <w:b/>
                <w:sz w:val="22"/>
              </w:rPr>
            </w:pPr>
            <w:r w:rsidRPr="00952C33">
              <w:rPr>
                <w:b/>
                <w:sz w:val="22"/>
              </w:rPr>
              <w:t>13.</w:t>
            </w:r>
            <w:r w:rsidRPr="00952C33">
              <w:rPr>
                <w:rFonts w:cs="Arial"/>
                <w:b/>
                <w:sz w:val="22"/>
                <w:szCs w:val="22"/>
              </w:rPr>
              <w:t>4</w:t>
            </w:r>
            <w:r w:rsidRPr="00952C33">
              <w:rPr>
                <w:b/>
                <w:sz w:val="22"/>
              </w:rPr>
              <w:t>.21</w:t>
            </w:r>
          </w:p>
        </w:tc>
        <w:tc>
          <w:tcPr>
            <w:tcW w:w="1341" w:type="dxa"/>
            <w:tcBorders>
              <w:top w:val="single" w:sz="16" w:space="0" w:color="000000"/>
              <w:left w:val="single" w:sz="2" w:space="0" w:color="000000"/>
              <w:bottom w:val="single" w:sz="16" w:space="0" w:color="000000"/>
              <w:right w:val="single" w:sz="2" w:space="0" w:color="000000"/>
            </w:tcBorders>
            <w:tcMar>
              <w:top w:w="57" w:type="dxa"/>
              <w:left w:w="80" w:type="dxa"/>
              <w:bottom w:w="57" w:type="dxa"/>
              <w:right w:w="80" w:type="dxa"/>
            </w:tcMar>
            <w:vAlign w:val="center"/>
          </w:tcPr>
          <w:p w14:paraId="2EC66E91" w14:textId="5F4985EE" w:rsidR="00FB67CC" w:rsidRPr="00952C33" w:rsidRDefault="005C7C6F" w:rsidP="00FB6278">
            <w:pPr>
              <w:pStyle w:val="MEHArial"/>
              <w:jc w:val="center"/>
              <w:rPr>
                <w:b/>
                <w:sz w:val="22"/>
              </w:rPr>
            </w:pPr>
            <w:r w:rsidRPr="00952C33">
              <w:rPr>
                <w:rFonts w:cs="Arial"/>
                <w:b/>
                <w:sz w:val="22"/>
                <w:szCs w:val="22"/>
              </w:rPr>
              <w:t>8.6</w:t>
            </w:r>
            <w:r w:rsidRPr="00952C33">
              <w:rPr>
                <w:b/>
                <w:sz w:val="22"/>
              </w:rPr>
              <w:t>.21</w:t>
            </w:r>
          </w:p>
        </w:tc>
        <w:tc>
          <w:tcPr>
            <w:tcW w:w="1372" w:type="dxa"/>
            <w:tcBorders>
              <w:top w:val="single" w:sz="16" w:space="0" w:color="000000"/>
              <w:left w:val="single" w:sz="2" w:space="0" w:color="000000"/>
              <w:bottom w:val="single" w:sz="16" w:space="0" w:color="000000"/>
              <w:right w:val="single" w:sz="2" w:space="0" w:color="000000"/>
            </w:tcBorders>
            <w:tcMar>
              <w:top w:w="57" w:type="dxa"/>
              <w:left w:w="80" w:type="dxa"/>
              <w:bottom w:w="57" w:type="dxa"/>
              <w:right w:w="80" w:type="dxa"/>
            </w:tcMar>
            <w:vAlign w:val="center"/>
          </w:tcPr>
          <w:p w14:paraId="0D8C7F6E" w14:textId="068A8AFD" w:rsidR="00FB67CC" w:rsidRPr="00952C33" w:rsidRDefault="005C7C6F" w:rsidP="00FB6278">
            <w:pPr>
              <w:pStyle w:val="MEHArial"/>
              <w:jc w:val="center"/>
              <w:rPr>
                <w:b/>
                <w:sz w:val="22"/>
              </w:rPr>
            </w:pPr>
            <w:r w:rsidRPr="00952C33">
              <w:rPr>
                <w:b/>
                <w:sz w:val="22"/>
              </w:rPr>
              <w:t>13.</w:t>
            </w:r>
            <w:r w:rsidRPr="00952C33">
              <w:rPr>
                <w:rFonts w:cs="Arial"/>
                <w:b/>
                <w:sz w:val="22"/>
                <w:szCs w:val="22"/>
              </w:rPr>
              <w:t>7</w:t>
            </w:r>
            <w:r w:rsidRPr="00952C33">
              <w:rPr>
                <w:b/>
                <w:sz w:val="22"/>
              </w:rPr>
              <w:t>.21</w:t>
            </w:r>
          </w:p>
        </w:tc>
        <w:tc>
          <w:tcPr>
            <w:tcW w:w="1275" w:type="dxa"/>
            <w:tcBorders>
              <w:top w:val="single" w:sz="16" w:space="0" w:color="000000"/>
              <w:left w:val="single" w:sz="2" w:space="0" w:color="000000"/>
              <w:bottom w:val="single" w:sz="16" w:space="0" w:color="000000"/>
              <w:right w:val="single" w:sz="2" w:space="0" w:color="000000"/>
            </w:tcBorders>
            <w:tcMar>
              <w:top w:w="57" w:type="dxa"/>
              <w:left w:w="80" w:type="dxa"/>
              <w:bottom w:w="57" w:type="dxa"/>
              <w:right w:w="80" w:type="dxa"/>
            </w:tcMar>
            <w:vAlign w:val="center"/>
          </w:tcPr>
          <w:p w14:paraId="62014EC3" w14:textId="25B61C61" w:rsidR="00FB67CC" w:rsidRPr="00952C33" w:rsidRDefault="005C7C6F" w:rsidP="00FB6278">
            <w:pPr>
              <w:pStyle w:val="MEHArial"/>
              <w:jc w:val="center"/>
              <w:rPr>
                <w:b/>
                <w:sz w:val="22"/>
              </w:rPr>
            </w:pPr>
            <w:r w:rsidRPr="00952C33">
              <w:rPr>
                <w:b/>
                <w:sz w:val="22"/>
              </w:rPr>
              <w:t>12.10.21</w:t>
            </w:r>
          </w:p>
        </w:tc>
        <w:tc>
          <w:tcPr>
            <w:tcW w:w="1152" w:type="dxa"/>
            <w:tcBorders>
              <w:top w:val="single" w:sz="16" w:space="0" w:color="000000"/>
              <w:left w:val="single" w:sz="2" w:space="0" w:color="000000"/>
              <w:bottom w:val="single" w:sz="16" w:space="0" w:color="000000"/>
              <w:right w:val="single" w:sz="2" w:space="0" w:color="000000"/>
            </w:tcBorders>
          </w:tcPr>
          <w:p w14:paraId="67378AB2" w14:textId="5EF3DBF7" w:rsidR="00FB67CC" w:rsidRPr="00952C33" w:rsidRDefault="005C7C6F" w:rsidP="00FB6278">
            <w:pPr>
              <w:pStyle w:val="MEHArial"/>
              <w:jc w:val="center"/>
              <w:rPr>
                <w:b/>
                <w:sz w:val="22"/>
              </w:rPr>
            </w:pPr>
            <w:r w:rsidRPr="00952C33">
              <w:rPr>
                <w:b/>
                <w:sz w:val="22"/>
              </w:rPr>
              <w:t>19.</w:t>
            </w:r>
            <w:r w:rsidRPr="00952C33">
              <w:rPr>
                <w:rFonts w:cs="Arial"/>
                <w:b/>
                <w:sz w:val="22"/>
                <w:szCs w:val="22"/>
              </w:rPr>
              <w:t>1</w:t>
            </w:r>
            <w:r w:rsidRPr="00952C33">
              <w:rPr>
                <w:b/>
                <w:sz w:val="22"/>
              </w:rPr>
              <w:t>.22</w:t>
            </w:r>
          </w:p>
        </w:tc>
        <w:tc>
          <w:tcPr>
            <w:tcW w:w="1152" w:type="dxa"/>
            <w:tcBorders>
              <w:top w:val="single" w:sz="16" w:space="0" w:color="000000"/>
              <w:left w:val="single" w:sz="2" w:space="0" w:color="000000"/>
              <w:bottom w:val="single" w:sz="16" w:space="0" w:color="000000"/>
              <w:right w:val="single" w:sz="6" w:space="0" w:color="000000"/>
            </w:tcBorders>
            <w:tcMar>
              <w:top w:w="57" w:type="dxa"/>
              <w:left w:w="80" w:type="dxa"/>
              <w:bottom w:w="57" w:type="dxa"/>
              <w:right w:w="80" w:type="dxa"/>
            </w:tcMar>
            <w:vAlign w:val="center"/>
          </w:tcPr>
          <w:p w14:paraId="58D0B22B" w14:textId="4D1F16DF" w:rsidR="00FB67CC" w:rsidRPr="00952C33" w:rsidRDefault="003356D7" w:rsidP="00FB6278">
            <w:pPr>
              <w:pStyle w:val="MEHArial"/>
              <w:jc w:val="center"/>
              <w:rPr>
                <w:b/>
                <w:sz w:val="22"/>
              </w:rPr>
            </w:pPr>
            <w:r w:rsidRPr="00952C33">
              <w:rPr>
                <w:b/>
                <w:sz w:val="22"/>
              </w:rPr>
              <w:t>Total</w:t>
            </w:r>
          </w:p>
        </w:tc>
      </w:tr>
      <w:tr w:rsidR="00FB67CC" w:rsidRPr="00777F4F" w14:paraId="21807FE7" w14:textId="77777777" w:rsidTr="00B42676">
        <w:trPr>
          <w:trHeight w:val="60"/>
          <w:jc w:val="center"/>
        </w:trPr>
        <w:tc>
          <w:tcPr>
            <w:tcW w:w="2168" w:type="dxa"/>
            <w:tcBorders>
              <w:top w:val="single" w:sz="16" w:space="0" w:color="000000"/>
              <w:left w:val="single" w:sz="6" w:space="0" w:color="000000"/>
              <w:bottom w:val="single" w:sz="4" w:space="0" w:color="000000"/>
              <w:right w:val="single" w:sz="4" w:space="0" w:color="000000"/>
            </w:tcBorders>
            <w:tcMar>
              <w:top w:w="80" w:type="dxa"/>
              <w:left w:w="80" w:type="dxa"/>
              <w:bottom w:w="80" w:type="dxa"/>
              <w:right w:w="80" w:type="dxa"/>
            </w:tcMar>
          </w:tcPr>
          <w:p w14:paraId="6CCA730D" w14:textId="77777777" w:rsidR="00FB67CC" w:rsidRPr="00952C33" w:rsidRDefault="00FB67CC" w:rsidP="00FB6278">
            <w:pPr>
              <w:pStyle w:val="MEHArial"/>
              <w:rPr>
                <w:sz w:val="22"/>
              </w:rPr>
            </w:pPr>
            <w:r w:rsidRPr="00952C33">
              <w:rPr>
                <w:sz w:val="22"/>
              </w:rPr>
              <w:t>Nick Hardie (chair)</w:t>
            </w:r>
          </w:p>
        </w:tc>
        <w:tc>
          <w:tcPr>
            <w:tcW w:w="1341" w:type="dxa"/>
            <w:tcBorders>
              <w:top w:val="single" w:sz="16" w:space="0" w:color="000000"/>
              <w:left w:val="single" w:sz="4" w:space="0" w:color="000000"/>
              <w:bottom w:val="single" w:sz="4" w:space="0" w:color="000000"/>
              <w:right w:val="single" w:sz="4" w:space="0" w:color="000000"/>
            </w:tcBorders>
          </w:tcPr>
          <w:p w14:paraId="2DACB847" w14:textId="5CDDFDE6" w:rsidR="00FB67CC" w:rsidRPr="00952C33" w:rsidRDefault="005C7C6F" w:rsidP="00FB6278">
            <w:pPr>
              <w:pStyle w:val="MEHArial"/>
              <w:jc w:val="center"/>
              <w:rPr>
                <w:sz w:val="22"/>
              </w:rPr>
            </w:pPr>
            <w:r w:rsidRPr="00952C33">
              <w:rPr>
                <w:rFonts w:hint="eastAsia"/>
                <w:sz w:val="22"/>
              </w:rPr>
              <w:t>√</w:t>
            </w:r>
          </w:p>
        </w:tc>
        <w:tc>
          <w:tcPr>
            <w:tcW w:w="1341" w:type="dxa"/>
            <w:tcBorders>
              <w:top w:val="single" w:sz="16"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264DB0" w14:textId="6A60C5C9" w:rsidR="00FB67CC" w:rsidRPr="00952C33" w:rsidRDefault="005C7C6F" w:rsidP="00FB6278">
            <w:pPr>
              <w:pStyle w:val="MEHArial"/>
              <w:jc w:val="center"/>
              <w:rPr>
                <w:sz w:val="22"/>
              </w:rPr>
            </w:pPr>
            <w:r w:rsidRPr="00952C33">
              <w:rPr>
                <w:rFonts w:hint="eastAsia"/>
                <w:sz w:val="22"/>
              </w:rPr>
              <w:t>√</w:t>
            </w:r>
          </w:p>
        </w:tc>
        <w:tc>
          <w:tcPr>
            <w:tcW w:w="1372" w:type="dxa"/>
            <w:tcBorders>
              <w:top w:val="single" w:sz="16"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7F473C" w14:textId="3F6072DD" w:rsidR="00FB67CC" w:rsidRPr="00952C33" w:rsidRDefault="005C7C6F" w:rsidP="00FB6278">
            <w:pPr>
              <w:pStyle w:val="MEHArial"/>
              <w:jc w:val="center"/>
              <w:rPr>
                <w:sz w:val="22"/>
              </w:rPr>
            </w:pPr>
            <w:r w:rsidRPr="00952C33">
              <w:rPr>
                <w:rFonts w:hint="eastAsia"/>
                <w:sz w:val="22"/>
              </w:rPr>
              <w:t>√</w:t>
            </w:r>
          </w:p>
        </w:tc>
        <w:tc>
          <w:tcPr>
            <w:tcW w:w="1275" w:type="dxa"/>
            <w:tcBorders>
              <w:top w:val="single" w:sz="16"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DC8AA9" w14:textId="6D83009A" w:rsidR="00FB67CC" w:rsidRPr="00952C33" w:rsidRDefault="005C7C6F" w:rsidP="00FB6278">
            <w:pPr>
              <w:pStyle w:val="MEHArial"/>
              <w:jc w:val="center"/>
              <w:rPr>
                <w:sz w:val="22"/>
              </w:rPr>
            </w:pPr>
            <w:r w:rsidRPr="00952C33">
              <w:rPr>
                <w:rFonts w:hint="eastAsia"/>
                <w:sz w:val="22"/>
              </w:rPr>
              <w:t>√</w:t>
            </w:r>
          </w:p>
        </w:tc>
        <w:tc>
          <w:tcPr>
            <w:tcW w:w="1152" w:type="dxa"/>
            <w:tcBorders>
              <w:top w:val="single" w:sz="16" w:space="0" w:color="000000"/>
              <w:left w:val="single" w:sz="4" w:space="0" w:color="000000"/>
              <w:bottom w:val="single" w:sz="4" w:space="0" w:color="000000"/>
              <w:right w:val="single" w:sz="4" w:space="0" w:color="000000"/>
            </w:tcBorders>
          </w:tcPr>
          <w:p w14:paraId="46C04245" w14:textId="0637AB78" w:rsidR="00FB67CC" w:rsidRPr="00952C33" w:rsidRDefault="005C7C6F" w:rsidP="00FB6278">
            <w:pPr>
              <w:pStyle w:val="MEHArial"/>
              <w:jc w:val="center"/>
              <w:rPr>
                <w:sz w:val="22"/>
              </w:rPr>
            </w:pPr>
            <w:r w:rsidRPr="00952C33">
              <w:rPr>
                <w:rFonts w:hint="eastAsia"/>
                <w:sz w:val="22"/>
              </w:rPr>
              <w:t>√</w:t>
            </w:r>
          </w:p>
        </w:tc>
        <w:tc>
          <w:tcPr>
            <w:tcW w:w="1152" w:type="dxa"/>
            <w:tcBorders>
              <w:top w:val="single" w:sz="16" w:space="0" w:color="000000"/>
              <w:left w:val="single" w:sz="4" w:space="0" w:color="000000"/>
              <w:bottom w:val="single" w:sz="4" w:space="0" w:color="000000"/>
              <w:right w:val="single" w:sz="6" w:space="0" w:color="000000"/>
            </w:tcBorders>
            <w:tcMar>
              <w:top w:w="80" w:type="dxa"/>
              <w:left w:w="80" w:type="dxa"/>
              <w:bottom w:w="80" w:type="dxa"/>
              <w:right w:w="80" w:type="dxa"/>
            </w:tcMar>
          </w:tcPr>
          <w:p w14:paraId="58BB38D7" w14:textId="2FB899A7" w:rsidR="00FB67CC" w:rsidRPr="00952C33" w:rsidRDefault="005C7C6F" w:rsidP="00FB6278">
            <w:pPr>
              <w:pStyle w:val="MEHArial"/>
              <w:jc w:val="center"/>
              <w:rPr>
                <w:b/>
                <w:sz w:val="22"/>
              </w:rPr>
            </w:pPr>
            <w:r w:rsidRPr="00952C33">
              <w:rPr>
                <w:b/>
                <w:sz w:val="22"/>
              </w:rPr>
              <w:t>5/5</w:t>
            </w:r>
          </w:p>
        </w:tc>
      </w:tr>
      <w:tr w:rsidR="00FB67CC" w:rsidRPr="00777F4F" w14:paraId="65477B4A" w14:textId="77777777" w:rsidTr="00B42676">
        <w:trPr>
          <w:trHeight w:val="60"/>
          <w:jc w:val="center"/>
        </w:trPr>
        <w:tc>
          <w:tcPr>
            <w:tcW w:w="2168"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14:paraId="59B774B1" w14:textId="77777777" w:rsidR="00FB67CC" w:rsidRPr="00952C33" w:rsidRDefault="00FB67CC" w:rsidP="00FB6278">
            <w:pPr>
              <w:pStyle w:val="MEHArial"/>
              <w:rPr>
                <w:sz w:val="22"/>
              </w:rPr>
            </w:pPr>
            <w:r w:rsidRPr="00952C33">
              <w:rPr>
                <w:sz w:val="22"/>
              </w:rPr>
              <w:t>Ros Given-Wilson</w:t>
            </w:r>
          </w:p>
        </w:tc>
        <w:tc>
          <w:tcPr>
            <w:tcW w:w="1341" w:type="dxa"/>
            <w:tcBorders>
              <w:top w:val="single" w:sz="4" w:space="0" w:color="000000"/>
              <w:left w:val="single" w:sz="4" w:space="0" w:color="000000"/>
              <w:bottom w:val="single" w:sz="4" w:space="0" w:color="000000"/>
              <w:right w:val="single" w:sz="4" w:space="0" w:color="000000"/>
            </w:tcBorders>
          </w:tcPr>
          <w:p w14:paraId="6E0497D8" w14:textId="0D2F8966" w:rsidR="00FB67CC" w:rsidRPr="00952C33" w:rsidRDefault="005C7C6F" w:rsidP="00FB6278">
            <w:pPr>
              <w:pStyle w:val="MEHArial"/>
              <w:jc w:val="center"/>
              <w:rPr>
                <w:sz w:val="22"/>
              </w:rPr>
            </w:pPr>
            <w:r w:rsidRPr="00952C33">
              <w:rPr>
                <w:rFonts w:hint="eastAsia"/>
                <w:sz w:val="22"/>
              </w:rPr>
              <w:t>√</w:t>
            </w:r>
          </w:p>
        </w:tc>
        <w:tc>
          <w:tcPr>
            <w:tcW w:w="13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4228BD" w14:textId="00E3EC79" w:rsidR="00FB67CC" w:rsidRPr="00952C33" w:rsidRDefault="005C7C6F" w:rsidP="00FB6278">
            <w:pPr>
              <w:pStyle w:val="MEHArial"/>
              <w:jc w:val="center"/>
              <w:rPr>
                <w:sz w:val="22"/>
              </w:rPr>
            </w:pPr>
            <w:r w:rsidRPr="00952C33">
              <w:rPr>
                <w:rFonts w:hint="eastAsia"/>
                <w:sz w:val="22"/>
              </w:rPr>
              <w:t>√</w:t>
            </w:r>
          </w:p>
        </w:tc>
        <w:tc>
          <w:tcPr>
            <w:tcW w:w="13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21AA76" w14:textId="1D5635A9" w:rsidR="00FB67CC" w:rsidRPr="00952C33" w:rsidRDefault="005C7C6F" w:rsidP="00FB6278">
            <w:pPr>
              <w:pStyle w:val="MEHArial"/>
              <w:jc w:val="center"/>
              <w:rPr>
                <w:sz w:val="22"/>
              </w:rPr>
            </w:pPr>
            <w:r w:rsidRPr="00952C33">
              <w:rPr>
                <w:rFonts w:hint="eastAsia"/>
                <w:sz w:val="22"/>
              </w:rPr>
              <w:t>√</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953581" w14:textId="0F46F2A3" w:rsidR="00FB67CC" w:rsidRPr="00952C33" w:rsidRDefault="005C7C6F" w:rsidP="00FB6278">
            <w:pPr>
              <w:pStyle w:val="MEHArial"/>
              <w:jc w:val="center"/>
              <w:rPr>
                <w:sz w:val="22"/>
              </w:rPr>
            </w:pPr>
            <w:r w:rsidRPr="00952C33">
              <w:rPr>
                <w:rFonts w:hint="eastAsia"/>
                <w:sz w:val="22"/>
              </w:rPr>
              <w:t>√</w:t>
            </w:r>
          </w:p>
        </w:tc>
        <w:tc>
          <w:tcPr>
            <w:tcW w:w="1152" w:type="dxa"/>
            <w:tcBorders>
              <w:top w:val="single" w:sz="4" w:space="0" w:color="000000"/>
              <w:left w:val="single" w:sz="4" w:space="0" w:color="000000"/>
              <w:bottom w:val="single" w:sz="4" w:space="0" w:color="000000"/>
              <w:right w:val="single" w:sz="4" w:space="0" w:color="000000"/>
            </w:tcBorders>
          </w:tcPr>
          <w:p w14:paraId="77325806" w14:textId="1256844E" w:rsidR="00FB67CC" w:rsidRPr="00952C33" w:rsidRDefault="005C7C6F" w:rsidP="00FB6278">
            <w:pPr>
              <w:pStyle w:val="MEHArial"/>
              <w:jc w:val="center"/>
              <w:rPr>
                <w:sz w:val="22"/>
              </w:rPr>
            </w:pPr>
            <w:r w:rsidRPr="00952C33">
              <w:rPr>
                <w:rFonts w:hint="eastAsia"/>
                <w:sz w:val="22"/>
              </w:rPr>
              <w:t>√</w:t>
            </w:r>
          </w:p>
        </w:tc>
        <w:tc>
          <w:tcPr>
            <w:tcW w:w="1152"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14:paraId="6167C6EE" w14:textId="5835E0C7" w:rsidR="00FB67CC" w:rsidRPr="00952C33" w:rsidRDefault="005C7C6F" w:rsidP="00FB6278">
            <w:pPr>
              <w:pStyle w:val="MEHArial"/>
              <w:jc w:val="center"/>
              <w:rPr>
                <w:b/>
                <w:sz w:val="22"/>
              </w:rPr>
            </w:pPr>
            <w:r w:rsidRPr="00952C33">
              <w:rPr>
                <w:b/>
                <w:sz w:val="22"/>
              </w:rPr>
              <w:t>5/5</w:t>
            </w:r>
          </w:p>
        </w:tc>
      </w:tr>
      <w:tr w:rsidR="00FB67CC" w:rsidRPr="00777F4F" w14:paraId="5D363D46" w14:textId="77777777" w:rsidTr="00B42676">
        <w:trPr>
          <w:trHeight w:val="60"/>
          <w:jc w:val="center"/>
        </w:trPr>
        <w:tc>
          <w:tcPr>
            <w:tcW w:w="2168"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14:paraId="0251B621" w14:textId="77777777" w:rsidR="00FB67CC" w:rsidRPr="00952C33" w:rsidRDefault="00FB67CC" w:rsidP="00FB6278">
            <w:pPr>
              <w:pStyle w:val="MEHArial"/>
              <w:rPr>
                <w:sz w:val="22"/>
              </w:rPr>
            </w:pPr>
            <w:r w:rsidRPr="00952C33">
              <w:rPr>
                <w:sz w:val="22"/>
              </w:rPr>
              <w:t>David Hills</w:t>
            </w:r>
          </w:p>
        </w:tc>
        <w:tc>
          <w:tcPr>
            <w:tcW w:w="1341" w:type="dxa"/>
            <w:tcBorders>
              <w:top w:val="single" w:sz="4" w:space="0" w:color="000000"/>
              <w:left w:val="single" w:sz="4" w:space="0" w:color="000000"/>
              <w:bottom w:val="single" w:sz="4" w:space="0" w:color="000000"/>
              <w:right w:val="single" w:sz="4" w:space="0" w:color="000000"/>
            </w:tcBorders>
          </w:tcPr>
          <w:p w14:paraId="13C4C737" w14:textId="635F48BD" w:rsidR="00FB67CC" w:rsidRPr="00952C33" w:rsidRDefault="005C7C6F" w:rsidP="00FB6278">
            <w:pPr>
              <w:pStyle w:val="MEHArial"/>
              <w:jc w:val="center"/>
              <w:rPr>
                <w:sz w:val="22"/>
              </w:rPr>
            </w:pPr>
            <w:r w:rsidRPr="00952C33">
              <w:rPr>
                <w:rFonts w:hint="eastAsia"/>
                <w:sz w:val="22"/>
              </w:rPr>
              <w:t>√</w:t>
            </w:r>
          </w:p>
        </w:tc>
        <w:tc>
          <w:tcPr>
            <w:tcW w:w="13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1B376F" w14:textId="51AEDAB8" w:rsidR="00FB67CC" w:rsidRPr="00952C33" w:rsidRDefault="00FB67CC" w:rsidP="00FB6278">
            <w:pPr>
              <w:pStyle w:val="MEHArial"/>
              <w:jc w:val="center"/>
              <w:rPr>
                <w:sz w:val="22"/>
              </w:rPr>
            </w:pPr>
          </w:p>
        </w:tc>
        <w:tc>
          <w:tcPr>
            <w:tcW w:w="13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2AA5D8" w14:textId="2ED1F870" w:rsidR="00FB67CC" w:rsidRPr="00952C33" w:rsidRDefault="005C7C6F" w:rsidP="00FB6278">
            <w:pPr>
              <w:pStyle w:val="MEHArial"/>
              <w:jc w:val="center"/>
              <w:rPr>
                <w:sz w:val="22"/>
              </w:rPr>
            </w:pPr>
            <w:r w:rsidRPr="00952C33">
              <w:rPr>
                <w:rFonts w:hint="eastAsia"/>
                <w:sz w:val="22"/>
              </w:rPr>
              <w:t>√</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292782" w14:textId="744B775C" w:rsidR="00FB67CC" w:rsidRPr="00952C33" w:rsidRDefault="005C7C6F" w:rsidP="00FB6278">
            <w:pPr>
              <w:pStyle w:val="MEHArial"/>
              <w:jc w:val="center"/>
              <w:rPr>
                <w:sz w:val="22"/>
              </w:rPr>
            </w:pPr>
            <w:r w:rsidRPr="00952C33">
              <w:rPr>
                <w:rFonts w:hint="eastAsia"/>
                <w:sz w:val="22"/>
              </w:rPr>
              <w:t>√</w:t>
            </w:r>
          </w:p>
        </w:tc>
        <w:tc>
          <w:tcPr>
            <w:tcW w:w="1152" w:type="dxa"/>
            <w:tcBorders>
              <w:top w:val="single" w:sz="4" w:space="0" w:color="000000"/>
              <w:left w:val="single" w:sz="4" w:space="0" w:color="000000"/>
              <w:bottom w:val="single" w:sz="4" w:space="0" w:color="000000"/>
              <w:right w:val="single" w:sz="4" w:space="0" w:color="000000"/>
            </w:tcBorders>
          </w:tcPr>
          <w:p w14:paraId="4ADD9079" w14:textId="361CEF83" w:rsidR="00FB67CC" w:rsidRPr="00952C33" w:rsidRDefault="005C7C6F" w:rsidP="00FB6278">
            <w:pPr>
              <w:pStyle w:val="MEHArial"/>
              <w:jc w:val="center"/>
              <w:rPr>
                <w:sz w:val="22"/>
              </w:rPr>
            </w:pPr>
            <w:r w:rsidRPr="00952C33">
              <w:rPr>
                <w:rFonts w:hint="eastAsia"/>
                <w:sz w:val="22"/>
              </w:rPr>
              <w:t>√</w:t>
            </w:r>
          </w:p>
        </w:tc>
        <w:tc>
          <w:tcPr>
            <w:tcW w:w="1152"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14:paraId="30FC6187" w14:textId="177235DB" w:rsidR="00FB67CC" w:rsidRPr="00952C33" w:rsidRDefault="005C7C6F" w:rsidP="00FB6278">
            <w:pPr>
              <w:pStyle w:val="MEHArial"/>
              <w:jc w:val="center"/>
              <w:rPr>
                <w:b/>
                <w:sz w:val="22"/>
              </w:rPr>
            </w:pPr>
            <w:r w:rsidRPr="00952C33">
              <w:rPr>
                <w:b/>
                <w:sz w:val="22"/>
              </w:rPr>
              <w:t>4/5</w:t>
            </w:r>
          </w:p>
        </w:tc>
      </w:tr>
      <w:tr w:rsidR="00FB67CC" w:rsidRPr="00E711EE" w14:paraId="0C121928" w14:textId="77777777" w:rsidTr="00B42676">
        <w:trPr>
          <w:trHeight w:val="332"/>
          <w:jc w:val="center"/>
        </w:trPr>
        <w:tc>
          <w:tcPr>
            <w:tcW w:w="2168"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14:paraId="04D9A058" w14:textId="5F7E6CFE" w:rsidR="00FB67CC" w:rsidRPr="00952C33" w:rsidRDefault="008964AA" w:rsidP="00FB6278">
            <w:pPr>
              <w:pStyle w:val="MEHArial"/>
              <w:rPr>
                <w:b/>
                <w:sz w:val="22"/>
              </w:rPr>
            </w:pPr>
            <w:r w:rsidRPr="00952C33">
              <w:rPr>
                <w:b/>
                <w:sz w:val="22"/>
              </w:rPr>
              <w:t>Total</w:t>
            </w:r>
          </w:p>
        </w:tc>
        <w:tc>
          <w:tcPr>
            <w:tcW w:w="1341" w:type="dxa"/>
            <w:tcBorders>
              <w:top w:val="single" w:sz="4" w:space="0" w:color="000000"/>
              <w:left w:val="single" w:sz="4" w:space="0" w:color="000000"/>
              <w:bottom w:val="single" w:sz="4" w:space="0" w:color="000000"/>
              <w:right w:val="single" w:sz="4" w:space="0" w:color="000000"/>
            </w:tcBorders>
          </w:tcPr>
          <w:p w14:paraId="2BE8F163" w14:textId="415B5F08" w:rsidR="00FB67CC" w:rsidRPr="00952C33" w:rsidRDefault="005C7C6F" w:rsidP="00FB6278">
            <w:pPr>
              <w:pStyle w:val="MEHArial"/>
              <w:jc w:val="center"/>
              <w:rPr>
                <w:b/>
                <w:sz w:val="22"/>
              </w:rPr>
            </w:pPr>
            <w:r w:rsidRPr="00952C33">
              <w:rPr>
                <w:b/>
                <w:sz w:val="22"/>
              </w:rPr>
              <w:t>3</w:t>
            </w:r>
          </w:p>
        </w:tc>
        <w:tc>
          <w:tcPr>
            <w:tcW w:w="13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813D41" w14:textId="058FCFC1" w:rsidR="00FB67CC" w:rsidRPr="00952C33" w:rsidRDefault="005C7C6F" w:rsidP="00FB6278">
            <w:pPr>
              <w:pStyle w:val="MEHArial"/>
              <w:jc w:val="center"/>
              <w:rPr>
                <w:b/>
                <w:sz w:val="22"/>
              </w:rPr>
            </w:pPr>
            <w:r w:rsidRPr="00952C33">
              <w:rPr>
                <w:b/>
                <w:sz w:val="22"/>
              </w:rPr>
              <w:t>2</w:t>
            </w:r>
          </w:p>
        </w:tc>
        <w:tc>
          <w:tcPr>
            <w:tcW w:w="13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17BBBB" w14:textId="16B5C8D5" w:rsidR="00FB67CC" w:rsidRPr="00952C33" w:rsidRDefault="005C7C6F" w:rsidP="00FB6278">
            <w:pPr>
              <w:pStyle w:val="MEHArial"/>
              <w:jc w:val="center"/>
              <w:rPr>
                <w:b/>
                <w:sz w:val="22"/>
              </w:rPr>
            </w:pPr>
            <w:r w:rsidRPr="00952C33">
              <w:rPr>
                <w:b/>
                <w:sz w:val="22"/>
              </w:rPr>
              <w:t>3</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89DBF6" w14:textId="56237427" w:rsidR="00FB67CC" w:rsidRPr="00952C33" w:rsidRDefault="005C7C6F" w:rsidP="00FB6278">
            <w:pPr>
              <w:pStyle w:val="MEHArial"/>
              <w:jc w:val="center"/>
              <w:rPr>
                <w:b/>
                <w:sz w:val="22"/>
              </w:rPr>
            </w:pPr>
            <w:r w:rsidRPr="00952C33">
              <w:rPr>
                <w:b/>
                <w:sz w:val="22"/>
              </w:rPr>
              <w:t>3</w:t>
            </w:r>
          </w:p>
        </w:tc>
        <w:tc>
          <w:tcPr>
            <w:tcW w:w="1152" w:type="dxa"/>
            <w:tcBorders>
              <w:top w:val="single" w:sz="4" w:space="0" w:color="000000"/>
              <w:left w:val="single" w:sz="4" w:space="0" w:color="000000"/>
              <w:bottom w:val="single" w:sz="4" w:space="0" w:color="000000"/>
              <w:right w:val="single" w:sz="4" w:space="0" w:color="000000"/>
            </w:tcBorders>
          </w:tcPr>
          <w:p w14:paraId="53C83CD7" w14:textId="0F0F6326" w:rsidR="00FB67CC" w:rsidRPr="00952C33" w:rsidRDefault="005C7C6F" w:rsidP="00FB6278">
            <w:pPr>
              <w:pStyle w:val="MEHArial"/>
              <w:jc w:val="center"/>
              <w:rPr>
                <w:b/>
                <w:sz w:val="22"/>
              </w:rPr>
            </w:pPr>
            <w:r w:rsidRPr="00952C33">
              <w:rPr>
                <w:b/>
                <w:sz w:val="22"/>
              </w:rPr>
              <w:t>3</w:t>
            </w:r>
          </w:p>
        </w:tc>
        <w:tc>
          <w:tcPr>
            <w:tcW w:w="1152"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14:paraId="43D2E117" w14:textId="77777777" w:rsidR="00FB67CC" w:rsidRPr="00952C33" w:rsidRDefault="00FB67CC" w:rsidP="00FB6278">
            <w:pPr>
              <w:pStyle w:val="MEHArial"/>
              <w:jc w:val="center"/>
              <w:rPr>
                <w:sz w:val="22"/>
              </w:rPr>
            </w:pPr>
          </w:p>
        </w:tc>
      </w:tr>
    </w:tbl>
    <w:p w14:paraId="37ABC9D8" w14:textId="54032F62" w:rsidR="00FB67CC" w:rsidRPr="00952C33" w:rsidRDefault="00FB67CC" w:rsidP="00FB6278">
      <w:pPr>
        <w:pStyle w:val="MEHArial"/>
        <w:ind w:left="-567" w:right="-613"/>
        <w:jc w:val="both"/>
        <w:rPr>
          <w:color w:val="FF0000"/>
          <w:sz w:val="22"/>
        </w:rPr>
      </w:pPr>
      <w:r w:rsidRPr="00952C33">
        <w:rPr>
          <w:sz w:val="22"/>
        </w:rPr>
        <w:lastRenderedPageBreak/>
        <w:t xml:space="preserve">The audit </w:t>
      </w:r>
      <w:r w:rsidR="00B359F1" w:rsidRPr="00952C33">
        <w:rPr>
          <w:sz w:val="22"/>
        </w:rPr>
        <w:t xml:space="preserve">and risk </w:t>
      </w:r>
      <w:r w:rsidRPr="00952C33">
        <w:rPr>
          <w:sz w:val="22"/>
        </w:rPr>
        <w:t xml:space="preserve">committee work plan covers a wide range of issues and reports were received during </w:t>
      </w:r>
      <w:r w:rsidR="007140F9" w:rsidRPr="00952C33">
        <w:rPr>
          <w:sz w:val="22"/>
        </w:rPr>
        <w:t xml:space="preserve">the year </w:t>
      </w:r>
      <w:r w:rsidRPr="00952C33">
        <w:rPr>
          <w:sz w:val="22"/>
        </w:rPr>
        <w:t xml:space="preserve">from </w:t>
      </w:r>
      <w:proofErr w:type="gramStart"/>
      <w:r w:rsidRPr="00952C33">
        <w:rPr>
          <w:sz w:val="22"/>
        </w:rPr>
        <w:t>a number of</w:t>
      </w:r>
      <w:proofErr w:type="gramEnd"/>
      <w:r w:rsidRPr="00952C33">
        <w:rPr>
          <w:sz w:val="22"/>
        </w:rPr>
        <w:t xml:space="preserve"> sources. Key areas and issues that were considered include </w:t>
      </w:r>
      <w:r w:rsidR="00E87BC1" w:rsidRPr="00952C33">
        <w:rPr>
          <w:sz w:val="22"/>
        </w:rPr>
        <w:t xml:space="preserve">core financial systems, </w:t>
      </w:r>
      <w:r w:rsidR="007A2455" w:rsidRPr="00952C33">
        <w:rPr>
          <w:sz w:val="22"/>
        </w:rPr>
        <w:t>board assurance framework, Covid-19 and recovery, theatre management</w:t>
      </w:r>
      <w:r w:rsidR="00E87BC1" w:rsidRPr="00952C33">
        <w:rPr>
          <w:sz w:val="22"/>
        </w:rPr>
        <w:t>,</w:t>
      </w:r>
      <w:r w:rsidR="00A85B6B" w:rsidRPr="00952C33">
        <w:rPr>
          <w:sz w:val="22"/>
        </w:rPr>
        <w:t xml:space="preserve"> data quality and performance and </w:t>
      </w:r>
      <w:r w:rsidR="007A2455" w:rsidRPr="00952C33">
        <w:rPr>
          <w:sz w:val="22"/>
        </w:rPr>
        <w:t>divisional performance.</w:t>
      </w:r>
    </w:p>
    <w:p w14:paraId="2FD4201E" w14:textId="044E5C0B" w:rsidR="00FB67CC" w:rsidRPr="00952C33" w:rsidRDefault="00FB67CC" w:rsidP="00FB6278">
      <w:pPr>
        <w:pStyle w:val="MEHArial"/>
        <w:ind w:left="-567" w:right="-613"/>
        <w:jc w:val="both"/>
        <w:rPr>
          <w:sz w:val="22"/>
        </w:rPr>
      </w:pPr>
      <w:r w:rsidRPr="00952C33">
        <w:rPr>
          <w:sz w:val="22"/>
        </w:rPr>
        <w:t xml:space="preserve">The trust’s </w:t>
      </w:r>
      <w:r w:rsidRPr="00952C33">
        <w:rPr>
          <w:b/>
          <w:sz w:val="22"/>
        </w:rPr>
        <w:t>internal audit</w:t>
      </w:r>
      <w:r w:rsidRPr="00952C33">
        <w:rPr>
          <w:sz w:val="22"/>
        </w:rPr>
        <w:t xml:space="preserve"> f</w:t>
      </w:r>
      <w:r w:rsidR="0064101E" w:rsidRPr="00952C33">
        <w:rPr>
          <w:sz w:val="22"/>
        </w:rPr>
        <w:t>unction is performed by RSM</w:t>
      </w:r>
      <w:r w:rsidRPr="00952C33">
        <w:rPr>
          <w:sz w:val="22"/>
        </w:rPr>
        <w:t xml:space="preserve">. The role of internal audit is to focus on reviewing areas that either complement or underpin delivery of the trust’s strategy, based on risk assessment. </w:t>
      </w:r>
      <w:r w:rsidR="0064101E" w:rsidRPr="00952C33">
        <w:rPr>
          <w:sz w:val="22"/>
        </w:rPr>
        <w:t>RSM</w:t>
      </w:r>
      <w:r w:rsidRPr="00952C33">
        <w:rPr>
          <w:sz w:val="22"/>
        </w:rPr>
        <w:t xml:space="preserve"> provide written updates on progress against an annual internal audit work plan and any recommendations made to management. This enables the committee to track both the timely completion of the work plan and the implementation of recommendations by management. </w:t>
      </w:r>
    </w:p>
    <w:p w14:paraId="77E0DB5D" w14:textId="77777777" w:rsidR="00FB67CC" w:rsidRPr="00952C33" w:rsidRDefault="00FB67CC" w:rsidP="00FB6278">
      <w:pPr>
        <w:pStyle w:val="MEHArial"/>
        <w:ind w:left="-567" w:right="-613"/>
        <w:jc w:val="both"/>
        <w:rPr>
          <w:sz w:val="22"/>
        </w:rPr>
      </w:pPr>
      <w:r w:rsidRPr="00952C33">
        <w:rPr>
          <w:sz w:val="22"/>
        </w:rPr>
        <w:t>Where internal audit reviews indicate a material, significant or repeated theme of concern, the committee also makes recommendations for the board to assess and seek adequate assurance from executive management as necessary.</w:t>
      </w:r>
    </w:p>
    <w:p w14:paraId="07C2B014" w14:textId="52E9AF54" w:rsidR="00B60EBD" w:rsidRDefault="00FB67CC" w:rsidP="00FB6278">
      <w:pPr>
        <w:pStyle w:val="MEHArial"/>
        <w:ind w:left="-567" w:right="-613"/>
        <w:jc w:val="both"/>
        <w:rPr>
          <w:sz w:val="22"/>
        </w:rPr>
      </w:pPr>
      <w:r w:rsidRPr="00952C33">
        <w:rPr>
          <w:sz w:val="22"/>
        </w:rPr>
        <w:t xml:space="preserve">Moorfields’ </w:t>
      </w:r>
      <w:r w:rsidRPr="00952C33">
        <w:rPr>
          <w:b/>
          <w:sz w:val="22"/>
        </w:rPr>
        <w:t>external auditor</w:t>
      </w:r>
      <w:r w:rsidRPr="00952C33">
        <w:rPr>
          <w:sz w:val="22"/>
        </w:rPr>
        <w:t xml:space="preserve"> is </w:t>
      </w:r>
      <w:r w:rsidR="000A0197" w:rsidRPr="00952C33">
        <w:rPr>
          <w:sz w:val="22"/>
        </w:rPr>
        <w:t>Grant Thornton LLP</w:t>
      </w:r>
      <w:r w:rsidR="00E87BC1" w:rsidRPr="00952C33">
        <w:rPr>
          <w:sz w:val="22"/>
        </w:rPr>
        <w:t xml:space="preserve">. </w:t>
      </w:r>
      <w:r w:rsidRPr="00952C33">
        <w:rPr>
          <w:sz w:val="22"/>
        </w:rPr>
        <w:t xml:space="preserve">The trust and </w:t>
      </w:r>
      <w:r w:rsidR="000903A8" w:rsidRPr="00952C33">
        <w:rPr>
          <w:sz w:val="22"/>
        </w:rPr>
        <w:t xml:space="preserve">Grant Thornton </w:t>
      </w:r>
      <w:r w:rsidRPr="00952C33">
        <w:rPr>
          <w:sz w:val="22"/>
        </w:rPr>
        <w:t xml:space="preserve">have safeguards in place to avoid the possibility that the external auditors’ objectivity and independence could be compromised. </w:t>
      </w:r>
      <w:r w:rsidR="0001576B">
        <w:rPr>
          <w:sz w:val="22"/>
        </w:rPr>
        <w:t xml:space="preserve">The audit and risk committee </w:t>
      </w:r>
      <w:r w:rsidR="00B60EBD">
        <w:rPr>
          <w:sz w:val="22"/>
        </w:rPr>
        <w:t>has responsibility for reviewing the annual report from the external auditors and ensuring their impudence from the trust. The committee also ensures that actions are taken to comply with professional and regulatory requirements and best practice.</w:t>
      </w:r>
      <w:r w:rsidR="0001576B">
        <w:rPr>
          <w:sz w:val="22"/>
        </w:rPr>
        <w:t xml:space="preserve"> </w:t>
      </w:r>
    </w:p>
    <w:p w14:paraId="497FF89A" w14:textId="4F158601" w:rsidR="00FB67CC" w:rsidRPr="00952C33" w:rsidRDefault="00FB67CC" w:rsidP="00FB6278">
      <w:pPr>
        <w:pStyle w:val="MEHArial"/>
        <w:ind w:left="-567" w:right="-613"/>
        <w:jc w:val="both"/>
        <w:rPr>
          <w:sz w:val="22"/>
        </w:rPr>
      </w:pPr>
      <w:r w:rsidRPr="00952C33">
        <w:rPr>
          <w:sz w:val="22"/>
        </w:rPr>
        <w:t xml:space="preserve">The audit </w:t>
      </w:r>
      <w:r w:rsidR="00B359F1" w:rsidRPr="00952C33">
        <w:rPr>
          <w:sz w:val="22"/>
        </w:rPr>
        <w:t xml:space="preserve">and risk </w:t>
      </w:r>
      <w:r w:rsidRPr="00952C33">
        <w:rPr>
          <w:sz w:val="22"/>
        </w:rPr>
        <w:t>committee al</w:t>
      </w:r>
      <w:r w:rsidR="00A60CF6" w:rsidRPr="00952C33">
        <w:rPr>
          <w:sz w:val="22"/>
        </w:rPr>
        <w:t xml:space="preserve">so reviews the statutory audit </w:t>
      </w:r>
      <w:r w:rsidRPr="00952C33">
        <w:rPr>
          <w:sz w:val="22"/>
        </w:rPr>
        <w:t xml:space="preserve">and other services (as relevant) provided by </w:t>
      </w:r>
      <w:r w:rsidR="000903A8" w:rsidRPr="00952C33">
        <w:rPr>
          <w:sz w:val="22"/>
        </w:rPr>
        <w:t>Grant Thornton</w:t>
      </w:r>
      <w:r w:rsidRPr="00952C33">
        <w:rPr>
          <w:sz w:val="22"/>
        </w:rPr>
        <w:t xml:space="preserve">, and compliance with the trust’s policy which describes in detail the types of services which the external auditors can and cannot provide. The services provided by </w:t>
      </w:r>
      <w:r w:rsidR="000903A8" w:rsidRPr="00952C33">
        <w:rPr>
          <w:sz w:val="22"/>
        </w:rPr>
        <w:t>Grant Thornton</w:t>
      </w:r>
      <w:r w:rsidRPr="00952C33">
        <w:rPr>
          <w:sz w:val="22"/>
        </w:rPr>
        <w:t xml:space="preserve"> relate to:</w:t>
      </w:r>
    </w:p>
    <w:p w14:paraId="4D711B10" w14:textId="77777777" w:rsidR="00FB67CC" w:rsidRPr="00952C33" w:rsidRDefault="00FB67CC" w:rsidP="00FB6278">
      <w:pPr>
        <w:pStyle w:val="MEHArial"/>
        <w:numPr>
          <w:ilvl w:val="0"/>
          <w:numId w:val="3"/>
        </w:numPr>
        <w:rPr>
          <w:sz w:val="22"/>
        </w:rPr>
      </w:pPr>
      <w:r w:rsidRPr="00952C33">
        <w:rPr>
          <w:sz w:val="22"/>
        </w:rPr>
        <w:t xml:space="preserve">external audit </w:t>
      </w:r>
    </w:p>
    <w:p w14:paraId="07281CF7" w14:textId="77777777" w:rsidR="00FB67CC" w:rsidRPr="00952C33" w:rsidRDefault="00FB67CC" w:rsidP="00FB6278">
      <w:pPr>
        <w:pStyle w:val="MEHArial"/>
        <w:numPr>
          <w:ilvl w:val="0"/>
          <w:numId w:val="3"/>
        </w:numPr>
        <w:rPr>
          <w:sz w:val="22"/>
        </w:rPr>
      </w:pPr>
      <w:r w:rsidRPr="00952C33">
        <w:rPr>
          <w:sz w:val="22"/>
        </w:rPr>
        <w:t xml:space="preserve">other audit services, for example work </w:t>
      </w:r>
      <w:proofErr w:type="gramStart"/>
      <w:r w:rsidRPr="00952C33">
        <w:rPr>
          <w:sz w:val="22"/>
        </w:rPr>
        <w:t>that regulators</w:t>
      </w:r>
      <w:proofErr w:type="gramEnd"/>
      <w:r w:rsidRPr="00952C33">
        <w:rPr>
          <w:sz w:val="22"/>
        </w:rPr>
        <w:t xml:space="preserve"> require the auditors to undertake, such as on behalf of a regulator </w:t>
      </w:r>
    </w:p>
    <w:p w14:paraId="7F3B5A1C" w14:textId="64362918" w:rsidR="00FB67CC" w:rsidRPr="00952C33" w:rsidRDefault="00FB67CC" w:rsidP="00FB6278">
      <w:pPr>
        <w:pStyle w:val="MEHArial"/>
        <w:ind w:left="-567" w:right="-613"/>
        <w:jc w:val="both"/>
        <w:rPr>
          <w:sz w:val="22"/>
        </w:rPr>
      </w:pPr>
      <w:r w:rsidRPr="00952C33">
        <w:rPr>
          <w:sz w:val="22"/>
        </w:rPr>
        <w:t xml:space="preserve">All engagements with the external auditors over a specified amount require the advance approval of the chair of the audit </w:t>
      </w:r>
      <w:r w:rsidR="00B359F1" w:rsidRPr="00952C33">
        <w:rPr>
          <w:sz w:val="22"/>
        </w:rPr>
        <w:t xml:space="preserve">and risk </w:t>
      </w:r>
      <w:r w:rsidRPr="00952C33">
        <w:rPr>
          <w:sz w:val="22"/>
        </w:rPr>
        <w:t xml:space="preserve">committee. The policy is regularly reviewed and where necessary is amended in the light of internal developments, external </w:t>
      </w:r>
      <w:proofErr w:type="gramStart"/>
      <w:r w:rsidRPr="00952C33">
        <w:rPr>
          <w:sz w:val="22"/>
        </w:rPr>
        <w:t>requirements</w:t>
      </w:r>
      <w:proofErr w:type="gramEnd"/>
      <w:r w:rsidRPr="00952C33">
        <w:rPr>
          <w:sz w:val="22"/>
        </w:rPr>
        <w:t xml:space="preserve"> and best practice.</w:t>
      </w:r>
    </w:p>
    <w:p w14:paraId="6AFC2412" w14:textId="0B863076" w:rsidR="00B359F1" w:rsidRPr="00952C33" w:rsidRDefault="00FB67CC" w:rsidP="00FB6278">
      <w:pPr>
        <w:pStyle w:val="MEHArial"/>
        <w:ind w:left="-567" w:right="-613"/>
        <w:jc w:val="both"/>
        <w:rPr>
          <w:sz w:val="22"/>
        </w:rPr>
      </w:pPr>
      <w:r w:rsidRPr="00952C33">
        <w:rPr>
          <w:sz w:val="22"/>
        </w:rPr>
        <w:t xml:space="preserve">So far as the directors are aware, there is no relevant audit information of which the auditors are </w:t>
      </w:r>
      <w:proofErr w:type="gramStart"/>
      <w:r w:rsidRPr="00952C33">
        <w:rPr>
          <w:sz w:val="22"/>
        </w:rPr>
        <w:t>unaware</w:t>
      </w:r>
      <w:proofErr w:type="gramEnd"/>
      <w:r w:rsidRPr="00952C33">
        <w:rPr>
          <w:sz w:val="22"/>
        </w:rPr>
        <w:t xml:space="preserve"> and the directors have taken all the steps they should in order to make themselves aware of any relevant audit information and to establish that the auditors are aware of that information.</w:t>
      </w:r>
    </w:p>
    <w:p w14:paraId="584E2597" w14:textId="6600A3AC" w:rsidR="00FB67CC" w:rsidRPr="00952C33" w:rsidRDefault="00FB67CC" w:rsidP="00FB6278">
      <w:pPr>
        <w:pStyle w:val="Heading4"/>
        <w:ind w:left="-567"/>
        <w:jc w:val="both"/>
        <w:rPr>
          <w:sz w:val="22"/>
        </w:rPr>
      </w:pPr>
      <w:r w:rsidRPr="00952C33">
        <w:rPr>
          <w:sz w:val="22"/>
        </w:rPr>
        <w:t xml:space="preserve">Recommendations from the audit </w:t>
      </w:r>
      <w:r w:rsidR="00B359F1" w:rsidRPr="00952C33">
        <w:rPr>
          <w:sz w:val="22"/>
        </w:rPr>
        <w:t xml:space="preserve">and risk </w:t>
      </w:r>
      <w:r w:rsidRPr="00952C33">
        <w:rPr>
          <w:sz w:val="22"/>
        </w:rPr>
        <w:t>committee to the membership council</w:t>
      </w:r>
    </w:p>
    <w:p w14:paraId="63D3CA8E" w14:textId="77777777" w:rsidR="008B2FEE" w:rsidRDefault="00FB67CC" w:rsidP="008B2FEE">
      <w:pPr>
        <w:pStyle w:val="MEHArial"/>
        <w:ind w:left="-567" w:right="-613"/>
        <w:jc w:val="both"/>
        <w:rPr>
          <w:sz w:val="22"/>
        </w:rPr>
      </w:pPr>
      <w:r w:rsidRPr="00952C33">
        <w:rPr>
          <w:sz w:val="22"/>
        </w:rPr>
        <w:t xml:space="preserve">Following completion of the work of the external auditors, the audit </w:t>
      </w:r>
      <w:r w:rsidR="00B359F1" w:rsidRPr="00952C33">
        <w:rPr>
          <w:sz w:val="22"/>
        </w:rPr>
        <w:t xml:space="preserve">and risk </w:t>
      </w:r>
      <w:r w:rsidRPr="00952C33">
        <w:rPr>
          <w:sz w:val="22"/>
        </w:rPr>
        <w:t xml:space="preserve">committee did not identify any matters where it considered that action or improvement needed to be reported to the membership council. The committee made a positive report to the governors which included that the external audit was of a sufficiently high standard and the fees were reasonable and in line with the agreed contract. </w:t>
      </w:r>
    </w:p>
    <w:p w14:paraId="467C31C6" w14:textId="77777777" w:rsidR="008B2FEE" w:rsidRDefault="00FB67CC" w:rsidP="008B2FEE">
      <w:pPr>
        <w:pStyle w:val="MEHArial"/>
        <w:ind w:left="-567" w:right="-613"/>
        <w:jc w:val="both"/>
        <w:rPr>
          <w:sz w:val="22"/>
        </w:rPr>
      </w:pPr>
      <w:r w:rsidRPr="00952C33">
        <w:rPr>
          <w:sz w:val="22"/>
        </w:rPr>
        <w:t>Remune</w:t>
      </w:r>
      <w:r w:rsidR="00A60CF6" w:rsidRPr="00952C33">
        <w:rPr>
          <w:sz w:val="22"/>
        </w:rPr>
        <w:t>ration and nomination committee</w:t>
      </w:r>
    </w:p>
    <w:p w14:paraId="740267F3" w14:textId="77777777" w:rsidR="008B2FEE" w:rsidRDefault="00FB67CC" w:rsidP="008B2FEE">
      <w:pPr>
        <w:pStyle w:val="MEHArial"/>
        <w:ind w:left="-567" w:right="-613"/>
        <w:jc w:val="both"/>
        <w:rPr>
          <w:sz w:val="22"/>
        </w:rPr>
      </w:pPr>
      <w:r w:rsidRPr="00952C33">
        <w:rPr>
          <w:sz w:val="22"/>
        </w:rPr>
        <w:t xml:space="preserve">The remuneration and nominations committee </w:t>
      </w:r>
      <w:proofErr w:type="gramStart"/>
      <w:r w:rsidRPr="00952C33">
        <w:rPr>
          <w:sz w:val="22"/>
        </w:rPr>
        <w:t>is</w:t>
      </w:r>
      <w:proofErr w:type="gramEnd"/>
      <w:r w:rsidR="00A60CF6" w:rsidRPr="00952C33">
        <w:rPr>
          <w:sz w:val="22"/>
        </w:rPr>
        <w:t xml:space="preserve"> responsible for two key areas: </w:t>
      </w:r>
    </w:p>
    <w:p w14:paraId="2A2902B7" w14:textId="5F12EC5C" w:rsidR="00A60CF6" w:rsidRPr="008B2FEE" w:rsidRDefault="00A60CF6" w:rsidP="008B2FEE">
      <w:pPr>
        <w:pStyle w:val="MEHArial"/>
        <w:numPr>
          <w:ilvl w:val="0"/>
          <w:numId w:val="43"/>
        </w:numPr>
        <w:ind w:right="-613"/>
        <w:jc w:val="both"/>
        <w:rPr>
          <w:sz w:val="22"/>
        </w:rPr>
      </w:pPr>
      <w:r w:rsidRPr="00952C33">
        <w:rPr>
          <w:sz w:val="22"/>
        </w:rPr>
        <w:t>S</w:t>
      </w:r>
      <w:r w:rsidR="00FB67CC" w:rsidRPr="00952C33">
        <w:rPr>
          <w:sz w:val="22"/>
        </w:rPr>
        <w:t>etting the pay and terms of employment of executive directors and other board-level posts, as well as taking an overview of performanc</w:t>
      </w:r>
      <w:r w:rsidR="00E87BC1" w:rsidRPr="00952C33">
        <w:rPr>
          <w:sz w:val="22"/>
        </w:rPr>
        <w:t xml:space="preserve">e reward strategy in the trust; and </w:t>
      </w:r>
    </w:p>
    <w:p w14:paraId="3F063ACC" w14:textId="77777777" w:rsidR="00E87BC1" w:rsidRPr="00952C33" w:rsidRDefault="00A60CF6" w:rsidP="00FB6278">
      <w:pPr>
        <w:pStyle w:val="Heading3"/>
        <w:numPr>
          <w:ilvl w:val="0"/>
          <w:numId w:val="21"/>
        </w:numPr>
        <w:jc w:val="both"/>
        <w:rPr>
          <w:b w:val="0"/>
          <w:sz w:val="22"/>
        </w:rPr>
      </w:pPr>
      <w:r w:rsidRPr="00952C33">
        <w:rPr>
          <w:b w:val="0"/>
          <w:sz w:val="22"/>
        </w:rPr>
        <w:t xml:space="preserve">Making recommendations to the board about the appointment of executive and other director positions. </w:t>
      </w:r>
    </w:p>
    <w:p w14:paraId="2647237A" w14:textId="7E9053BC" w:rsidR="00A60CF6" w:rsidRPr="00952C33" w:rsidRDefault="00A60CF6" w:rsidP="00FB6278">
      <w:pPr>
        <w:pStyle w:val="Heading3"/>
        <w:ind w:left="-567"/>
        <w:jc w:val="both"/>
        <w:rPr>
          <w:b w:val="0"/>
          <w:sz w:val="22"/>
        </w:rPr>
      </w:pPr>
      <w:r w:rsidRPr="00952C33">
        <w:rPr>
          <w:b w:val="0"/>
          <w:sz w:val="22"/>
        </w:rPr>
        <w:t xml:space="preserve">A rigorous selection process took place during </w:t>
      </w:r>
      <w:r w:rsidR="00E87BC1" w:rsidRPr="00952C33">
        <w:rPr>
          <w:b w:val="0"/>
          <w:sz w:val="22"/>
        </w:rPr>
        <w:t>202</w:t>
      </w:r>
      <w:r w:rsidR="0064101E" w:rsidRPr="00952C33">
        <w:rPr>
          <w:b w:val="0"/>
          <w:sz w:val="22"/>
        </w:rPr>
        <w:t>1/22</w:t>
      </w:r>
      <w:r w:rsidRPr="00952C33">
        <w:rPr>
          <w:b w:val="0"/>
          <w:sz w:val="22"/>
        </w:rPr>
        <w:t xml:space="preserve"> to recruit a new chief </w:t>
      </w:r>
      <w:r w:rsidR="0064101E" w:rsidRPr="00952C33">
        <w:rPr>
          <w:b w:val="0"/>
          <w:sz w:val="22"/>
        </w:rPr>
        <w:t>executive and a new chief nurse and director of allied health professions</w:t>
      </w:r>
      <w:r w:rsidR="00E87BC1" w:rsidRPr="00952C33">
        <w:rPr>
          <w:b w:val="0"/>
          <w:sz w:val="22"/>
        </w:rPr>
        <w:t xml:space="preserve">. </w:t>
      </w:r>
    </w:p>
    <w:p w14:paraId="3F982E35" w14:textId="0FFF02E9" w:rsidR="00FB67CC" w:rsidRPr="00952C33" w:rsidRDefault="00FB67CC" w:rsidP="00FB6278">
      <w:pPr>
        <w:pStyle w:val="MEHArial"/>
        <w:ind w:left="-567"/>
        <w:jc w:val="both"/>
        <w:rPr>
          <w:sz w:val="22"/>
        </w:rPr>
      </w:pPr>
      <w:r w:rsidRPr="00952C33">
        <w:rPr>
          <w:sz w:val="22"/>
        </w:rPr>
        <w:t xml:space="preserve">The committee is chaired by the trust’s chairman and comprises all </w:t>
      </w:r>
      <w:r w:rsidR="00C0031B" w:rsidRPr="00952C33">
        <w:rPr>
          <w:sz w:val="22"/>
        </w:rPr>
        <w:t xml:space="preserve">independent </w:t>
      </w:r>
      <w:r w:rsidRPr="00952C33">
        <w:rPr>
          <w:sz w:val="22"/>
        </w:rPr>
        <w:t>non-executive directors</w:t>
      </w:r>
      <w:r w:rsidR="00C0031B" w:rsidRPr="00952C33">
        <w:rPr>
          <w:sz w:val="22"/>
        </w:rPr>
        <w:t>.</w:t>
      </w:r>
      <w:r w:rsidRPr="00952C33">
        <w:rPr>
          <w:sz w:val="22"/>
        </w:rPr>
        <w:t xml:space="preserve"> The chief executive and the director of workforce and organisation development attend </w:t>
      </w:r>
      <w:r w:rsidRPr="00952C33">
        <w:rPr>
          <w:sz w:val="22"/>
        </w:rPr>
        <w:lastRenderedPageBreak/>
        <w:t xml:space="preserve">meetings of the remuneration and nominations committee in an advisory capacity. The committee’s decisions are informed by benchmarking information from published reward research, such as the NHS boardroom pay report, and surveys of other trusts’ remuneration for similar posts. </w:t>
      </w:r>
    </w:p>
    <w:p w14:paraId="70F91153" w14:textId="223FC42F" w:rsidR="001E1B26" w:rsidRPr="00952C33" w:rsidRDefault="00FB67CC" w:rsidP="00FB6278">
      <w:pPr>
        <w:pStyle w:val="MEHArial"/>
        <w:ind w:left="-567"/>
        <w:jc w:val="both"/>
        <w:rPr>
          <w:sz w:val="22"/>
        </w:rPr>
      </w:pPr>
      <w:r w:rsidRPr="00952C33">
        <w:rPr>
          <w:sz w:val="22"/>
        </w:rPr>
        <w:t xml:space="preserve">During </w:t>
      </w:r>
      <w:r w:rsidR="0064101E" w:rsidRPr="00952C33">
        <w:rPr>
          <w:sz w:val="22"/>
        </w:rPr>
        <w:t>2021/22</w:t>
      </w:r>
      <w:r w:rsidRPr="00952C33">
        <w:rPr>
          <w:sz w:val="22"/>
        </w:rPr>
        <w:t>, the remuneration and nominations committee met as follows:</w:t>
      </w:r>
    </w:p>
    <w:p w14:paraId="1E1A9FE8" w14:textId="77777777" w:rsidR="001E1B26" w:rsidRPr="00952C33" w:rsidRDefault="001E1B26" w:rsidP="00FB6278">
      <w:pPr>
        <w:pStyle w:val="MEHArial"/>
        <w:rPr>
          <w:color w:val="FF0000"/>
          <w:sz w:val="22"/>
          <w:highlight w:val="yellow"/>
        </w:rPr>
      </w:pPr>
    </w:p>
    <w:tbl>
      <w:tblPr>
        <w:tblW w:w="7930" w:type="dxa"/>
        <w:jc w:val="center"/>
        <w:tblLayout w:type="fixed"/>
        <w:tblCellMar>
          <w:left w:w="0" w:type="dxa"/>
          <w:right w:w="0" w:type="dxa"/>
        </w:tblCellMar>
        <w:tblLook w:val="0000" w:firstRow="0" w:lastRow="0" w:firstColumn="0" w:lastColumn="0" w:noHBand="0" w:noVBand="0"/>
      </w:tblPr>
      <w:tblGrid>
        <w:gridCol w:w="2403"/>
        <w:gridCol w:w="1133"/>
        <w:gridCol w:w="1134"/>
        <w:gridCol w:w="1276"/>
        <w:gridCol w:w="992"/>
        <w:gridCol w:w="992"/>
      </w:tblGrid>
      <w:tr w:rsidR="00A85B6B" w:rsidRPr="00777F4F" w14:paraId="14B686D6" w14:textId="77777777" w:rsidTr="00A85B6B">
        <w:trPr>
          <w:trHeight w:val="60"/>
          <w:jc w:val="center"/>
        </w:trPr>
        <w:tc>
          <w:tcPr>
            <w:tcW w:w="2403" w:type="dxa"/>
            <w:tcBorders>
              <w:top w:val="single" w:sz="16" w:space="0" w:color="000000"/>
              <w:left w:val="single" w:sz="6" w:space="0" w:color="000000"/>
              <w:bottom w:val="single" w:sz="16" w:space="0" w:color="000000"/>
              <w:right w:val="single" w:sz="2" w:space="0" w:color="000000"/>
            </w:tcBorders>
            <w:tcMar>
              <w:top w:w="80" w:type="dxa"/>
              <w:left w:w="80" w:type="dxa"/>
              <w:bottom w:w="80" w:type="dxa"/>
              <w:right w:w="80" w:type="dxa"/>
            </w:tcMar>
          </w:tcPr>
          <w:p w14:paraId="1B5CD2DC" w14:textId="77777777" w:rsidR="00A85B6B" w:rsidRPr="00952C33" w:rsidRDefault="00A85B6B" w:rsidP="00FB6278">
            <w:pPr>
              <w:pStyle w:val="MEHArial"/>
              <w:rPr>
                <w:b/>
                <w:sz w:val="22"/>
              </w:rPr>
            </w:pPr>
            <w:r w:rsidRPr="00952C33">
              <w:rPr>
                <w:b/>
                <w:sz w:val="22"/>
              </w:rPr>
              <w:t>Members / dates</w:t>
            </w:r>
          </w:p>
        </w:tc>
        <w:tc>
          <w:tcPr>
            <w:tcW w:w="1133" w:type="dxa"/>
            <w:tcBorders>
              <w:top w:val="single" w:sz="16" w:space="0" w:color="000000"/>
              <w:left w:val="single" w:sz="2" w:space="0" w:color="000000"/>
              <w:bottom w:val="single" w:sz="16" w:space="0" w:color="000000"/>
              <w:right w:val="single" w:sz="2" w:space="0" w:color="000000"/>
            </w:tcBorders>
            <w:tcMar>
              <w:top w:w="80" w:type="dxa"/>
              <w:left w:w="80" w:type="dxa"/>
              <w:bottom w:w="80" w:type="dxa"/>
              <w:right w:w="80" w:type="dxa"/>
            </w:tcMar>
          </w:tcPr>
          <w:p w14:paraId="5312014F" w14:textId="34C68CDD" w:rsidR="00A85B6B" w:rsidRPr="00952C33" w:rsidRDefault="00A85B6B" w:rsidP="00FB6278">
            <w:pPr>
              <w:pStyle w:val="MEHArial"/>
              <w:jc w:val="center"/>
              <w:rPr>
                <w:b/>
                <w:sz w:val="22"/>
              </w:rPr>
            </w:pPr>
            <w:r w:rsidRPr="00952C33">
              <w:rPr>
                <w:b/>
                <w:sz w:val="22"/>
              </w:rPr>
              <w:t>28.</w:t>
            </w:r>
            <w:r w:rsidRPr="00952C33">
              <w:rPr>
                <w:rFonts w:cs="Arial"/>
                <w:b/>
                <w:sz w:val="22"/>
                <w:szCs w:val="22"/>
              </w:rPr>
              <w:t>4</w:t>
            </w:r>
            <w:r w:rsidRPr="00952C33">
              <w:rPr>
                <w:b/>
                <w:sz w:val="22"/>
              </w:rPr>
              <w:t>.21</w:t>
            </w:r>
          </w:p>
        </w:tc>
        <w:tc>
          <w:tcPr>
            <w:tcW w:w="1134" w:type="dxa"/>
            <w:tcBorders>
              <w:top w:val="single" w:sz="16" w:space="0" w:color="000000"/>
              <w:left w:val="single" w:sz="2" w:space="0" w:color="000000"/>
              <w:bottom w:val="single" w:sz="16" w:space="0" w:color="000000"/>
              <w:right w:val="single" w:sz="2" w:space="0" w:color="000000"/>
            </w:tcBorders>
          </w:tcPr>
          <w:p w14:paraId="641DE7E8" w14:textId="47AF1778" w:rsidR="00A85B6B" w:rsidRPr="00952C33" w:rsidRDefault="00A85B6B" w:rsidP="00FB6278">
            <w:pPr>
              <w:pStyle w:val="MEHArial"/>
              <w:jc w:val="center"/>
              <w:rPr>
                <w:b/>
                <w:sz w:val="22"/>
              </w:rPr>
            </w:pPr>
            <w:r w:rsidRPr="00952C33">
              <w:rPr>
                <w:b/>
                <w:sz w:val="22"/>
              </w:rPr>
              <w:t>27.</w:t>
            </w:r>
            <w:r w:rsidRPr="00952C33">
              <w:rPr>
                <w:rFonts w:cs="Arial"/>
                <w:b/>
                <w:sz w:val="22"/>
                <w:szCs w:val="22"/>
              </w:rPr>
              <w:t>5</w:t>
            </w:r>
            <w:r w:rsidRPr="00952C33">
              <w:rPr>
                <w:b/>
                <w:sz w:val="22"/>
              </w:rPr>
              <w:t>.21</w:t>
            </w:r>
          </w:p>
        </w:tc>
        <w:tc>
          <w:tcPr>
            <w:tcW w:w="1276" w:type="dxa"/>
            <w:tcBorders>
              <w:top w:val="single" w:sz="16" w:space="0" w:color="000000"/>
              <w:left w:val="single" w:sz="2" w:space="0" w:color="000000"/>
              <w:bottom w:val="single" w:sz="16" w:space="0" w:color="000000"/>
              <w:right w:val="single" w:sz="2" w:space="0" w:color="000000"/>
            </w:tcBorders>
            <w:tcMar>
              <w:top w:w="80" w:type="dxa"/>
              <w:left w:w="80" w:type="dxa"/>
              <w:bottom w:w="80" w:type="dxa"/>
              <w:right w:w="80" w:type="dxa"/>
            </w:tcMar>
          </w:tcPr>
          <w:p w14:paraId="74C92729" w14:textId="3D602FA3" w:rsidR="00A85B6B" w:rsidRPr="00952C33" w:rsidRDefault="00A85B6B" w:rsidP="00FB6278">
            <w:pPr>
              <w:pStyle w:val="MEHArial"/>
              <w:jc w:val="center"/>
              <w:rPr>
                <w:b/>
                <w:sz w:val="22"/>
              </w:rPr>
            </w:pPr>
            <w:r w:rsidRPr="00952C33">
              <w:rPr>
                <w:b/>
                <w:sz w:val="22"/>
              </w:rPr>
              <w:t>23.</w:t>
            </w:r>
            <w:r w:rsidRPr="00952C33">
              <w:rPr>
                <w:rFonts w:cs="Arial"/>
                <w:b/>
                <w:sz w:val="22"/>
                <w:szCs w:val="22"/>
              </w:rPr>
              <w:t>9</w:t>
            </w:r>
            <w:r w:rsidRPr="00952C33">
              <w:rPr>
                <w:b/>
                <w:sz w:val="22"/>
              </w:rPr>
              <w:t>.21</w:t>
            </w:r>
          </w:p>
        </w:tc>
        <w:tc>
          <w:tcPr>
            <w:tcW w:w="992" w:type="dxa"/>
            <w:tcBorders>
              <w:top w:val="single" w:sz="16" w:space="0" w:color="000000"/>
              <w:left w:val="single" w:sz="2" w:space="0" w:color="000000"/>
              <w:bottom w:val="single" w:sz="16" w:space="0" w:color="000000"/>
              <w:right w:val="single" w:sz="2" w:space="0" w:color="000000"/>
            </w:tcBorders>
          </w:tcPr>
          <w:p w14:paraId="1F9026AF" w14:textId="4261B385" w:rsidR="00A85B6B" w:rsidRPr="00952C33" w:rsidRDefault="00A85B6B" w:rsidP="00FB6278">
            <w:pPr>
              <w:pStyle w:val="MEHArial"/>
              <w:jc w:val="center"/>
              <w:rPr>
                <w:b/>
                <w:sz w:val="22"/>
              </w:rPr>
            </w:pPr>
            <w:r w:rsidRPr="00952C33">
              <w:rPr>
                <w:b/>
                <w:sz w:val="22"/>
              </w:rPr>
              <w:t>27.</w:t>
            </w:r>
            <w:r w:rsidRPr="00952C33">
              <w:rPr>
                <w:rFonts w:cs="Arial"/>
                <w:b/>
                <w:sz w:val="22"/>
                <w:szCs w:val="22"/>
              </w:rPr>
              <w:t>1</w:t>
            </w:r>
            <w:r w:rsidRPr="00952C33">
              <w:rPr>
                <w:b/>
                <w:sz w:val="22"/>
              </w:rPr>
              <w:t>.22</w:t>
            </w:r>
          </w:p>
        </w:tc>
        <w:tc>
          <w:tcPr>
            <w:tcW w:w="992" w:type="dxa"/>
            <w:tcBorders>
              <w:top w:val="single" w:sz="16" w:space="0" w:color="000000"/>
              <w:left w:val="single" w:sz="2" w:space="0" w:color="000000"/>
              <w:bottom w:val="single" w:sz="16" w:space="0" w:color="000000"/>
              <w:right w:val="single" w:sz="6" w:space="0" w:color="000000"/>
            </w:tcBorders>
            <w:tcMar>
              <w:top w:w="80" w:type="dxa"/>
              <w:left w:w="80" w:type="dxa"/>
              <w:bottom w:w="80" w:type="dxa"/>
              <w:right w:w="80" w:type="dxa"/>
            </w:tcMar>
          </w:tcPr>
          <w:p w14:paraId="63F04C93" w14:textId="68C66EA9" w:rsidR="00A85B6B" w:rsidRPr="00952C33" w:rsidRDefault="00A85B6B" w:rsidP="00FB6278">
            <w:pPr>
              <w:pStyle w:val="MEHArial"/>
              <w:jc w:val="center"/>
              <w:rPr>
                <w:b/>
                <w:sz w:val="22"/>
              </w:rPr>
            </w:pPr>
            <w:r w:rsidRPr="00952C33">
              <w:rPr>
                <w:b/>
                <w:sz w:val="22"/>
              </w:rPr>
              <w:t>Totals</w:t>
            </w:r>
          </w:p>
        </w:tc>
      </w:tr>
      <w:tr w:rsidR="00A85B6B" w:rsidRPr="00777F4F" w14:paraId="1F8CE36E" w14:textId="77777777" w:rsidTr="00A85B6B">
        <w:trPr>
          <w:trHeight w:val="60"/>
          <w:jc w:val="center"/>
        </w:trPr>
        <w:tc>
          <w:tcPr>
            <w:tcW w:w="2403" w:type="dxa"/>
            <w:tcBorders>
              <w:top w:val="single" w:sz="16" w:space="0" w:color="000000"/>
              <w:left w:val="single" w:sz="6" w:space="0" w:color="000000"/>
              <w:bottom w:val="single" w:sz="4" w:space="0" w:color="000000"/>
              <w:right w:val="single" w:sz="4" w:space="0" w:color="000000"/>
            </w:tcBorders>
            <w:tcMar>
              <w:top w:w="80" w:type="dxa"/>
              <w:left w:w="80" w:type="dxa"/>
              <w:bottom w:w="80" w:type="dxa"/>
              <w:right w:w="80" w:type="dxa"/>
            </w:tcMar>
          </w:tcPr>
          <w:p w14:paraId="395F74A4" w14:textId="77777777" w:rsidR="00A85B6B" w:rsidRPr="00952C33" w:rsidRDefault="00A85B6B" w:rsidP="00FB6278">
            <w:pPr>
              <w:pStyle w:val="MEHArial"/>
              <w:rPr>
                <w:sz w:val="22"/>
              </w:rPr>
            </w:pPr>
            <w:r w:rsidRPr="00952C33">
              <w:rPr>
                <w:sz w:val="22"/>
              </w:rPr>
              <w:t>Tessa Green</w:t>
            </w:r>
          </w:p>
        </w:tc>
        <w:tc>
          <w:tcPr>
            <w:tcW w:w="1133" w:type="dxa"/>
            <w:tcBorders>
              <w:top w:val="single" w:sz="16"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0A9A90" w14:textId="3026F4D9" w:rsidR="00A85B6B" w:rsidRPr="00952C33" w:rsidRDefault="00A85B6B" w:rsidP="00FB6278">
            <w:pPr>
              <w:pStyle w:val="MEHArial"/>
              <w:jc w:val="center"/>
              <w:rPr>
                <w:sz w:val="22"/>
              </w:rPr>
            </w:pPr>
            <w:r w:rsidRPr="00952C33">
              <w:rPr>
                <w:rFonts w:hint="eastAsia"/>
                <w:sz w:val="22"/>
              </w:rPr>
              <w:t>√</w:t>
            </w:r>
          </w:p>
        </w:tc>
        <w:tc>
          <w:tcPr>
            <w:tcW w:w="1134" w:type="dxa"/>
            <w:tcBorders>
              <w:top w:val="single" w:sz="16" w:space="0" w:color="000000"/>
              <w:left w:val="single" w:sz="4" w:space="0" w:color="000000"/>
              <w:bottom w:val="single" w:sz="4" w:space="0" w:color="000000"/>
              <w:right w:val="single" w:sz="4" w:space="0" w:color="000000"/>
            </w:tcBorders>
          </w:tcPr>
          <w:p w14:paraId="189D107C" w14:textId="0D35952B" w:rsidR="00A85B6B" w:rsidRPr="00952C33" w:rsidRDefault="00A85B6B" w:rsidP="00FB6278">
            <w:pPr>
              <w:pStyle w:val="MEHArial"/>
              <w:jc w:val="center"/>
              <w:rPr>
                <w:sz w:val="22"/>
              </w:rPr>
            </w:pPr>
            <w:r w:rsidRPr="00952C33">
              <w:rPr>
                <w:rFonts w:hint="eastAsia"/>
                <w:sz w:val="22"/>
              </w:rPr>
              <w:t>√</w:t>
            </w:r>
          </w:p>
        </w:tc>
        <w:tc>
          <w:tcPr>
            <w:tcW w:w="1276" w:type="dxa"/>
            <w:tcBorders>
              <w:top w:val="single" w:sz="16"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D837C5" w14:textId="3CB398EB" w:rsidR="00A85B6B" w:rsidRPr="00952C33" w:rsidRDefault="00A85B6B" w:rsidP="00FB6278">
            <w:pPr>
              <w:pStyle w:val="MEHArial"/>
              <w:jc w:val="center"/>
              <w:rPr>
                <w:sz w:val="22"/>
              </w:rPr>
            </w:pPr>
            <w:r w:rsidRPr="00952C33">
              <w:rPr>
                <w:rFonts w:hint="eastAsia"/>
                <w:sz w:val="22"/>
              </w:rPr>
              <w:t>√</w:t>
            </w:r>
          </w:p>
        </w:tc>
        <w:tc>
          <w:tcPr>
            <w:tcW w:w="992" w:type="dxa"/>
            <w:tcBorders>
              <w:top w:val="single" w:sz="16" w:space="0" w:color="000000"/>
              <w:left w:val="single" w:sz="4" w:space="0" w:color="000000"/>
              <w:bottom w:val="single" w:sz="4" w:space="0" w:color="000000"/>
              <w:right w:val="single" w:sz="4" w:space="0" w:color="000000"/>
            </w:tcBorders>
          </w:tcPr>
          <w:p w14:paraId="4E6E89F4" w14:textId="359FA7BB" w:rsidR="00A85B6B" w:rsidRPr="00952C33" w:rsidRDefault="003D3845" w:rsidP="00FB6278">
            <w:pPr>
              <w:pStyle w:val="MEHArial"/>
              <w:jc w:val="center"/>
              <w:rPr>
                <w:b/>
                <w:sz w:val="22"/>
              </w:rPr>
            </w:pPr>
            <w:r w:rsidRPr="00952C33">
              <w:rPr>
                <w:rFonts w:hint="eastAsia"/>
                <w:sz w:val="22"/>
              </w:rPr>
              <w:t>√</w:t>
            </w:r>
          </w:p>
        </w:tc>
        <w:tc>
          <w:tcPr>
            <w:tcW w:w="992" w:type="dxa"/>
            <w:tcBorders>
              <w:top w:val="single" w:sz="16" w:space="0" w:color="000000"/>
              <w:left w:val="single" w:sz="4" w:space="0" w:color="000000"/>
              <w:bottom w:val="single" w:sz="4" w:space="0" w:color="000000"/>
              <w:right w:val="single" w:sz="6" w:space="0" w:color="000000"/>
            </w:tcBorders>
            <w:tcMar>
              <w:top w:w="80" w:type="dxa"/>
              <w:left w:w="80" w:type="dxa"/>
              <w:bottom w:w="80" w:type="dxa"/>
              <w:right w:w="80" w:type="dxa"/>
            </w:tcMar>
          </w:tcPr>
          <w:p w14:paraId="5CE02F8C" w14:textId="37AD4728" w:rsidR="00A85B6B" w:rsidRPr="00952C33" w:rsidRDefault="00A85B6B" w:rsidP="00FB6278">
            <w:pPr>
              <w:pStyle w:val="MEHArial"/>
              <w:jc w:val="center"/>
              <w:rPr>
                <w:b/>
                <w:sz w:val="22"/>
              </w:rPr>
            </w:pPr>
            <w:r w:rsidRPr="00952C33">
              <w:rPr>
                <w:b/>
                <w:sz w:val="22"/>
              </w:rPr>
              <w:t>4</w:t>
            </w:r>
          </w:p>
        </w:tc>
      </w:tr>
      <w:tr w:rsidR="00A85B6B" w:rsidRPr="00777F4F" w14:paraId="5CDDE3EC" w14:textId="77777777" w:rsidTr="00A85B6B">
        <w:trPr>
          <w:trHeight w:val="60"/>
          <w:jc w:val="center"/>
        </w:trPr>
        <w:tc>
          <w:tcPr>
            <w:tcW w:w="2403"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14:paraId="7AFDB711" w14:textId="6DC33B22" w:rsidR="00A85B6B" w:rsidRPr="00952C33" w:rsidRDefault="00A85B6B" w:rsidP="00FB6278">
            <w:pPr>
              <w:pStyle w:val="MEHArial"/>
              <w:rPr>
                <w:sz w:val="22"/>
              </w:rPr>
            </w:pPr>
            <w:r w:rsidRPr="00952C33">
              <w:rPr>
                <w:sz w:val="22"/>
              </w:rPr>
              <w:t>Adrian Morris</w:t>
            </w:r>
          </w:p>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650BA5" w14:textId="62345C57" w:rsidR="00A85B6B" w:rsidRPr="00952C33" w:rsidRDefault="00A85B6B" w:rsidP="00FB6278">
            <w:pPr>
              <w:pStyle w:val="MEHArial"/>
              <w:jc w:val="center"/>
              <w:rPr>
                <w:sz w:val="22"/>
              </w:rPr>
            </w:pPr>
            <w:r w:rsidRPr="00952C33">
              <w:rPr>
                <w:rFonts w:hint="eastAsia"/>
                <w:sz w:val="22"/>
              </w:rPr>
              <w:t>√</w:t>
            </w:r>
          </w:p>
        </w:tc>
        <w:tc>
          <w:tcPr>
            <w:tcW w:w="1134" w:type="dxa"/>
            <w:tcBorders>
              <w:top w:val="single" w:sz="4" w:space="0" w:color="000000"/>
              <w:left w:val="single" w:sz="4" w:space="0" w:color="000000"/>
              <w:bottom w:val="single" w:sz="4" w:space="0" w:color="000000"/>
              <w:right w:val="single" w:sz="4" w:space="0" w:color="000000"/>
            </w:tcBorders>
          </w:tcPr>
          <w:p w14:paraId="51B46556" w14:textId="6CB88EE7" w:rsidR="00A85B6B" w:rsidRPr="00952C33" w:rsidRDefault="00A85B6B" w:rsidP="00FB6278">
            <w:pPr>
              <w:pStyle w:val="MEHArial"/>
              <w:jc w:val="center"/>
              <w:rPr>
                <w:sz w:val="22"/>
              </w:rPr>
            </w:pPr>
            <w:r w:rsidRPr="00952C33">
              <w:rPr>
                <w:rFonts w:hint="eastAsia"/>
                <w:sz w:val="22"/>
              </w:rPr>
              <w:t>√</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7CBE8A" w14:textId="45D39075" w:rsidR="00A85B6B" w:rsidRPr="00952C33" w:rsidRDefault="00A85B6B" w:rsidP="00FB6278">
            <w:pPr>
              <w:pStyle w:val="MEHArial"/>
              <w:jc w:val="center"/>
              <w:rPr>
                <w:sz w:val="22"/>
              </w:rPr>
            </w:pPr>
            <w:r w:rsidRPr="00952C33">
              <w:rPr>
                <w:rFonts w:hint="eastAsia"/>
                <w:sz w:val="22"/>
              </w:rPr>
              <w:t>√</w:t>
            </w:r>
          </w:p>
        </w:tc>
        <w:tc>
          <w:tcPr>
            <w:tcW w:w="992" w:type="dxa"/>
            <w:tcBorders>
              <w:top w:val="single" w:sz="4" w:space="0" w:color="000000"/>
              <w:left w:val="single" w:sz="4" w:space="0" w:color="000000"/>
              <w:bottom w:val="single" w:sz="4" w:space="0" w:color="000000"/>
              <w:right w:val="single" w:sz="4" w:space="0" w:color="000000"/>
            </w:tcBorders>
          </w:tcPr>
          <w:p w14:paraId="3997C987" w14:textId="7B764710" w:rsidR="00A85B6B" w:rsidRPr="00952C33" w:rsidRDefault="003D3845" w:rsidP="00FB6278">
            <w:pPr>
              <w:pStyle w:val="MEHArial"/>
              <w:jc w:val="center"/>
              <w:rPr>
                <w:b/>
                <w:sz w:val="22"/>
              </w:rPr>
            </w:pPr>
            <w:r w:rsidRPr="00952C33">
              <w:rPr>
                <w:rFonts w:hint="eastAsia"/>
                <w:sz w:val="22"/>
              </w:rPr>
              <w:t>√</w:t>
            </w:r>
          </w:p>
        </w:tc>
        <w:tc>
          <w:tcPr>
            <w:tcW w:w="992"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14:paraId="31A688E1" w14:textId="4392E09C" w:rsidR="00A85B6B" w:rsidRPr="00952C33" w:rsidRDefault="00A85B6B" w:rsidP="00FB6278">
            <w:pPr>
              <w:pStyle w:val="MEHArial"/>
              <w:jc w:val="center"/>
              <w:rPr>
                <w:b/>
                <w:sz w:val="22"/>
              </w:rPr>
            </w:pPr>
            <w:r w:rsidRPr="00952C33">
              <w:rPr>
                <w:b/>
                <w:sz w:val="22"/>
              </w:rPr>
              <w:t>4</w:t>
            </w:r>
          </w:p>
        </w:tc>
      </w:tr>
      <w:tr w:rsidR="00A85B6B" w:rsidRPr="00777F4F" w14:paraId="554B2B35" w14:textId="77777777" w:rsidTr="00A85B6B">
        <w:trPr>
          <w:trHeight w:val="60"/>
          <w:jc w:val="center"/>
        </w:trPr>
        <w:tc>
          <w:tcPr>
            <w:tcW w:w="2403"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14:paraId="477DB9D0" w14:textId="77777777" w:rsidR="00A85B6B" w:rsidRPr="00952C33" w:rsidRDefault="00A85B6B" w:rsidP="00FB6278">
            <w:pPr>
              <w:pStyle w:val="MEHArial"/>
              <w:rPr>
                <w:sz w:val="22"/>
              </w:rPr>
            </w:pPr>
            <w:r w:rsidRPr="00952C33">
              <w:rPr>
                <w:sz w:val="22"/>
              </w:rPr>
              <w:t>Ros Given-Wilson</w:t>
            </w:r>
          </w:p>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4E3BAD" w14:textId="04D4FA60" w:rsidR="00A85B6B" w:rsidRPr="00952C33" w:rsidRDefault="00A85B6B" w:rsidP="00FB6278">
            <w:pPr>
              <w:pStyle w:val="MEHArial"/>
              <w:jc w:val="center"/>
              <w:rPr>
                <w:sz w:val="22"/>
              </w:rPr>
            </w:pPr>
            <w:r w:rsidRPr="00952C33">
              <w:rPr>
                <w:rFonts w:hint="eastAsia"/>
                <w:sz w:val="22"/>
              </w:rPr>
              <w:t>√</w:t>
            </w:r>
          </w:p>
        </w:tc>
        <w:tc>
          <w:tcPr>
            <w:tcW w:w="1134" w:type="dxa"/>
            <w:tcBorders>
              <w:top w:val="single" w:sz="4" w:space="0" w:color="000000"/>
              <w:left w:val="single" w:sz="4" w:space="0" w:color="000000"/>
              <w:bottom w:val="single" w:sz="4" w:space="0" w:color="000000"/>
              <w:right w:val="single" w:sz="4" w:space="0" w:color="000000"/>
            </w:tcBorders>
          </w:tcPr>
          <w:p w14:paraId="74757B44" w14:textId="43CD2974" w:rsidR="00A85B6B" w:rsidRPr="00952C33" w:rsidRDefault="00A85B6B" w:rsidP="00FB6278">
            <w:pPr>
              <w:pStyle w:val="MEHArial"/>
              <w:jc w:val="center"/>
              <w:rPr>
                <w:sz w:val="22"/>
              </w:rPr>
            </w:pPr>
            <w:r w:rsidRPr="00952C33">
              <w:rPr>
                <w:rFonts w:hint="eastAsia"/>
                <w:sz w:val="22"/>
              </w:rPr>
              <w:t>√</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5430E3" w14:textId="34427035" w:rsidR="00A85B6B" w:rsidRPr="00952C33" w:rsidRDefault="00A85B6B" w:rsidP="00FB6278">
            <w:pPr>
              <w:pStyle w:val="MEHArial"/>
              <w:jc w:val="center"/>
              <w:rPr>
                <w:sz w:val="22"/>
              </w:rPr>
            </w:pPr>
            <w:r w:rsidRPr="00952C33">
              <w:rPr>
                <w:rFonts w:hint="eastAsia"/>
                <w:sz w:val="22"/>
              </w:rPr>
              <w:t>√</w:t>
            </w:r>
          </w:p>
        </w:tc>
        <w:tc>
          <w:tcPr>
            <w:tcW w:w="992" w:type="dxa"/>
            <w:tcBorders>
              <w:top w:val="single" w:sz="4" w:space="0" w:color="000000"/>
              <w:left w:val="single" w:sz="4" w:space="0" w:color="000000"/>
              <w:bottom w:val="single" w:sz="4" w:space="0" w:color="000000"/>
              <w:right w:val="single" w:sz="4" w:space="0" w:color="000000"/>
            </w:tcBorders>
          </w:tcPr>
          <w:p w14:paraId="1CBA276B" w14:textId="77777777" w:rsidR="00A85B6B" w:rsidRPr="00952C33" w:rsidRDefault="00A85B6B" w:rsidP="00FB6278">
            <w:pPr>
              <w:pStyle w:val="MEHArial"/>
              <w:jc w:val="center"/>
              <w:rPr>
                <w:b/>
                <w:sz w:val="22"/>
              </w:rPr>
            </w:pPr>
          </w:p>
        </w:tc>
        <w:tc>
          <w:tcPr>
            <w:tcW w:w="992"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14:paraId="21E47AE3" w14:textId="736D5FAA" w:rsidR="00A85B6B" w:rsidRPr="00952C33" w:rsidRDefault="003D3845" w:rsidP="00FB6278">
            <w:pPr>
              <w:pStyle w:val="MEHArial"/>
              <w:jc w:val="center"/>
              <w:rPr>
                <w:b/>
                <w:sz w:val="22"/>
              </w:rPr>
            </w:pPr>
            <w:r w:rsidRPr="00952C33">
              <w:rPr>
                <w:b/>
                <w:sz w:val="22"/>
              </w:rPr>
              <w:t>3</w:t>
            </w:r>
          </w:p>
        </w:tc>
      </w:tr>
      <w:tr w:rsidR="00A85B6B" w:rsidRPr="00777F4F" w14:paraId="734B2F93" w14:textId="77777777" w:rsidTr="00A85B6B">
        <w:trPr>
          <w:trHeight w:val="60"/>
          <w:jc w:val="center"/>
        </w:trPr>
        <w:tc>
          <w:tcPr>
            <w:tcW w:w="2403"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14:paraId="3FC57ACD" w14:textId="77777777" w:rsidR="00A85B6B" w:rsidRPr="00952C33" w:rsidRDefault="00A85B6B" w:rsidP="00FB6278">
            <w:pPr>
              <w:pStyle w:val="MEHArial"/>
              <w:rPr>
                <w:sz w:val="22"/>
              </w:rPr>
            </w:pPr>
            <w:r w:rsidRPr="00952C33">
              <w:rPr>
                <w:sz w:val="22"/>
              </w:rPr>
              <w:t>Nick Hardie</w:t>
            </w:r>
          </w:p>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04EF8E" w14:textId="4B842DE4" w:rsidR="00A85B6B" w:rsidRPr="00952C33" w:rsidRDefault="00A85B6B" w:rsidP="00FB6278">
            <w:pPr>
              <w:pStyle w:val="MEHArial"/>
              <w:jc w:val="center"/>
              <w:rPr>
                <w:sz w:val="22"/>
              </w:rPr>
            </w:pPr>
            <w:r w:rsidRPr="00952C33">
              <w:rPr>
                <w:rFonts w:hint="eastAsia"/>
                <w:sz w:val="22"/>
              </w:rPr>
              <w:t>√</w:t>
            </w:r>
          </w:p>
        </w:tc>
        <w:tc>
          <w:tcPr>
            <w:tcW w:w="1134" w:type="dxa"/>
            <w:tcBorders>
              <w:top w:val="single" w:sz="4" w:space="0" w:color="000000"/>
              <w:left w:val="single" w:sz="4" w:space="0" w:color="000000"/>
              <w:bottom w:val="single" w:sz="4" w:space="0" w:color="000000"/>
              <w:right w:val="single" w:sz="4" w:space="0" w:color="000000"/>
            </w:tcBorders>
          </w:tcPr>
          <w:p w14:paraId="526CF430" w14:textId="222147CE" w:rsidR="00A85B6B" w:rsidRPr="00952C33" w:rsidRDefault="00A85B6B" w:rsidP="00FB6278">
            <w:pPr>
              <w:pStyle w:val="MEHArial"/>
              <w:jc w:val="center"/>
              <w:rPr>
                <w:sz w:val="22"/>
              </w:rPr>
            </w:pPr>
            <w:r w:rsidRPr="00952C33">
              <w:rPr>
                <w:rFonts w:hint="eastAsia"/>
                <w:sz w:val="22"/>
              </w:rPr>
              <w:t>√</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66CF56" w14:textId="039F643C" w:rsidR="00A85B6B" w:rsidRPr="00952C33" w:rsidRDefault="00A85B6B" w:rsidP="00FB6278">
            <w:pPr>
              <w:pStyle w:val="MEHArial"/>
              <w:jc w:val="center"/>
              <w:rPr>
                <w:sz w:val="22"/>
              </w:rPr>
            </w:pPr>
            <w:r w:rsidRPr="00952C33">
              <w:rPr>
                <w:rFonts w:hint="eastAsia"/>
                <w:sz w:val="22"/>
              </w:rPr>
              <w:t>√</w:t>
            </w:r>
          </w:p>
        </w:tc>
        <w:tc>
          <w:tcPr>
            <w:tcW w:w="992" w:type="dxa"/>
            <w:tcBorders>
              <w:top w:val="single" w:sz="4" w:space="0" w:color="000000"/>
              <w:left w:val="single" w:sz="4" w:space="0" w:color="000000"/>
              <w:bottom w:val="single" w:sz="4" w:space="0" w:color="000000"/>
              <w:right w:val="single" w:sz="4" w:space="0" w:color="000000"/>
            </w:tcBorders>
          </w:tcPr>
          <w:p w14:paraId="50D01733" w14:textId="7FD6F6F6" w:rsidR="00A85B6B" w:rsidRPr="00952C33" w:rsidRDefault="003D3845" w:rsidP="00FB6278">
            <w:pPr>
              <w:pStyle w:val="MEHArial"/>
              <w:jc w:val="center"/>
              <w:rPr>
                <w:b/>
                <w:sz w:val="22"/>
              </w:rPr>
            </w:pPr>
            <w:r w:rsidRPr="00952C33">
              <w:rPr>
                <w:rFonts w:hint="eastAsia"/>
                <w:sz w:val="22"/>
              </w:rPr>
              <w:t>√</w:t>
            </w:r>
          </w:p>
        </w:tc>
        <w:tc>
          <w:tcPr>
            <w:tcW w:w="992"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14:paraId="412CEB49" w14:textId="64A4BB92" w:rsidR="00A85B6B" w:rsidRPr="00952C33" w:rsidRDefault="003D3845" w:rsidP="00FB6278">
            <w:pPr>
              <w:pStyle w:val="MEHArial"/>
              <w:jc w:val="center"/>
              <w:rPr>
                <w:b/>
                <w:sz w:val="22"/>
              </w:rPr>
            </w:pPr>
            <w:r w:rsidRPr="00952C33">
              <w:rPr>
                <w:b/>
                <w:sz w:val="22"/>
              </w:rPr>
              <w:t>4</w:t>
            </w:r>
          </w:p>
        </w:tc>
      </w:tr>
      <w:tr w:rsidR="00A85B6B" w:rsidRPr="00777F4F" w14:paraId="414CD09D" w14:textId="77777777" w:rsidTr="00A85B6B">
        <w:trPr>
          <w:trHeight w:val="60"/>
          <w:jc w:val="center"/>
        </w:trPr>
        <w:tc>
          <w:tcPr>
            <w:tcW w:w="2403"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14:paraId="266D155D" w14:textId="77777777" w:rsidR="00A85B6B" w:rsidRPr="00952C33" w:rsidRDefault="00A85B6B" w:rsidP="00FB6278">
            <w:pPr>
              <w:pStyle w:val="MEHArial"/>
              <w:rPr>
                <w:sz w:val="22"/>
              </w:rPr>
            </w:pPr>
            <w:r w:rsidRPr="00952C33">
              <w:rPr>
                <w:sz w:val="22"/>
              </w:rPr>
              <w:t>David Hills</w:t>
            </w:r>
          </w:p>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D9471C" w14:textId="5F1AECB4" w:rsidR="00A85B6B" w:rsidRPr="00952C33" w:rsidRDefault="00A85B6B" w:rsidP="00FB6278">
            <w:pPr>
              <w:pStyle w:val="MEHArial"/>
              <w:jc w:val="center"/>
              <w:rPr>
                <w:sz w:val="22"/>
              </w:rPr>
            </w:pPr>
            <w:r w:rsidRPr="00952C33">
              <w:rPr>
                <w:rFonts w:hint="eastAsia"/>
                <w:sz w:val="22"/>
              </w:rPr>
              <w:t>√</w:t>
            </w:r>
          </w:p>
        </w:tc>
        <w:tc>
          <w:tcPr>
            <w:tcW w:w="1134" w:type="dxa"/>
            <w:tcBorders>
              <w:top w:val="single" w:sz="4" w:space="0" w:color="000000"/>
              <w:left w:val="single" w:sz="4" w:space="0" w:color="000000"/>
              <w:bottom w:val="single" w:sz="4" w:space="0" w:color="000000"/>
              <w:right w:val="single" w:sz="4" w:space="0" w:color="000000"/>
            </w:tcBorders>
          </w:tcPr>
          <w:p w14:paraId="1D217A72" w14:textId="3E8412E6" w:rsidR="00A85B6B" w:rsidRPr="00952C33" w:rsidRDefault="00A85B6B" w:rsidP="00FB6278">
            <w:pPr>
              <w:pStyle w:val="MEHArial"/>
              <w:jc w:val="center"/>
              <w:rPr>
                <w:sz w:val="22"/>
              </w:rPr>
            </w:pPr>
            <w:r w:rsidRPr="00952C33">
              <w:rPr>
                <w:rFonts w:hint="eastAsia"/>
                <w:sz w:val="22"/>
              </w:rPr>
              <w:t>√</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89CB19" w14:textId="1CC4E32D" w:rsidR="00A85B6B" w:rsidRPr="00952C33" w:rsidRDefault="00A85B6B" w:rsidP="00FB6278">
            <w:pPr>
              <w:pStyle w:val="MEHArial"/>
              <w:jc w:val="center"/>
              <w:rPr>
                <w:sz w:val="22"/>
              </w:rPr>
            </w:pPr>
            <w:r w:rsidRPr="00952C33">
              <w:rPr>
                <w:rFonts w:hint="eastAsia"/>
                <w:sz w:val="22"/>
              </w:rPr>
              <w:t>√</w:t>
            </w:r>
          </w:p>
        </w:tc>
        <w:tc>
          <w:tcPr>
            <w:tcW w:w="992" w:type="dxa"/>
            <w:tcBorders>
              <w:top w:val="single" w:sz="4" w:space="0" w:color="000000"/>
              <w:left w:val="single" w:sz="4" w:space="0" w:color="000000"/>
              <w:bottom w:val="single" w:sz="4" w:space="0" w:color="000000"/>
              <w:right w:val="single" w:sz="4" w:space="0" w:color="000000"/>
            </w:tcBorders>
          </w:tcPr>
          <w:p w14:paraId="38FFA3EF" w14:textId="7C4EED55" w:rsidR="00A85B6B" w:rsidRPr="00952C33" w:rsidRDefault="003D3845" w:rsidP="00FB6278">
            <w:pPr>
              <w:pStyle w:val="MEHArial"/>
              <w:jc w:val="center"/>
              <w:rPr>
                <w:b/>
                <w:sz w:val="22"/>
              </w:rPr>
            </w:pPr>
            <w:r w:rsidRPr="00952C33">
              <w:rPr>
                <w:rFonts w:hint="eastAsia"/>
                <w:sz w:val="22"/>
              </w:rPr>
              <w:t>√</w:t>
            </w:r>
          </w:p>
        </w:tc>
        <w:tc>
          <w:tcPr>
            <w:tcW w:w="992"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14:paraId="0C415454" w14:textId="3556E31B" w:rsidR="00A85B6B" w:rsidRPr="00952C33" w:rsidRDefault="003D3845" w:rsidP="00FB6278">
            <w:pPr>
              <w:pStyle w:val="MEHArial"/>
              <w:jc w:val="center"/>
              <w:rPr>
                <w:b/>
                <w:sz w:val="22"/>
              </w:rPr>
            </w:pPr>
            <w:r w:rsidRPr="00952C33">
              <w:rPr>
                <w:b/>
                <w:sz w:val="22"/>
              </w:rPr>
              <w:t>4</w:t>
            </w:r>
          </w:p>
        </w:tc>
      </w:tr>
      <w:tr w:rsidR="00A85B6B" w:rsidRPr="00777F4F" w14:paraId="1F5C56E1" w14:textId="77777777" w:rsidTr="00A85B6B">
        <w:trPr>
          <w:trHeight w:val="60"/>
          <w:jc w:val="center"/>
        </w:trPr>
        <w:tc>
          <w:tcPr>
            <w:tcW w:w="2403"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14:paraId="3AEBF66B" w14:textId="77777777" w:rsidR="00A85B6B" w:rsidRPr="00952C33" w:rsidRDefault="00A85B6B" w:rsidP="00FB6278">
            <w:pPr>
              <w:pStyle w:val="MEHArial"/>
              <w:rPr>
                <w:sz w:val="22"/>
              </w:rPr>
            </w:pPr>
            <w:r w:rsidRPr="00952C33">
              <w:rPr>
                <w:sz w:val="22"/>
              </w:rPr>
              <w:t>Sumita Singha</w:t>
            </w:r>
          </w:p>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59497B" w14:textId="6649B8C9" w:rsidR="00A85B6B" w:rsidRPr="00952C33" w:rsidRDefault="00A85B6B" w:rsidP="00FB6278">
            <w:pPr>
              <w:pStyle w:val="MEHArial"/>
              <w:jc w:val="center"/>
              <w:rPr>
                <w:sz w:val="22"/>
              </w:rPr>
            </w:pPr>
          </w:p>
        </w:tc>
        <w:tc>
          <w:tcPr>
            <w:tcW w:w="1134" w:type="dxa"/>
            <w:tcBorders>
              <w:top w:val="single" w:sz="4" w:space="0" w:color="000000"/>
              <w:left w:val="single" w:sz="4" w:space="0" w:color="000000"/>
              <w:bottom w:val="single" w:sz="4" w:space="0" w:color="000000"/>
              <w:right w:val="single" w:sz="4" w:space="0" w:color="000000"/>
            </w:tcBorders>
          </w:tcPr>
          <w:p w14:paraId="7C9593CD" w14:textId="1C5A2DC4" w:rsidR="00A85B6B" w:rsidRPr="00952C33" w:rsidRDefault="00A85B6B" w:rsidP="00FB6278">
            <w:pPr>
              <w:pStyle w:val="MEHArial"/>
              <w:jc w:val="center"/>
              <w:rPr>
                <w:sz w:val="22"/>
              </w:rPr>
            </w:pPr>
            <w:r w:rsidRPr="00952C33">
              <w:rPr>
                <w:rFonts w:hint="eastAsia"/>
                <w:sz w:val="22"/>
              </w:rPr>
              <w:t>√</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64A8A8" w14:textId="6936B2AB" w:rsidR="00A85B6B" w:rsidRPr="00952C33" w:rsidRDefault="00A85B6B" w:rsidP="00FB6278">
            <w:pPr>
              <w:pStyle w:val="MEHArial"/>
              <w:jc w:val="center"/>
              <w:rPr>
                <w:sz w:val="22"/>
              </w:rPr>
            </w:pPr>
            <w:r w:rsidRPr="00952C33">
              <w:rPr>
                <w:rFonts w:hint="eastAsia"/>
                <w:sz w:val="22"/>
              </w:rPr>
              <w:t>√</w:t>
            </w:r>
          </w:p>
        </w:tc>
        <w:tc>
          <w:tcPr>
            <w:tcW w:w="992" w:type="dxa"/>
            <w:tcBorders>
              <w:top w:val="single" w:sz="4" w:space="0" w:color="000000"/>
              <w:left w:val="single" w:sz="4" w:space="0" w:color="000000"/>
              <w:bottom w:val="single" w:sz="4" w:space="0" w:color="000000"/>
              <w:right w:val="single" w:sz="4" w:space="0" w:color="000000"/>
            </w:tcBorders>
          </w:tcPr>
          <w:p w14:paraId="4D85AF49" w14:textId="0165A970" w:rsidR="00A85B6B" w:rsidRPr="00952C33" w:rsidRDefault="003D3845" w:rsidP="00FB6278">
            <w:pPr>
              <w:pStyle w:val="MEHArial"/>
              <w:jc w:val="center"/>
              <w:rPr>
                <w:b/>
                <w:sz w:val="22"/>
              </w:rPr>
            </w:pPr>
            <w:r w:rsidRPr="00952C33">
              <w:rPr>
                <w:rFonts w:hint="eastAsia"/>
                <w:sz w:val="22"/>
              </w:rPr>
              <w:t>√</w:t>
            </w:r>
          </w:p>
        </w:tc>
        <w:tc>
          <w:tcPr>
            <w:tcW w:w="992"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14:paraId="4DA71EFB" w14:textId="05096F07" w:rsidR="00A85B6B" w:rsidRPr="00952C33" w:rsidRDefault="003D3845" w:rsidP="00FB6278">
            <w:pPr>
              <w:pStyle w:val="MEHArial"/>
              <w:jc w:val="center"/>
              <w:rPr>
                <w:b/>
                <w:sz w:val="22"/>
              </w:rPr>
            </w:pPr>
            <w:r w:rsidRPr="00952C33">
              <w:rPr>
                <w:b/>
                <w:sz w:val="22"/>
              </w:rPr>
              <w:t>4</w:t>
            </w:r>
          </w:p>
        </w:tc>
      </w:tr>
      <w:tr w:rsidR="00A85B6B" w:rsidRPr="00777F4F" w14:paraId="03708FD0" w14:textId="77777777" w:rsidTr="00A85B6B">
        <w:trPr>
          <w:trHeight w:val="60"/>
          <w:jc w:val="center"/>
        </w:trPr>
        <w:tc>
          <w:tcPr>
            <w:tcW w:w="2403"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14:paraId="2E099DD9" w14:textId="59365B34" w:rsidR="00A85B6B" w:rsidRPr="00952C33" w:rsidRDefault="00A85B6B" w:rsidP="00FB6278">
            <w:pPr>
              <w:pStyle w:val="MEHArial"/>
              <w:rPr>
                <w:sz w:val="22"/>
              </w:rPr>
            </w:pPr>
            <w:r w:rsidRPr="00952C33">
              <w:rPr>
                <w:sz w:val="22"/>
              </w:rPr>
              <w:t>Vineet Bhalla</w:t>
            </w:r>
          </w:p>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F9686C" w14:textId="45914096" w:rsidR="00A85B6B" w:rsidRPr="00952C33" w:rsidRDefault="00A85B6B" w:rsidP="00FB6278">
            <w:pPr>
              <w:pStyle w:val="MEHArial"/>
              <w:jc w:val="center"/>
              <w:rPr>
                <w:sz w:val="22"/>
              </w:rPr>
            </w:pPr>
            <w:r w:rsidRPr="00952C33">
              <w:rPr>
                <w:rFonts w:hint="eastAsia"/>
                <w:sz w:val="22"/>
              </w:rPr>
              <w:t>√</w:t>
            </w:r>
          </w:p>
        </w:tc>
        <w:tc>
          <w:tcPr>
            <w:tcW w:w="1134" w:type="dxa"/>
            <w:tcBorders>
              <w:top w:val="single" w:sz="4" w:space="0" w:color="000000"/>
              <w:left w:val="single" w:sz="4" w:space="0" w:color="000000"/>
              <w:bottom w:val="single" w:sz="4" w:space="0" w:color="000000"/>
              <w:right w:val="single" w:sz="4" w:space="0" w:color="000000"/>
            </w:tcBorders>
          </w:tcPr>
          <w:p w14:paraId="1827C1DE" w14:textId="656BB9D1" w:rsidR="00A85B6B" w:rsidRPr="00952C33" w:rsidRDefault="00A85B6B" w:rsidP="00FB6278">
            <w:pPr>
              <w:pStyle w:val="MEHArial"/>
              <w:jc w:val="center"/>
              <w:rPr>
                <w:sz w:val="22"/>
              </w:rPr>
            </w:pPr>
            <w:r w:rsidRPr="00952C33">
              <w:rPr>
                <w:rFonts w:hint="eastAsia"/>
                <w:sz w:val="22"/>
              </w:rPr>
              <w:t>√</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4511D4" w14:textId="65A82579" w:rsidR="00A85B6B" w:rsidRPr="00952C33" w:rsidRDefault="00A85B6B" w:rsidP="00FB6278">
            <w:pPr>
              <w:pStyle w:val="MEHArial"/>
              <w:jc w:val="center"/>
              <w:rPr>
                <w:sz w:val="22"/>
              </w:rPr>
            </w:pPr>
          </w:p>
        </w:tc>
        <w:tc>
          <w:tcPr>
            <w:tcW w:w="992" w:type="dxa"/>
            <w:tcBorders>
              <w:top w:val="single" w:sz="4" w:space="0" w:color="000000"/>
              <w:left w:val="single" w:sz="4" w:space="0" w:color="000000"/>
              <w:bottom w:val="single" w:sz="4" w:space="0" w:color="000000"/>
              <w:right w:val="single" w:sz="4" w:space="0" w:color="000000"/>
            </w:tcBorders>
          </w:tcPr>
          <w:p w14:paraId="1A0FD92D" w14:textId="6CBF5A96" w:rsidR="00A85B6B" w:rsidRPr="00952C33" w:rsidRDefault="003D3845" w:rsidP="00FB6278">
            <w:pPr>
              <w:pStyle w:val="MEHArial"/>
              <w:jc w:val="center"/>
              <w:rPr>
                <w:b/>
                <w:sz w:val="22"/>
              </w:rPr>
            </w:pPr>
            <w:r w:rsidRPr="00952C33">
              <w:rPr>
                <w:rFonts w:hint="eastAsia"/>
                <w:sz w:val="22"/>
              </w:rPr>
              <w:t>√</w:t>
            </w:r>
          </w:p>
        </w:tc>
        <w:tc>
          <w:tcPr>
            <w:tcW w:w="992"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14:paraId="1CC9C3FD" w14:textId="7C373DD0" w:rsidR="00A85B6B" w:rsidRPr="00952C33" w:rsidRDefault="003D3845" w:rsidP="00FB6278">
            <w:pPr>
              <w:pStyle w:val="MEHArial"/>
              <w:jc w:val="center"/>
              <w:rPr>
                <w:b/>
                <w:sz w:val="22"/>
              </w:rPr>
            </w:pPr>
            <w:r w:rsidRPr="00952C33">
              <w:rPr>
                <w:b/>
                <w:sz w:val="22"/>
              </w:rPr>
              <w:t>3</w:t>
            </w:r>
          </w:p>
        </w:tc>
      </w:tr>
      <w:tr w:rsidR="00A85B6B" w:rsidRPr="00777F4F" w14:paraId="73B490C7" w14:textId="77777777" w:rsidTr="00A85B6B">
        <w:trPr>
          <w:trHeight w:val="60"/>
          <w:jc w:val="center"/>
        </w:trPr>
        <w:tc>
          <w:tcPr>
            <w:tcW w:w="2403"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14:paraId="33788E72" w14:textId="16697211" w:rsidR="00A85B6B" w:rsidRPr="00952C33" w:rsidRDefault="00A85B6B" w:rsidP="00FB6278">
            <w:pPr>
              <w:pStyle w:val="MEHArial"/>
              <w:rPr>
                <w:sz w:val="22"/>
              </w:rPr>
            </w:pPr>
            <w:r w:rsidRPr="00952C33">
              <w:rPr>
                <w:sz w:val="22"/>
              </w:rPr>
              <w:t xml:space="preserve">Richard Holmes </w:t>
            </w:r>
          </w:p>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FD8062" w14:textId="54F85372" w:rsidR="00A85B6B" w:rsidRPr="00952C33" w:rsidRDefault="00A85B6B" w:rsidP="00FB6278">
            <w:pPr>
              <w:pStyle w:val="MEHArial"/>
              <w:jc w:val="center"/>
              <w:rPr>
                <w:sz w:val="22"/>
              </w:rPr>
            </w:pPr>
            <w:r w:rsidRPr="00952C33">
              <w:rPr>
                <w:rFonts w:hint="eastAsia"/>
                <w:sz w:val="22"/>
              </w:rPr>
              <w:t>√</w:t>
            </w:r>
          </w:p>
        </w:tc>
        <w:tc>
          <w:tcPr>
            <w:tcW w:w="1134" w:type="dxa"/>
            <w:tcBorders>
              <w:top w:val="single" w:sz="4" w:space="0" w:color="000000"/>
              <w:left w:val="single" w:sz="4" w:space="0" w:color="000000"/>
              <w:bottom w:val="single" w:sz="4" w:space="0" w:color="000000"/>
              <w:right w:val="single" w:sz="4" w:space="0" w:color="000000"/>
            </w:tcBorders>
          </w:tcPr>
          <w:p w14:paraId="423308B1" w14:textId="0DF85D5D" w:rsidR="00A85B6B" w:rsidRPr="00952C33" w:rsidRDefault="00A85B6B" w:rsidP="00FB6278">
            <w:pPr>
              <w:pStyle w:val="MEHArial"/>
              <w:jc w:val="center"/>
              <w:rPr>
                <w:sz w:val="22"/>
              </w:rPr>
            </w:pPr>
            <w:r w:rsidRPr="00952C33">
              <w:rPr>
                <w:rFonts w:hint="eastAsia"/>
                <w:sz w:val="22"/>
              </w:rPr>
              <w:t>√</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E14704" w14:textId="44912E6F" w:rsidR="00A85B6B" w:rsidRPr="00952C33" w:rsidRDefault="00A85B6B" w:rsidP="00FB6278">
            <w:pPr>
              <w:pStyle w:val="MEHArial"/>
              <w:jc w:val="center"/>
              <w:rPr>
                <w:sz w:val="22"/>
              </w:rPr>
            </w:pPr>
            <w:r w:rsidRPr="00952C33">
              <w:rPr>
                <w:rFonts w:hint="eastAsia"/>
                <w:sz w:val="22"/>
              </w:rPr>
              <w:t>√</w:t>
            </w:r>
          </w:p>
        </w:tc>
        <w:tc>
          <w:tcPr>
            <w:tcW w:w="992" w:type="dxa"/>
            <w:tcBorders>
              <w:top w:val="single" w:sz="4" w:space="0" w:color="000000"/>
              <w:left w:val="single" w:sz="4" w:space="0" w:color="000000"/>
              <w:bottom w:val="single" w:sz="4" w:space="0" w:color="000000"/>
              <w:right w:val="single" w:sz="4" w:space="0" w:color="000000"/>
            </w:tcBorders>
          </w:tcPr>
          <w:p w14:paraId="6785DD58" w14:textId="77777777" w:rsidR="00A85B6B" w:rsidRPr="00952C33" w:rsidRDefault="00A85B6B" w:rsidP="00FB6278">
            <w:pPr>
              <w:pStyle w:val="MEHArial"/>
              <w:jc w:val="center"/>
              <w:rPr>
                <w:b/>
                <w:sz w:val="22"/>
              </w:rPr>
            </w:pPr>
          </w:p>
        </w:tc>
        <w:tc>
          <w:tcPr>
            <w:tcW w:w="992"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14:paraId="6F6E40B0" w14:textId="3E32FA5A" w:rsidR="00A85B6B" w:rsidRPr="00952C33" w:rsidRDefault="003D3845" w:rsidP="00FB6278">
            <w:pPr>
              <w:pStyle w:val="MEHArial"/>
              <w:jc w:val="center"/>
              <w:rPr>
                <w:b/>
                <w:sz w:val="22"/>
              </w:rPr>
            </w:pPr>
            <w:r w:rsidRPr="00952C33">
              <w:rPr>
                <w:b/>
                <w:sz w:val="22"/>
              </w:rPr>
              <w:t>3</w:t>
            </w:r>
          </w:p>
        </w:tc>
      </w:tr>
      <w:tr w:rsidR="00A85B6B" w:rsidRPr="00762C31" w14:paraId="3F0A4EA1" w14:textId="77777777" w:rsidTr="00A85B6B">
        <w:trPr>
          <w:trHeight w:val="60"/>
          <w:jc w:val="center"/>
        </w:trPr>
        <w:tc>
          <w:tcPr>
            <w:tcW w:w="2403"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14:paraId="2A30FBBC" w14:textId="1CD3FC28" w:rsidR="00A85B6B" w:rsidRPr="00952C33" w:rsidRDefault="00A85B6B" w:rsidP="00FB6278">
            <w:pPr>
              <w:pStyle w:val="MEHArial"/>
              <w:rPr>
                <w:b/>
                <w:sz w:val="22"/>
              </w:rPr>
            </w:pPr>
            <w:r w:rsidRPr="00952C33">
              <w:rPr>
                <w:b/>
                <w:sz w:val="22"/>
              </w:rPr>
              <w:t>Totals</w:t>
            </w:r>
          </w:p>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3625C7" w14:textId="3900216F" w:rsidR="00A85B6B" w:rsidRPr="00952C33" w:rsidRDefault="00A85B6B" w:rsidP="00FB6278">
            <w:pPr>
              <w:pStyle w:val="MEHArial"/>
              <w:jc w:val="center"/>
              <w:rPr>
                <w:b/>
                <w:sz w:val="22"/>
              </w:rPr>
            </w:pPr>
            <w:r w:rsidRPr="00952C33">
              <w:rPr>
                <w:b/>
                <w:sz w:val="22"/>
              </w:rPr>
              <w:t>7</w:t>
            </w:r>
          </w:p>
        </w:tc>
        <w:tc>
          <w:tcPr>
            <w:tcW w:w="1134" w:type="dxa"/>
            <w:tcBorders>
              <w:top w:val="single" w:sz="4" w:space="0" w:color="000000"/>
              <w:left w:val="single" w:sz="4" w:space="0" w:color="000000"/>
              <w:bottom w:val="single" w:sz="4" w:space="0" w:color="000000"/>
              <w:right w:val="single" w:sz="4" w:space="0" w:color="000000"/>
            </w:tcBorders>
          </w:tcPr>
          <w:p w14:paraId="1C540BE7" w14:textId="0010664D" w:rsidR="00A85B6B" w:rsidRPr="00952C33" w:rsidRDefault="00A85B6B" w:rsidP="00FB6278">
            <w:pPr>
              <w:pStyle w:val="MEHArial"/>
              <w:jc w:val="center"/>
              <w:rPr>
                <w:b/>
                <w:sz w:val="22"/>
              </w:rPr>
            </w:pPr>
            <w:r w:rsidRPr="00952C33">
              <w:rPr>
                <w:b/>
                <w:sz w:val="22"/>
              </w:rPr>
              <w:t>8</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5950C4" w14:textId="6AA7BE21" w:rsidR="00A85B6B" w:rsidRPr="00952C33" w:rsidRDefault="00A85B6B" w:rsidP="00FB6278">
            <w:pPr>
              <w:pStyle w:val="MEHArial"/>
              <w:jc w:val="center"/>
              <w:rPr>
                <w:b/>
                <w:sz w:val="22"/>
              </w:rPr>
            </w:pPr>
            <w:r w:rsidRPr="00952C33">
              <w:rPr>
                <w:b/>
                <w:sz w:val="22"/>
              </w:rPr>
              <w:t>7</w:t>
            </w:r>
          </w:p>
        </w:tc>
        <w:tc>
          <w:tcPr>
            <w:tcW w:w="992" w:type="dxa"/>
            <w:tcBorders>
              <w:top w:val="single" w:sz="4" w:space="0" w:color="000000"/>
              <w:left w:val="single" w:sz="4" w:space="0" w:color="000000"/>
              <w:bottom w:val="single" w:sz="4" w:space="0" w:color="000000"/>
              <w:right w:val="single" w:sz="4" w:space="0" w:color="000000"/>
            </w:tcBorders>
          </w:tcPr>
          <w:p w14:paraId="53AA394C" w14:textId="48DA124C" w:rsidR="00A85B6B" w:rsidRPr="00952C33" w:rsidRDefault="003D3845" w:rsidP="00FB6278">
            <w:pPr>
              <w:pStyle w:val="MEHArial"/>
              <w:jc w:val="center"/>
              <w:rPr>
                <w:b/>
                <w:sz w:val="22"/>
              </w:rPr>
            </w:pPr>
            <w:r w:rsidRPr="00952C33">
              <w:rPr>
                <w:b/>
                <w:sz w:val="22"/>
              </w:rPr>
              <w:t>6</w:t>
            </w:r>
          </w:p>
        </w:tc>
        <w:tc>
          <w:tcPr>
            <w:tcW w:w="992"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14:paraId="007C63B9" w14:textId="158969BD" w:rsidR="00A85B6B" w:rsidRPr="00952C33" w:rsidRDefault="00A85B6B" w:rsidP="00FB6278">
            <w:pPr>
              <w:pStyle w:val="MEHArial"/>
              <w:jc w:val="center"/>
              <w:rPr>
                <w:b/>
                <w:sz w:val="22"/>
              </w:rPr>
            </w:pPr>
          </w:p>
        </w:tc>
      </w:tr>
    </w:tbl>
    <w:p w14:paraId="347DCB75" w14:textId="7E5AD706" w:rsidR="00FB67CC" w:rsidRPr="00952C33" w:rsidRDefault="00762C31" w:rsidP="00FB6278">
      <w:pPr>
        <w:pStyle w:val="MEHArial"/>
        <w:rPr>
          <w:i/>
          <w:sz w:val="18"/>
        </w:rPr>
      </w:pPr>
      <w:r w:rsidRPr="00952C33">
        <w:rPr>
          <w:i/>
          <w:sz w:val="18"/>
        </w:rPr>
        <w:t xml:space="preserve">                 </w:t>
      </w:r>
    </w:p>
    <w:p w14:paraId="254194F9" w14:textId="2A31F17D" w:rsidR="00A60CF6" w:rsidRPr="00952C33" w:rsidRDefault="00FB67CC" w:rsidP="00FB6278">
      <w:pPr>
        <w:pStyle w:val="MEHArial"/>
        <w:ind w:left="-567" w:right="-613"/>
        <w:rPr>
          <w:sz w:val="22"/>
        </w:rPr>
      </w:pPr>
      <w:r w:rsidRPr="00952C33">
        <w:rPr>
          <w:sz w:val="22"/>
        </w:rPr>
        <w:t xml:space="preserve">Accounting policies for pensions and other retirement benefits are set out in note </w:t>
      </w:r>
      <w:r w:rsidR="0064101E" w:rsidRPr="00952C33">
        <w:rPr>
          <w:sz w:val="22"/>
          <w:highlight w:val="yellow"/>
        </w:rPr>
        <w:t>XX</w:t>
      </w:r>
      <w:r w:rsidR="00A60CF6" w:rsidRPr="00952C33">
        <w:rPr>
          <w:sz w:val="22"/>
        </w:rPr>
        <w:t>.</w:t>
      </w:r>
      <w:r w:rsidRPr="00952C33">
        <w:rPr>
          <w:sz w:val="22"/>
        </w:rPr>
        <w:t xml:space="preserve"> </w:t>
      </w:r>
      <w:r w:rsidR="00F57863" w:rsidRPr="00952C33">
        <w:rPr>
          <w:sz w:val="22"/>
        </w:rPr>
        <w:t>D</w:t>
      </w:r>
      <w:r w:rsidRPr="00952C33">
        <w:rPr>
          <w:sz w:val="22"/>
        </w:rPr>
        <w:t xml:space="preserve">etails of employee costs can be found in note </w:t>
      </w:r>
      <w:r w:rsidR="0064101E" w:rsidRPr="00952C33">
        <w:rPr>
          <w:sz w:val="22"/>
          <w:highlight w:val="yellow"/>
        </w:rPr>
        <w:t>XX</w:t>
      </w:r>
      <w:r w:rsidR="00A60CF6" w:rsidRPr="00952C33">
        <w:rPr>
          <w:sz w:val="22"/>
        </w:rPr>
        <w:t xml:space="preserve"> in the annual accounts.</w:t>
      </w:r>
    </w:p>
    <w:p w14:paraId="01280C18" w14:textId="77777777" w:rsidR="00FB67CC" w:rsidRPr="00952C33" w:rsidRDefault="00FB67CC" w:rsidP="00FB6278">
      <w:pPr>
        <w:pStyle w:val="Heading3"/>
        <w:ind w:left="-567"/>
        <w:jc w:val="both"/>
        <w:rPr>
          <w:sz w:val="22"/>
        </w:rPr>
      </w:pPr>
      <w:r w:rsidRPr="00952C33">
        <w:rPr>
          <w:sz w:val="22"/>
        </w:rPr>
        <w:t>Performance evaluation</w:t>
      </w:r>
    </w:p>
    <w:p w14:paraId="7864AE56" w14:textId="2CE17D77" w:rsidR="00FB67CC" w:rsidRPr="00952C33" w:rsidRDefault="00FB67CC" w:rsidP="00FB6278">
      <w:pPr>
        <w:pStyle w:val="MEHArial"/>
        <w:ind w:left="-567" w:right="-613"/>
        <w:jc w:val="both"/>
        <w:rPr>
          <w:sz w:val="22"/>
        </w:rPr>
      </w:pPr>
      <w:r w:rsidRPr="00952C33">
        <w:rPr>
          <w:sz w:val="22"/>
        </w:rPr>
        <w:t xml:space="preserve">Executive directors </w:t>
      </w:r>
      <w:r w:rsidR="002C1240" w:rsidRPr="00952C33">
        <w:rPr>
          <w:sz w:val="22"/>
        </w:rPr>
        <w:t xml:space="preserve">each </w:t>
      </w:r>
      <w:r w:rsidRPr="00952C33">
        <w:rPr>
          <w:sz w:val="22"/>
        </w:rPr>
        <w:t xml:space="preserve">undergo formal annual appraisals led by the chief executive which are considered further by the board’s remuneration committee. </w:t>
      </w:r>
      <w:r w:rsidR="007D0062" w:rsidRPr="00952C33">
        <w:rPr>
          <w:sz w:val="22"/>
        </w:rPr>
        <w:t>The c</w:t>
      </w:r>
      <w:r w:rsidR="00B73464" w:rsidRPr="00952C33">
        <w:rPr>
          <w:sz w:val="22"/>
        </w:rPr>
        <w:t>hairman appraises the performance of</w:t>
      </w:r>
      <w:r w:rsidR="00FB4313" w:rsidRPr="007B41D2">
        <w:rPr>
          <w:sz w:val="22"/>
        </w:rPr>
        <w:t xml:space="preserve"> the chief executive, and </w:t>
      </w:r>
      <w:r w:rsidR="00B73464" w:rsidRPr="00952C33">
        <w:rPr>
          <w:sz w:val="22"/>
        </w:rPr>
        <w:t>all non-executive</w:t>
      </w:r>
      <w:r w:rsidR="001C1C27" w:rsidRPr="00952C33">
        <w:rPr>
          <w:sz w:val="22"/>
        </w:rPr>
        <w:t xml:space="preserve"> directors</w:t>
      </w:r>
      <w:r w:rsidR="00B73464" w:rsidRPr="00952C33">
        <w:rPr>
          <w:sz w:val="22"/>
        </w:rPr>
        <w:t xml:space="preserve">, and discusses the outcome of these meetings with the </w:t>
      </w:r>
      <w:r w:rsidR="007D0062" w:rsidRPr="00952C33">
        <w:rPr>
          <w:sz w:val="22"/>
        </w:rPr>
        <w:t>g</w:t>
      </w:r>
      <w:r w:rsidR="00B73464" w:rsidRPr="00952C33">
        <w:rPr>
          <w:sz w:val="22"/>
        </w:rPr>
        <w:t>overnor’s remuneration &amp; nominations committee</w:t>
      </w:r>
      <w:r w:rsidR="007410F6" w:rsidRPr="00952C33">
        <w:rPr>
          <w:sz w:val="22"/>
        </w:rPr>
        <w:t xml:space="preserve"> with a particular focus on those </w:t>
      </w:r>
      <w:r w:rsidR="007B41D2">
        <w:rPr>
          <w:sz w:val="22"/>
        </w:rPr>
        <w:t>due</w:t>
      </w:r>
      <w:r w:rsidR="006309A0">
        <w:rPr>
          <w:sz w:val="22"/>
        </w:rPr>
        <w:t xml:space="preserve"> </w:t>
      </w:r>
      <w:r w:rsidR="007410F6" w:rsidRPr="00952C33">
        <w:rPr>
          <w:sz w:val="22"/>
        </w:rPr>
        <w:t xml:space="preserve">for reappointment. </w:t>
      </w:r>
      <w:r w:rsidRPr="00952C33">
        <w:rPr>
          <w:sz w:val="22"/>
        </w:rPr>
        <w:t xml:space="preserve">The vice-chairman of the board discussed the chairman’s performance with non-executive directors. The outcomes of these discussions were taken to the remuneration and nominations committee of the membership council. </w:t>
      </w:r>
    </w:p>
    <w:p w14:paraId="30637788" w14:textId="543F55DC" w:rsidR="00FB67CC" w:rsidRPr="00952C33" w:rsidRDefault="00FB67CC" w:rsidP="00FB6278">
      <w:pPr>
        <w:pStyle w:val="MEHArial"/>
        <w:ind w:left="-567" w:right="-613"/>
        <w:jc w:val="both"/>
        <w:rPr>
          <w:sz w:val="22"/>
        </w:rPr>
      </w:pPr>
      <w:r w:rsidRPr="00952C33">
        <w:rPr>
          <w:sz w:val="22"/>
        </w:rPr>
        <w:t>The following non-statutory committees have also been established by the board of directors:</w:t>
      </w:r>
    </w:p>
    <w:p w14:paraId="2A1DBC98" w14:textId="77777777" w:rsidR="008B2FEE" w:rsidRDefault="008B2FEE" w:rsidP="00FB6278">
      <w:pPr>
        <w:pStyle w:val="MEHArial"/>
        <w:ind w:left="-567"/>
        <w:jc w:val="both"/>
        <w:rPr>
          <w:b/>
          <w:sz w:val="22"/>
        </w:rPr>
      </w:pPr>
    </w:p>
    <w:p w14:paraId="09D48C95" w14:textId="77777777" w:rsidR="008B2FEE" w:rsidRDefault="008B2FEE" w:rsidP="00FB6278">
      <w:pPr>
        <w:pStyle w:val="MEHArial"/>
        <w:ind w:left="-567"/>
        <w:jc w:val="both"/>
        <w:rPr>
          <w:b/>
          <w:sz w:val="22"/>
        </w:rPr>
      </w:pPr>
    </w:p>
    <w:p w14:paraId="76E57CB4" w14:textId="51D8EBA2" w:rsidR="00FB67CC" w:rsidRPr="00952C33" w:rsidRDefault="00FB67CC" w:rsidP="00FB6278">
      <w:pPr>
        <w:pStyle w:val="MEHArial"/>
        <w:ind w:left="-567"/>
        <w:jc w:val="both"/>
        <w:rPr>
          <w:b/>
          <w:sz w:val="22"/>
        </w:rPr>
      </w:pPr>
      <w:r w:rsidRPr="00952C33">
        <w:rPr>
          <w:b/>
          <w:sz w:val="22"/>
        </w:rPr>
        <w:lastRenderedPageBreak/>
        <w:t xml:space="preserve">Strategy and commercial committee </w:t>
      </w:r>
    </w:p>
    <w:p w14:paraId="5CEDF149" w14:textId="4FD838C5" w:rsidR="00FB67CC" w:rsidRPr="00952C33" w:rsidRDefault="00FB67CC" w:rsidP="00FB6278">
      <w:pPr>
        <w:ind w:left="-567"/>
        <w:rPr>
          <w:rFonts w:ascii="Arial" w:hAnsi="Arial"/>
          <w:sz w:val="22"/>
        </w:rPr>
      </w:pPr>
      <w:r w:rsidRPr="00952C33">
        <w:rPr>
          <w:rFonts w:ascii="Arial" w:hAnsi="Arial"/>
          <w:sz w:val="22"/>
        </w:rPr>
        <w:t>The purpose of the committee is to review, on behalf of the</w:t>
      </w:r>
      <w:r w:rsidR="007D0062" w:rsidRPr="00952C33">
        <w:rPr>
          <w:rFonts w:ascii="Arial" w:hAnsi="Arial"/>
          <w:sz w:val="22"/>
        </w:rPr>
        <w:t xml:space="preserve"> board, the following key areas:</w:t>
      </w:r>
    </w:p>
    <w:p w14:paraId="2530D7C0" w14:textId="6E83F9D6" w:rsidR="007410F6" w:rsidRPr="00952C33" w:rsidRDefault="007410F6" w:rsidP="00FB6278">
      <w:pPr>
        <w:pStyle w:val="ListParagraph"/>
        <w:numPr>
          <w:ilvl w:val="0"/>
          <w:numId w:val="11"/>
        </w:numPr>
        <w:spacing w:after="120"/>
        <w:rPr>
          <w:rFonts w:ascii="Arial" w:hAnsi="Arial"/>
          <w:sz w:val="22"/>
        </w:rPr>
      </w:pPr>
      <w:r w:rsidRPr="00952C33">
        <w:rPr>
          <w:rFonts w:ascii="Arial" w:hAnsi="Arial"/>
          <w:sz w:val="22"/>
        </w:rPr>
        <w:t xml:space="preserve">the development of strategic plans and in particular the network </w:t>
      </w:r>
      <w:proofErr w:type="gramStart"/>
      <w:r w:rsidRPr="00952C33">
        <w:rPr>
          <w:rFonts w:ascii="Arial" w:hAnsi="Arial"/>
          <w:sz w:val="22"/>
        </w:rPr>
        <w:t>strategy</w:t>
      </w:r>
      <w:r w:rsidR="007D0062" w:rsidRPr="00952C33">
        <w:rPr>
          <w:rFonts w:ascii="Arial" w:hAnsi="Arial"/>
          <w:sz w:val="22"/>
        </w:rPr>
        <w:t>;</w:t>
      </w:r>
      <w:proofErr w:type="gramEnd"/>
    </w:p>
    <w:p w14:paraId="5DD1A528" w14:textId="4787D14E" w:rsidR="007410F6" w:rsidRPr="00952C33" w:rsidRDefault="007410F6" w:rsidP="00FB6278">
      <w:pPr>
        <w:pStyle w:val="ListParagraph"/>
        <w:numPr>
          <w:ilvl w:val="0"/>
          <w:numId w:val="11"/>
        </w:numPr>
        <w:spacing w:after="120"/>
        <w:rPr>
          <w:rFonts w:ascii="Arial" w:hAnsi="Arial"/>
          <w:sz w:val="22"/>
        </w:rPr>
      </w:pPr>
      <w:r w:rsidRPr="00952C33">
        <w:rPr>
          <w:rFonts w:ascii="Arial" w:hAnsi="Arial"/>
          <w:sz w:val="22"/>
        </w:rPr>
        <w:t>the development of business cases and investment proposals, including the approval of business</w:t>
      </w:r>
      <w:r w:rsidR="007D0062" w:rsidRPr="00952C33">
        <w:rPr>
          <w:rFonts w:ascii="Arial" w:hAnsi="Arial"/>
          <w:sz w:val="22"/>
        </w:rPr>
        <w:t xml:space="preserve"> cases within the limits set out in the standing financial </w:t>
      </w:r>
      <w:proofErr w:type="gramStart"/>
      <w:r w:rsidR="007D0062" w:rsidRPr="00952C33">
        <w:rPr>
          <w:rFonts w:ascii="Arial" w:hAnsi="Arial"/>
          <w:sz w:val="22"/>
        </w:rPr>
        <w:t>instructions;</w:t>
      </w:r>
      <w:proofErr w:type="gramEnd"/>
    </w:p>
    <w:p w14:paraId="4EB9E984" w14:textId="26D68B6C" w:rsidR="007410F6" w:rsidRPr="00952C33" w:rsidRDefault="007410F6" w:rsidP="00FB6278">
      <w:pPr>
        <w:pStyle w:val="ListParagraph"/>
        <w:numPr>
          <w:ilvl w:val="0"/>
          <w:numId w:val="11"/>
        </w:numPr>
        <w:spacing w:after="120"/>
        <w:rPr>
          <w:rFonts w:ascii="Arial" w:hAnsi="Arial"/>
          <w:sz w:val="22"/>
        </w:rPr>
      </w:pPr>
      <w:r w:rsidRPr="00952C33">
        <w:rPr>
          <w:rFonts w:ascii="Arial" w:hAnsi="Arial"/>
          <w:sz w:val="22"/>
        </w:rPr>
        <w:t>oversight of the research strategy c</w:t>
      </w:r>
      <w:r w:rsidR="007D0062" w:rsidRPr="00952C33">
        <w:rPr>
          <w:rFonts w:ascii="Arial" w:hAnsi="Arial"/>
          <w:sz w:val="22"/>
        </w:rPr>
        <w:t xml:space="preserve">arried out by and for the </w:t>
      </w:r>
      <w:proofErr w:type="gramStart"/>
      <w:r w:rsidR="007D0062" w:rsidRPr="00952C33">
        <w:rPr>
          <w:rFonts w:ascii="Arial" w:hAnsi="Arial"/>
          <w:sz w:val="22"/>
        </w:rPr>
        <w:t>trust;</w:t>
      </w:r>
      <w:proofErr w:type="gramEnd"/>
    </w:p>
    <w:p w14:paraId="215612CD" w14:textId="64CA804D" w:rsidR="007410F6" w:rsidRPr="00952C33" w:rsidRDefault="007410F6" w:rsidP="00FB6278">
      <w:pPr>
        <w:pStyle w:val="ListParagraph"/>
        <w:numPr>
          <w:ilvl w:val="0"/>
          <w:numId w:val="11"/>
        </w:numPr>
        <w:spacing w:after="120"/>
        <w:rPr>
          <w:rFonts w:ascii="Arial" w:hAnsi="Arial"/>
          <w:sz w:val="22"/>
        </w:rPr>
      </w:pPr>
      <w:r w:rsidRPr="00952C33">
        <w:rPr>
          <w:rFonts w:ascii="Arial" w:hAnsi="Arial"/>
          <w:sz w:val="22"/>
        </w:rPr>
        <w:t>oversight of the education strategy carried out by and for the trust</w:t>
      </w:r>
      <w:r w:rsidR="007D0062" w:rsidRPr="00952C33">
        <w:rPr>
          <w:rFonts w:ascii="Arial" w:hAnsi="Arial"/>
          <w:sz w:val="22"/>
        </w:rPr>
        <w:t>; and</w:t>
      </w:r>
    </w:p>
    <w:p w14:paraId="0B67B9F6" w14:textId="1BCBFD65" w:rsidR="007410F6" w:rsidRPr="00952C33" w:rsidRDefault="007410F6" w:rsidP="00FB6278">
      <w:pPr>
        <w:pStyle w:val="ListParagraph"/>
        <w:numPr>
          <w:ilvl w:val="0"/>
          <w:numId w:val="11"/>
        </w:numPr>
        <w:spacing w:after="120"/>
        <w:rPr>
          <w:rFonts w:ascii="Arial" w:hAnsi="Arial"/>
          <w:sz w:val="22"/>
        </w:rPr>
      </w:pPr>
      <w:r w:rsidRPr="00952C33">
        <w:rPr>
          <w:rFonts w:ascii="Arial" w:hAnsi="Arial"/>
          <w:sz w:val="22"/>
        </w:rPr>
        <w:t>oversight of all commercial activity and areas of income generation</w:t>
      </w:r>
      <w:r w:rsidR="007D0062" w:rsidRPr="00952C33">
        <w:rPr>
          <w:rFonts w:ascii="Arial" w:hAnsi="Arial"/>
          <w:sz w:val="22"/>
        </w:rPr>
        <w:t>.</w:t>
      </w:r>
    </w:p>
    <w:p w14:paraId="6562DE78" w14:textId="77777777" w:rsidR="007410F6" w:rsidRPr="00952C33" w:rsidRDefault="007410F6" w:rsidP="00FB6278">
      <w:pPr>
        <w:pStyle w:val="ListParagraph"/>
        <w:spacing w:after="120"/>
        <w:ind w:left="360"/>
        <w:rPr>
          <w:rFonts w:ascii="Arial" w:hAnsi="Arial"/>
          <w:b/>
          <w:i/>
          <w:sz w:val="22"/>
        </w:rPr>
      </w:pPr>
    </w:p>
    <w:p w14:paraId="1EE4CCFE" w14:textId="370D2F92" w:rsidR="00FB67CC" w:rsidRPr="00952C33" w:rsidRDefault="00FB67CC" w:rsidP="00FB6278">
      <w:pPr>
        <w:pStyle w:val="ListParagraph"/>
        <w:spacing w:after="120"/>
        <w:ind w:left="-567"/>
        <w:rPr>
          <w:rFonts w:ascii="Arial" w:hAnsi="Arial"/>
        </w:rPr>
      </w:pPr>
      <w:r w:rsidRPr="00952C33">
        <w:rPr>
          <w:rFonts w:ascii="Arial" w:hAnsi="Arial"/>
          <w:b/>
          <w:sz w:val="22"/>
        </w:rPr>
        <w:t xml:space="preserve">Quality and </w:t>
      </w:r>
      <w:r w:rsidR="006B7C67" w:rsidRPr="00952C33">
        <w:rPr>
          <w:rFonts w:ascii="Arial" w:hAnsi="Arial" w:cs="Arial"/>
          <w:b/>
          <w:iCs/>
          <w:sz w:val="22"/>
          <w:szCs w:val="22"/>
        </w:rPr>
        <w:t>s</w:t>
      </w:r>
      <w:r w:rsidRPr="00952C33">
        <w:rPr>
          <w:rFonts w:ascii="Arial" w:hAnsi="Arial" w:cs="Arial"/>
          <w:b/>
          <w:iCs/>
          <w:sz w:val="22"/>
          <w:szCs w:val="22"/>
        </w:rPr>
        <w:t>afety</w:t>
      </w:r>
      <w:r w:rsidRPr="00952C33">
        <w:rPr>
          <w:rFonts w:ascii="Arial" w:hAnsi="Arial"/>
          <w:b/>
          <w:sz w:val="22"/>
        </w:rPr>
        <w:t xml:space="preserve"> committee</w:t>
      </w:r>
    </w:p>
    <w:p w14:paraId="4A98FD0C" w14:textId="095EE221" w:rsidR="00FB67CC" w:rsidRPr="00952C33" w:rsidRDefault="00FB67CC" w:rsidP="00FB6278">
      <w:pPr>
        <w:ind w:left="-567"/>
        <w:rPr>
          <w:rFonts w:ascii="Arial" w:hAnsi="Arial"/>
          <w:sz w:val="22"/>
        </w:rPr>
      </w:pPr>
      <w:r w:rsidRPr="00952C33">
        <w:rPr>
          <w:rFonts w:ascii="Arial" w:hAnsi="Arial"/>
          <w:sz w:val="22"/>
        </w:rPr>
        <w:t>The purpose of the committee is to review, on behalf of the</w:t>
      </w:r>
      <w:r w:rsidR="007D0062" w:rsidRPr="00952C33">
        <w:rPr>
          <w:rFonts w:ascii="Arial" w:hAnsi="Arial"/>
          <w:sz w:val="22"/>
        </w:rPr>
        <w:t xml:space="preserve"> board, the following key areas:</w:t>
      </w:r>
    </w:p>
    <w:p w14:paraId="64797792" w14:textId="5FB620A3" w:rsidR="006D0234" w:rsidRPr="00952C33" w:rsidRDefault="006D0234" w:rsidP="00FB6278">
      <w:pPr>
        <w:pStyle w:val="ListParagraph"/>
        <w:numPr>
          <w:ilvl w:val="0"/>
          <w:numId w:val="11"/>
        </w:numPr>
        <w:spacing w:after="120"/>
        <w:rPr>
          <w:rFonts w:ascii="Arial" w:hAnsi="Arial"/>
          <w:sz w:val="22"/>
        </w:rPr>
      </w:pPr>
      <w:r w:rsidRPr="00952C33">
        <w:rPr>
          <w:rFonts w:ascii="Arial" w:hAnsi="Arial"/>
          <w:sz w:val="22"/>
        </w:rPr>
        <w:t xml:space="preserve">to provide oversight and board assurance about the quality and safety aspects of clinical </w:t>
      </w:r>
      <w:proofErr w:type="gramStart"/>
      <w:r w:rsidRPr="00952C33">
        <w:rPr>
          <w:rFonts w:ascii="Arial" w:hAnsi="Arial"/>
          <w:sz w:val="22"/>
        </w:rPr>
        <w:t>services</w:t>
      </w:r>
      <w:r w:rsidR="007D0062" w:rsidRPr="00952C33">
        <w:rPr>
          <w:rFonts w:ascii="Arial" w:hAnsi="Arial"/>
          <w:sz w:val="22"/>
        </w:rPr>
        <w:t>;</w:t>
      </w:r>
      <w:proofErr w:type="gramEnd"/>
    </w:p>
    <w:p w14:paraId="22ED19C5" w14:textId="2ECE790B" w:rsidR="006D0234" w:rsidRPr="00952C33" w:rsidRDefault="006D0234" w:rsidP="00FB6278">
      <w:pPr>
        <w:pStyle w:val="ListParagraph"/>
        <w:numPr>
          <w:ilvl w:val="0"/>
          <w:numId w:val="11"/>
        </w:numPr>
        <w:spacing w:after="120"/>
        <w:rPr>
          <w:rFonts w:ascii="Arial" w:hAnsi="Arial"/>
          <w:sz w:val="22"/>
        </w:rPr>
      </w:pPr>
      <w:r w:rsidRPr="00952C33">
        <w:rPr>
          <w:rFonts w:ascii="Arial" w:hAnsi="Arial"/>
          <w:sz w:val="22"/>
        </w:rPr>
        <w:t xml:space="preserve">to provide assurance about legal compliance with health and safety and related </w:t>
      </w:r>
      <w:proofErr w:type="gramStart"/>
      <w:r w:rsidRPr="00952C33">
        <w:rPr>
          <w:rFonts w:ascii="Arial" w:hAnsi="Arial"/>
          <w:sz w:val="22"/>
        </w:rPr>
        <w:t>legislation</w:t>
      </w:r>
      <w:r w:rsidR="007D0062" w:rsidRPr="00952C33">
        <w:rPr>
          <w:rFonts w:ascii="Arial" w:hAnsi="Arial"/>
          <w:sz w:val="22"/>
        </w:rPr>
        <w:t>;</w:t>
      </w:r>
      <w:proofErr w:type="gramEnd"/>
    </w:p>
    <w:p w14:paraId="7D026C76" w14:textId="0D24B2B7" w:rsidR="006D0234" w:rsidRPr="00952C33" w:rsidRDefault="006D0234" w:rsidP="00FB6278">
      <w:pPr>
        <w:pStyle w:val="ListParagraph"/>
        <w:numPr>
          <w:ilvl w:val="0"/>
          <w:numId w:val="11"/>
        </w:numPr>
        <w:spacing w:after="120"/>
        <w:rPr>
          <w:rFonts w:ascii="Arial" w:hAnsi="Arial"/>
          <w:sz w:val="22"/>
        </w:rPr>
      </w:pPr>
      <w:r w:rsidRPr="00952C33">
        <w:rPr>
          <w:rFonts w:ascii="Arial" w:hAnsi="Arial"/>
          <w:sz w:val="22"/>
        </w:rPr>
        <w:t xml:space="preserve">to steer the quality elements of the trust's </w:t>
      </w:r>
      <w:proofErr w:type="gramStart"/>
      <w:r w:rsidRPr="00952C33">
        <w:rPr>
          <w:rFonts w:ascii="Arial" w:hAnsi="Arial"/>
          <w:sz w:val="22"/>
        </w:rPr>
        <w:t>strategy</w:t>
      </w:r>
      <w:r w:rsidR="007D0062" w:rsidRPr="00952C33">
        <w:rPr>
          <w:rFonts w:ascii="Arial" w:hAnsi="Arial"/>
          <w:sz w:val="22"/>
        </w:rPr>
        <w:t>;</w:t>
      </w:r>
      <w:proofErr w:type="gramEnd"/>
      <w:r w:rsidRPr="00952C33">
        <w:rPr>
          <w:rFonts w:ascii="Arial" w:hAnsi="Arial"/>
          <w:sz w:val="22"/>
        </w:rPr>
        <w:t xml:space="preserve"> </w:t>
      </w:r>
    </w:p>
    <w:p w14:paraId="1290C018" w14:textId="0CDDB137" w:rsidR="006D0234" w:rsidRPr="00952C33" w:rsidRDefault="006D0234" w:rsidP="00FB6278">
      <w:pPr>
        <w:pStyle w:val="ListParagraph"/>
        <w:numPr>
          <w:ilvl w:val="0"/>
          <w:numId w:val="11"/>
        </w:numPr>
        <w:spacing w:after="120"/>
        <w:rPr>
          <w:rFonts w:ascii="Arial" w:hAnsi="Arial"/>
          <w:sz w:val="22"/>
        </w:rPr>
      </w:pPr>
      <w:r w:rsidRPr="00952C33">
        <w:rPr>
          <w:rFonts w:ascii="Arial" w:hAnsi="Arial"/>
          <w:sz w:val="22"/>
        </w:rPr>
        <w:t>to support the implementation of the quality strategy and quality improvement plan</w:t>
      </w:r>
      <w:r w:rsidR="007D0062" w:rsidRPr="00952C33">
        <w:rPr>
          <w:rFonts w:ascii="Arial" w:hAnsi="Arial"/>
          <w:sz w:val="22"/>
        </w:rPr>
        <w:t>; and</w:t>
      </w:r>
    </w:p>
    <w:p w14:paraId="69FDF2FD" w14:textId="2A8A826F" w:rsidR="006D0234" w:rsidRPr="00952C33" w:rsidRDefault="006D0234" w:rsidP="00FB6278">
      <w:pPr>
        <w:pStyle w:val="ListParagraph"/>
        <w:numPr>
          <w:ilvl w:val="0"/>
          <w:numId w:val="11"/>
        </w:numPr>
        <w:spacing w:after="120"/>
        <w:rPr>
          <w:rFonts w:ascii="Arial" w:hAnsi="Arial"/>
          <w:sz w:val="22"/>
        </w:rPr>
      </w:pPr>
      <w:r w:rsidRPr="00952C33">
        <w:rPr>
          <w:rFonts w:ascii="Arial" w:hAnsi="Arial"/>
          <w:sz w:val="22"/>
        </w:rPr>
        <w:t>to oversee the development and implementation of the quality account</w:t>
      </w:r>
      <w:r w:rsidR="007D0062" w:rsidRPr="00952C33">
        <w:rPr>
          <w:rFonts w:ascii="Arial" w:hAnsi="Arial"/>
          <w:sz w:val="22"/>
        </w:rPr>
        <w:t>.</w:t>
      </w:r>
    </w:p>
    <w:p w14:paraId="19E44A2D" w14:textId="59213513" w:rsidR="00FB67CC" w:rsidRPr="00952C33" w:rsidRDefault="00FB67CC" w:rsidP="00FB6278">
      <w:pPr>
        <w:pStyle w:val="MEHArial"/>
        <w:ind w:left="-567"/>
        <w:jc w:val="both"/>
        <w:rPr>
          <w:b/>
          <w:sz w:val="22"/>
        </w:rPr>
      </w:pPr>
      <w:r w:rsidRPr="00952C33">
        <w:rPr>
          <w:b/>
          <w:sz w:val="22"/>
        </w:rPr>
        <w:t xml:space="preserve">People </w:t>
      </w:r>
      <w:r w:rsidR="00C74F5E" w:rsidRPr="00952C33">
        <w:rPr>
          <w:b/>
          <w:sz w:val="22"/>
        </w:rPr>
        <w:t xml:space="preserve">and culture </w:t>
      </w:r>
      <w:r w:rsidRPr="00952C33">
        <w:rPr>
          <w:b/>
          <w:sz w:val="22"/>
        </w:rPr>
        <w:t>committee</w:t>
      </w:r>
    </w:p>
    <w:p w14:paraId="65FE5E63" w14:textId="77777777" w:rsidR="00FB67CC" w:rsidRPr="00952C33" w:rsidRDefault="00FB67CC" w:rsidP="00FB6278">
      <w:pPr>
        <w:ind w:left="-567"/>
        <w:rPr>
          <w:rFonts w:ascii="Arial" w:hAnsi="Arial"/>
          <w:sz w:val="22"/>
        </w:rPr>
      </w:pPr>
      <w:r w:rsidRPr="00952C33">
        <w:rPr>
          <w:rFonts w:ascii="Arial" w:hAnsi="Arial"/>
          <w:sz w:val="22"/>
        </w:rPr>
        <w:t>The purpose of the committee is to review, on behalf of the board, the following key areas:</w:t>
      </w:r>
    </w:p>
    <w:p w14:paraId="7B3A0330" w14:textId="1DB41029" w:rsidR="007410F6" w:rsidRPr="00952C33" w:rsidRDefault="007410F6" w:rsidP="00FB6278">
      <w:pPr>
        <w:pStyle w:val="ListParagraph"/>
        <w:numPr>
          <w:ilvl w:val="0"/>
          <w:numId w:val="11"/>
        </w:numPr>
        <w:spacing w:after="120"/>
        <w:rPr>
          <w:rFonts w:ascii="Arial" w:hAnsi="Arial"/>
          <w:sz w:val="22"/>
        </w:rPr>
      </w:pPr>
      <w:r w:rsidRPr="00952C33">
        <w:rPr>
          <w:rFonts w:ascii="Arial" w:hAnsi="Arial"/>
          <w:sz w:val="22"/>
        </w:rPr>
        <w:t>the recruitment, retention, management and devel</w:t>
      </w:r>
      <w:r w:rsidR="007D0062" w:rsidRPr="00952C33">
        <w:rPr>
          <w:rFonts w:ascii="Arial" w:hAnsi="Arial"/>
          <w:sz w:val="22"/>
        </w:rPr>
        <w:t xml:space="preserve">opment of the trust’s </w:t>
      </w:r>
      <w:proofErr w:type="gramStart"/>
      <w:r w:rsidR="007D0062" w:rsidRPr="00952C33">
        <w:rPr>
          <w:rFonts w:ascii="Arial" w:hAnsi="Arial"/>
          <w:sz w:val="22"/>
        </w:rPr>
        <w:t>workforce;</w:t>
      </w:r>
      <w:proofErr w:type="gramEnd"/>
    </w:p>
    <w:p w14:paraId="7B993455" w14:textId="24D81EAF" w:rsidR="007410F6" w:rsidRPr="00952C33" w:rsidRDefault="007410F6" w:rsidP="00FB6278">
      <w:pPr>
        <w:pStyle w:val="ListParagraph"/>
        <w:numPr>
          <w:ilvl w:val="0"/>
          <w:numId w:val="11"/>
        </w:numPr>
        <w:spacing w:after="120"/>
        <w:rPr>
          <w:rFonts w:ascii="Arial" w:hAnsi="Arial"/>
          <w:sz w:val="22"/>
        </w:rPr>
      </w:pPr>
      <w:r w:rsidRPr="00952C33">
        <w:rPr>
          <w:rFonts w:ascii="Arial" w:hAnsi="Arial"/>
          <w:sz w:val="22"/>
        </w:rPr>
        <w:t xml:space="preserve">The workforce strategy of the trust and its </w:t>
      </w:r>
      <w:proofErr w:type="gramStart"/>
      <w:r w:rsidRPr="00952C33">
        <w:rPr>
          <w:rFonts w:ascii="Arial" w:hAnsi="Arial"/>
          <w:sz w:val="22"/>
        </w:rPr>
        <w:t>implementation</w:t>
      </w:r>
      <w:r w:rsidR="007D0062" w:rsidRPr="00952C33">
        <w:rPr>
          <w:rFonts w:ascii="Arial" w:hAnsi="Arial"/>
          <w:sz w:val="22"/>
        </w:rPr>
        <w:t>;</w:t>
      </w:r>
      <w:proofErr w:type="gramEnd"/>
    </w:p>
    <w:p w14:paraId="07C0A710" w14:textId="65F2313A" w:rsidR="007410F6" w:rsidRPr="00952C33" w:rsidRDefault="007410F6" w:rsidP="00FB6278">
      <w:pPr>
        <w:pStyle w:val="ListParagraph"/>
        <w:numPr>
          <w:ilvl w:val="0"/>
          <w:numId w:val="11"/>
        </w:numPr>
        <w:spacing w:after="120"/>
        <w:rPr>
          <w:rFonts w:ascii="Arial" w:hAnsi="Arial"/>
          <w:sz w:val="22"/>
        </w:rPr>
      </w:pPr>
      <w:r w:rsidRPr="00952C33">
        <w:rPr>
          <w:rFonts w:ascii="Arial" w:hAnsi="Arial"/>
          <w:sz w:val="22"/>
        </w:rPr>
        <w:t>the education strategy of the trust and its implementation</w:t>
      </w:r>
      <w:r w:rsidR="007D0062" w:rsidRPr="00952C33">
        <w:rPr>
          <w:rFonts w:ascii="Arial" w:hAnsi="Arial"/>
          <w:sz w:val="22"/>
        </w:rPr>
        <w:t>; and</w:t>
      </w:r>
    </w:p>
    <w:p w14:paraId="6DA82F32" w14:textId="794E9F4E" w:rsidR="007410F6" w:rsidRPr="00952C33" w:rsidRDefault="007410F6" w:rsidP="00FB6278">
      <w:pPr>
        <w:pStyle w:val="ListParagraph"/>
        <w:numPr>
          <w:ilvl w:val="0"/>
          <w:numId w:val="11"/>
        </w:numPr>
        <w:spacing w:after="120"/>
        <w:rPr>
          <w:rFonts w:ascii="Arial" w:hAnsi="Arial"/>
          <w:sz w:val="22"/>
        </w:rPr>
      </w:pPr>
      <w:r w:rsidRPr="00952C33">
        <w:rPr>
          <w:rFonts w:ascii="Arial" w:hAnsi="Arial"/>
          <w:sz w:val="22"/>
        </w:rPr>
        <w:t>the trust’s obligations under the public sector equality duty</w:t>
      </w:r>
      <w:r w:rsidR="007D0062" w:rsidRPr="00952C33">
        <w:rPr>
          <w:rFonts w:ascii="Arial" w:hAnsi="Arial"/>
          <w:sz w:val="22"/>
        </w:rPr>
        <w:t>.</w:t>
      </w:r>
    </w:p>
    <w:p w14:paraId="6EAF852D" w14:textId="77777777" w:rsidR="007410F6" w:rsidRPr="00952C33" w:rsidRDefault="007410F6" w:rsidP="00FB6278">
      <w:pPr>
        <w:pStyle w:val="ListParagraph"/>
        <w:spacing w:after="120"/>
        <w:rPr>
          <w:rFonts w:ascii="Arial" w:hAnsi="Arial"/>
          <w:sz w:val="22"/>
        </w:rPr>
      </w:pPr>
    </w:p>
    <w:p w14:paraId="3732A865" w14:textId="21FC7F62" w:rsidR="00FB67CC" w:rsidRPr="00952C33" w:rsidRDefault="00FB67CC" w:rsidP="00FB6278">
      <w:pPr>
        <w:pStyle w:val="ListParagraph"/>
        <w:spacing w:after="120"/>
        <w:ind w:left="-567"/>
        <w:rPr>
          <w:rFonts w:ascii="Arial" w:hAnsi="Arial"/>
          <w:sz w:val="22"/>
        </w:rPr>
      </w:pPr>
      <w:r w:rsidRPr="00952C33">
        <w:rPr>
          <w:rFonts w:ascii="Arial" w:hAnsi="Arial"/>
          <w:b/>
          <w:sz w:val="22"/>
        </w:rPr>
        <w:t>Finance committee</w:t>
      </w:r>
    </w:p>
    <w:p w14:paraId="2D730787" w14:textId="214B4949" w:rsidR="00FB67CC" w:rsidRPr="00952C33" w:rsidRDefault="00FB67CC" w:rsidP="00FB6278">
      <w:pPr>
        <w:ind w:left="-567"/>
        <w:rPr>
          <w:rFonts w:ascii="Arial" w:hAnsi="Arial"/>
          <w:sz w:val="22"/>
        </w:rPr>
      </w:pPr>
      <w:r w:rsidRPr="00952C33">
        <w:rPr>
          <w:rFonts w:ascii="Arial" w:hAnsi="Arial"/>
          <w:sz w:val="22"/>
        </w:rPr>
        <w:t>The purpose of the committee is to review, on behalf of the</w:t>
      </w:r>
      <w:r w:rsidR="007D0062" w:rsidRPr="00952C33">
        <w:rPr>
          <w:rFonts w:ascii="Arial" w:hAnsi="Arial"/>
          <w:sz w:val="22"/>
        </w:rPr>
        <w:t xml:space="preserve"> board, the following key areas:</w:t>
      </w:r>
    </w:p>
    <w:p w14:paraId="30F4A1E8" w14:textId="259A3F72" w:rsidR="00FB67CC" w:rsidRPr="00952C33" w:rsidRDefault="00FB67CC" w:rsidP="00FB6278">
      <w:pPr>
        <w:pStyle w:val="ListParagraph"/>
        <w:numPr>
          <w:ilvl w:val="0"/>
          <w:numId w:val="11"/>
        </w:numPr>
        <w:spacing w:after="120"/>
        <w:rPr>
          <w:rFonts w:ascii="Arial" w:hAnsi="Arial"/>
          <w:sz w:val="22"/>
        </w:rPr>
      </w:pPr>
      <w:r w:rsidRPr="00952C33">
        <w:rPr>
          <w:rFonts w:ascii="Arial" w:hAnsi="Arial"/>
          <w:sz w:val="22"/>
        </w:rPr>
        <w:t xml:space="preserve">financial policies </w:t>
      </w:r>
      <w:r w:rsidR="00086C34" w:rsidRPr="00952C33">
        <w:rPr>
          <w:rFonts w:ascii="Arial" w:hAnsi="Arial"/>
          <w:sz w:val="22"/>
        </w:rPr>
        <w:t>and strategy</w:t>
      </w:r>
      <w:r w:rsidR="007D0062" w:rsidRPr="00952C33">
        <w:rPr>
          <w:rFonts w:ascii="Arial" w:hAnsi="Arial"/>
          <w:sz w:val="22"/>
        </w:rPr>
        <w:t>; and</w:t>
      </w:r>
    </w:p>
    <w:p w14:paraId="34FB1A5E" w14:textId="1DA8F790" w:rsidR="00FB67CC" w:rsidRPr="00952C33" w:rsidRDefault="00FB67CC" w:rsidP="00FB6278">
      <w:pPr>
        <w:pStyle w:val="ListParagraph"/>
        <w:numPr>
          <w:ilvl w:val="0"/>
          <w:numId w:val="11"/>
        </w:numPr>
        <w:spacing w:after="120"/>
        <w:rPr>
          <w:rFonts w:ascii="Arial" w:hAnsi="Arial"/>
          <w:sz w:val="22"/>
        </w:rPr>
      </w:pPr>
      <w:r w:rsidRPr="00952C33">
        <w:rPr>
          <w:rFonts w:ascii="Arial" w:hAnsi="Arial"/>
          <w:sz w:val="22"/>
        </w:rPr>
        <w:t>financial performance and delivery of the trust budget</w:t>
      </w:r>
      <w:r w:rsidR="007D0062" w:rsidRPr="00952C33">
        <w:rPr>
          <w:rFonts w:ascii="Arial" w:hAnsi="Arial"/>
          <w:sz w:val="22"/>
        </w:rPr>
        <w:t>.</w:t>
      </w:r>
      <w:r w:rsidRPr="00952C33">
        <w:rPr>
          <w:rFonts w:ascii="Arial" w:hAnsi="Arial"/>
          <w:sz w:val="22"/>
        </w:rPr>
        <w:t xml:space="preserve">  </w:t>
      </w:r>
    </w:p>
    <w:p w14:paraId="28BE7AE6" w14:textId="77777777" w:rsidR="007410F6" w:rsidRPr="00952C33" w:rsidRDefault="00FB67CC" w:rsidP="00FB6278">
      <w:pPr>
        <w:spacing w:after="120"/>
        <w:ind w:left="-567"/>
        <w:rPr>
          <w:rFonts w:ascii="Arial" w:hAnsi="Arial"/>
          <w:sz w:val="22"/>
        </w:rPr>
      </w:pPr>
      <w:r w:rsidRPr="00952C33">
        <w:rPr>
          <w:rFonts w:ascii="Arial" w:hAnsi="Arial"/>
          <w:b/>
          <w:sz w:val="22"/>
        </w:rPr>
        <w:t>Capital scrutiny committee</w:t>
      </w:r>
      <w:r w:rsidR="007410F6" w:rsidRPr="00952C33">
        <w:rPr>
          <w:rFonts w:ascii="Arial" w:hAnsi="Arial"/>
          <w:sz w:val="22"/>
        </w:rPr>
        <w:t xml:space="preserve"> </w:t>
      </w:r>
    </w:p>
    <w:p w14:paraId="5BD21FD0" w14:textId="2D0B6215" w:rsidR="007410F6" w:rsidRPr="00952C33" w:rsidRDefault="007410F6" w:rsidP="00FB6278">
      <w:pPr>
        <w:spacing w:after="120"/>
        <w:ind w:left="-567"/>
        <w:rPr>
          <w:rFonts w:ascii="Arial" w:hAnsi="Arial"/>
          <w:sz w:val="22"/>
        </w:rPr>
      </w:pPr>
      <w:r w:rsidRPr="00952C33">
        <w:rPr>
          <w:rFonts w:ascii="Arial" w:hAnsi="Arial"/>
          <w:sz w:val="22"/>
        </w:rPr>
        <w:t xml:space="preserve">The purpose of the committee is to provide advice and scrutiny to the trust board on all capital investment projects above £1m. </w:t>
      </w:r>
    </w:p>
    <w:p w14:paraId="7AD40FED" w14:textId="4A5B5221" w:rsidR="00FB67CC" w:rsidRPr="00952C33" w:rsidRDefault="007410F6" w:rsidP="008B2FEE">
      <w:pPr>
        <w:spacing w:after="120"/>
        <w:ind w:left="-567"/>
        <w:jc w:val="both"/>
        <w:rPr>
          <w:rFonts w:ascii="Arial" w:hAnsi="Arial"/>
          <w:sz w:val="22"/>
        </w:rPr>
        <w:sectPr w:rsidR="00FB67CC" w:rsidRPr="00952C33" w:rsidSect="00FB67CC">
          <w:pgSz w:w="11906" w:h="16838"/>
          <w:pgMar w:top="1440" w:right="1440" w:bottom="284" w:left="1440" w:header="708" w:footer="708" w:gutter="0"/>
          <w:cols w:space="708"/>
          <w:docGrid w:linePitch="360"/>
        </w:sectPr>
      </w:pPr>
      <w:r w:rsidRPr="00952C33">
        <w:rPr>
          <w:rFonts w:ascii="Arial" w:hAnsi="Arial"/>
          <w:sz w:val="22"/>
        </w:rPr>
        <w:t xml:space="preserve">The committee is led by a property professional able to advise and challenge the executive responsible for the trust’s capital programme (currently the director of estates, </w:t>
      </w:r>
      <w:proofErr w:type="gramStart"/>
      <w:r w:rsidRPr="00952C33">
        <w:rPr>
          <w:rFonts w:ascii="Arial" w:hAnsi="Arial"/>
          <w:sz w:val="22"/>
        </w:rPr>
        <w:t>capital</w:t>
      </w:r>
      <w:proofErr w:type="gramEnd"/>
      <w:r w:rsidRPr="00952C33">
        <w:rPr>
          <w:rFonts w:ascii="Arial" w:hAnsi="Arial"/>
          <w:sz w:val="22"/>
        </w:rPr>
        <w:t xml:space="preserve"> and major projects</w:t>
      </w:r>
      <w:r w:rsidR="008B2FEE">
        <w:rPr>
          <w:rFonts w:ascii="Arial" w:hAnsi="Arial"/>
          <w:sz w:val="22"/>
        </w:rPr>
        <w:t xml:space="preserve">). </w:t>
      </w:r>
    </w:p>
    <w:p w14:paraId="5CBEB61F" w14:textId="77777777" w:rsidR="00FB67CC" w:rsidRPr="00952C33" w:rsidRDefault="00FB67CC" w:rsidP="00FB6278">
      <w:pPr>
        <w:spacing w:after="120"/>
        <w:rPr>
          <w:rFonts w:ascii="Arial" w:hAnsi="Arial"/>
          <w:sz w:val="22"/>
        </w:rPr>
      </w:pPr>
    </w:p>
    <w:p w14:paraId="2E268CC7" w14:textId="72F7266B" w:rsidR="00820C61" w:rsidRPr="008B2FEE" w:rsidRDefault="00AA5801" w:rsidP="00FB6278">
      <w:pPr>
        <w:pStyle w:val="MEHBoldheading1"/>
        <w:ind w:left="-284"/>
        <w:rPr>
          <w:sz w:val="28"/>
          <w:szCs w:val="28"/>
        </w:rPr>
      </w:pPr>
      <w:r w:rsidRPr="008B2FEE">
        <w:rPr>
          <w:sz w:val="28"/>
          <w:szCs w:val="28"/>
        </w:rPr>
        <w:t xml:space="preserve">3.2 </w:t>
      </w:r>
      <w:r w:rsidR="00820C61" w:rsidRPr="008B2FEE">
        <w:rPr>
          <w:sz w:val="28"/>
          <w:szCs w:val="28"/>
        </w:rPr>
        <w:t>Membership report</w:t>
      </w:r>
    </w:p>
    <w:p w14:paraId="3A64B4EA" w14:textId="71732677" w:rsidR="00F34AFB" w:rsidRPr="00952C33" w:rsidRDefault="00F34AFB" w:rsidP="00FB6278">
      <w:pPr>
        <w:pStyle w:val="MEHArial"/>
        <w:ind w:left="-284"/>
        <w:jc w:val="both"/>
        <w:rPr>
          <w:sz w:val="22"/>
        </w:rPr>
      </w:pPr>
      <w:r w:rsidRPr="00952C33">
        <w:rPr>
          <w:sz w:val="22"/>
        </w:rPr>
        <w:t xml:space="preserve">The </w:t>
      </w:r>
      <w:r w:rsidRPr="00952C33">
        <w:rPr>
          <w:b/>
          <w:sz w:val="22"/>
        </w:rPr>
        <w:t>membership council</w:t>
      </w:r>
      <w:r w:rsidRPr="00952C33">
        <w:rPr>
          <w:sz w:val="22"/>
        </w:rPr>
        <w:t xml:space="preserve"> has a duty under the NHS Act 2006 to represent the interests of NHS </w:t>
      </w:r>
      <w:r w:rsidR="006B7C67" w:rsidRPr="00952C33">
        <w:rPr>
          <w:rFonts w:cs="Arial"/>
          <w:sz w:val="22"/>
          <w:szCs w:val="22"/>
        </w:rPr>
        <w:t>F</w:t>
      </w:r>
      <w:r w:rsidRPr="00952C33">
        <w:rPr>
          <w:rFonts w:cs="Arial"/>
          <w:sz w:val="22"/>
          <w:szCs w:val="22"/>
        </w:rPr>
        <w:t xml:space="preserve">oundation </w:t>
      </w:r>
      <w:r w:rsidR="006B7C67" w:rsidRPr="00952C33">
        <w:rPr>
          <w:rFonts w:cs="Arial"/>
          <w:sz w:val="22"/>
          <w:szCs w:val="22"/>
        </w:rPr>
        <w:t>T</w:t>
      </w:r>
      <w:r w:rsidRPr="00952C33">
        <w:rPr>
          <w:rFonts w:cs="Arial"/>
          <w:sz w:val="22"/>
          <w:szCs w:val="22"/>
        </w:rPr>
        <w:t>rust</w:t>
      </w:r>
      <w:r w:rsidRPr="00952C33">
        <w:rPr>
          <w:sz w:val="22"/>
        </w:rPr>
        <w:t xml:space="preserve"> members and the public and trust staff in the governance of an NHS </w:t>
      </w:r>
      <w:r w:rsidR="006B7C67" w:rsidRPr="00952C33">
        <w:rPr>
          <w:rFonts w:cs="Arial"/>
          <w:sz w:val="22"/>
          <w:szCs w:val="22"/>
        </w:rPr>
        <w:t>F</w:t>
      </w:r>
      <w:r w:rsidRPr="00952C33">
        <w:rPr>
          <w:rFonts w:cs="Arial"/>
          <w:sz w:val="22"/>
          <w:szCs w:val="22"/>
        </w:rPr>
        <w:t xml:space="preserve">oundation </w:t>
      </w:r>
      <w:r w:rsidR="006B7C67" w:rsidRPr="00952C33">
        <w:rPr>
          <w:rFonts w:cs="Arial"/>
          <w:sz w:val="22"/>
          <w:szCs w:val="22"/>
        </w:rPr>
        <w:t>T</w:t>
      </w:r>
      <w:r w:rsidRPr="00952C33">
        <w:rPr>
          <w:rFonts w:cs="Arial"/>
          <w:sz w:val="22"/>
          <w:szCs w:val="22"/>
        </w:rPr>
        <w:t>rust.</w:t>
      </w:r>
      <w:r w:rsidRPr="00952C33">
        <w:rPr>
          <w:sz w:val="22"/>
        </w:rPr>
        <w:t xml:space="preserve"> The membership council includes elected and nominated governors as shown in the table overleaf and has decision-making powers defined by statute. These powers are described in the constitution and are mainly concerned with holding to account the non-executive directors individually and collectively for the performance of the trust board; the appointment, removal and remuneration of the chairman and non-executive directors; the appointment and removal of our external auditors; the provision of views on strategic plans; and representing the views of members.</w:t>
      </w:r>
    </w:p>
    <w:p w14:paraId="447D59F0" w14:textId="4CF2684A" w:rsidR="00F34AFB" w:rsidRPr="00952C33" w:rsidRDefault="00F34AFB" w:rsidP="00FB6278">
      <w:pPr>
        <w:pStyle w:val="MEHArial"/>
        <w:ind w:left="-284"/>
        <w:jc w:val="both"/>
        <w:rPr>
          <w:sz w:val="22"/>
        </w:rPr>
      </w:pPr>
      <w:r w:rsidRPr="00952C33">
        <w:rPr>
          <w:sz w:val="22"/>
        </w:rPr>
        <w:t xml:space="preserve">The council </w:t>
      </w:r>
      <w:r w:rsidRPr="0048712F">
        <w:rPr>
          <w:sz w:val="22"/>
        </w:rPr>
        <w:t xml:space="preserve">formally met </w:t>
      </w:r>
      <w:r w:rsidR="00163868" w:rsidRPr="0048712F">
        <w:rPr>
          <w:sz w:val="22"/>
        </w:rPr>
        <w:t>five</w:t>
      </w:r>
      <w:r w:rsidRPr="0048712F">
        <w:rPr>
          <w:sz w:val="22"/>
        </w:rPr>
        <w:t xml:space="preserve"> times during </w:t>
      </w:r>
      <w:r w:rsidR="00CE2B41" w:rsidRPr="0048712F">
        <w:rPr>
          <w:sz w:val="22"/>
        </w:rPr>
        <w:t>2021/22</w:t>
      </w:r>
      <w:r w:rsidRPr="0048712F">
        <w:rPr>
          <w:sz w:val="22"/>
        </w:rPr>
        <w:t xml:space="preserve"> to discuss a wide range of subjects, including </w:t>
      </w:r>
      <w:r w:rsidR="00323D61" w:rsidRPr="0048712F">
        <w:rPr>
          <w:sz w:val="22"/>
        </w:rPr>
        <w:t>patient engagement an</w:t>
      </w:r>
      <w:r w:rsidR="00163868" w:rsidRPr="0048712F">
        <w:rPr>
          <w:sz w:val="22"/>
        </w:rPr>
        <w:t xml:space="preserve">d communication, digital and technology progress, Oriel engagement and progress, the sustainability agenda, </w:t>
      </w:r>
      <w:r w:rsidR="006B7C67" w:rsidRPr="0048712F">
        <w:rPr>
          <w:rFonts w:cs="Arial"/>
          <w:sz w:val="22"/>
          <w:szCs w:val="22"/>
        </w:rPr>
        <w:t>artificial</w:t>
      </w:r>
      <w:r w:rsidR="006B7C67" w:rsidRPr="0048712F">
        <w:rPr>
          <w:sz w:val="22"/>
        </w:rPr>
        <w:t xml:space="preserve"> intelligence, </w:t>
      </w:r>
      <w:r w:rsidR="00163868" w:rsidRPr="0048712F">
        <w:rPr>
          <w:sz w:val="22"/>
        </w:rPr>
        <w:t>the ethical use of patient data and diagnostic hubs</w:t>
      </w:r>
      <w:r w:rsidR="00323D61" w:rsidRPr="0048712F">
        <w:rPr>
          <w:sz w:val="22"/>
        </w:rPr>
        <w:t xml:space="preserve">. </w:t>
      </w:r>
      <w:r w:rsidR="00163868" w:rsidRPr="0048712F">
        <w:rPr>
          <w:sz w:val="22"/>
        </w:rPr>
        <w:t xml:space="preserve">An extraordinary meeting was held in December 2021 to provide a detailed </w:t>
      </w:r>
      <w:r w:rsidR="00BD7E0B" w:rsidRPr="0048712F">
        <w:rPr>
          <w:sz w:val="22"/>
        </w:rPr>
        <w:t>briefing</w:t>
      </w:r>
      <w:r w:rsidR="00163868" w:rsidRPr="0048712F">
        <w:rPr>
          <w:sz w:val="22"/>
        </w:rPr>
        <w:t xml:space="preserve"> on the sale of the City Road site</w:t>
      </w:r>
      <w:r w:rsidR="00A80492" w:rsidRPr="0048712F">
        <w:rPr>
          <w:sz w:val="22"/>
        </w:rPr>
        <w:t xml:space="preserve"> and approved the sale of City Road in March 2022.</w:t>
      </w:r>
      <w:r w:rsidR="00CE2B41" w:rsidRPr="0048712F">
        <w:rPr>
          <w:sz w:val="22"/>
        </w:rPr>
        <w:t xml:space="preserve">The council </w:t>
      </w:r>
      <w:r w:rsidR="00A80492" w:rsidRPr="0048712F">
        <w:rPr>
          <w:sz w:val="22"/>
        </w:rPr>
        <w:t xml:space="preserve">also </w:t>
      </w:r>
      <w:r w:rsidR="00CE2B41" w:rsidRPr="0048712F">
        <w:rPr>
          <w:sz w:val="22"/>
        </w:rPr>
        <w:t xml:space="preserve">formally approved the appointment of the new chief executive in </w:t>
      </w:r>
      <w:r w:rsidR="00163868" w:rsidRPr="0048712F">
        <w:rPr>
          <w:sz w:val="22"/>
        </w:rPr>
        <w:t>April 2021</w:t>
      </w:r>
      <w:r w:rsidR="00CE2B41" w:rsidRPr="0048712F">
        <w:rPr>
          <w:sz w:val="22"/>
        </w:rPr>
        <w:t xml:space="preserve">. </w:t>
      </w:r>
      <w:r w:rsidR="00163868" w:rsidRPr="0048712F">
        <w:rPr>
          <w:sz w:val="22"/>
        </w:rPr>
        <w:t>All</w:t>
      </w:r>
      <w:r w:rsidR="006D0234" w:rsidRPr="0048712F">
        <w:rPr>
          <w:sz w:val="22"/>
        </w:rPr>
        <w:t xml:space="preserve"> meetings were</w:t>
      </w:r>
      <w:r w:rsidR="006D0234" w:rsidRPr="00952C33">
        <w:rPr>
          <w:sz w:val="22"/>
        </w:rPr>
        <w:t xml:space="preserve"> held </w:t>
      </w:r>
      <w:r w:rsidR="00C9708A">
        <w:rPr>
          <w:sz w:val="22"/>
        </w:rPr>
        <w:t>online.</w:t>
      </w:r>
      <w:r w:rsidR="006D0234">
        <w:rPr>
          <w:rFonts w:asciiTheme="majorHAnsi" w:hAnsiTheme="majorHAnsi" w:cstheme="majorHAnsi"/>
          <w:sz w:val="22"/>
          <w:szCs w:val="22"/>
        </w:rPr>
        <w:t xml:space="preserve"> </w:t>
      </w:r>
    </w:p>
    <w:p w14:paraId="7A29B380" w14:textId="6B2ECDAB" w:rsidR="00323D61" w:rsidRPr="00952C33" w:rsidRDefault="00CE2B41" w:rsidP="00FB6278">
      <w:pPr>
        <w:pStyle w:val="MEHArial"/>
        <w:ind w:left="-284"/>
        <w:jc w:val="both"/>
        <w:rPr>
          <w:sz w:val="22"/>
        </w:rPr>
      </w:pPr>
      <w:r w:rsidRPr="00952C33">
        <w:rPr>
          <w:sz w:val="22"/>
        </w:rPr>
        <w:t>This year has been another challenging one</w:t>
      </w:r>
      <w:r w:rsidR="00323D61" w:rsidRPr="00952C33">
        <w:rPr>
          <w:sz w:val="22"/>
        </w:rPr>
        <w:t xml:space="preserve"> for governors, </w:t>
      </w:r>
      <w:r w:rsidR="006B7C67" w:rsidRPr="00952C33">
        <w:rPr>
          <w:sz w:val="22"/>
        </w:rPr>
        <w:t xml:space="preserve">who were </w:t>
      </w:r>
      <w:r w:rsidR="00163868" w:rsidRPr="00952C33">
        <w:rPr>
          <w:sz w:val="22"/>
        </w:rPr>
        <w:t>still</w:t>
      </w:r>
      <w:r w:rsidR="00323D61" w:rsidRPr="00952C33">
        <w:rPr>
          <w:sz w:val="22"/>
        </w:rPr>
        <w:t xml:space="preserve"> unable to come </w:t>
      </w:r>
      <w:r w:rsidR="00323D61" w:rsidRPr="00952C33">
        <w:rPr>
          <w:rFonts w:cs="Arial"/>
          <w:sz w:val="22"/>
          <w:szCs w:val="22"/>
        </w:rPr>
        <w:t>into</w:t>
      </w:r>
      <w:r w:rsidR="00323D61" w:rsidRPr="00952C33">
        <w:rPr>
          <w:sz w:val="22"/>
        </w:rPr>
        <w:t xml:space="preserve"> the hospital and engage with members in the way they usually would. Therefor</w:t>
      </w:r>
      <w:r w:rsidR="00163868" w:rsidRPr="00952C33">
        <w:rPr>
          <w:sz w:val="22"/>
        </w:rPr>
        <w:t>e, the council has had to continue</w:t>
      </w:r>
      <w:r w:rsidR="00323D61" w:rsidRPr="00952C33">
        <w:rPr>
          <w:sz w:val="22"/>
        </w:rPr>
        <w:t xml:space="preserve"> its </w:t>
      </w:r>
      <w:r w:rsidR="006B7C67" w:rsidRPr="00952C33">
        <w:rPr>
          <w:sz w:val="22"/>
        </w:rPr>
        <w:t xml:space="preserve">2020/21 </w:t>
      </w:r>
      <w:r w:rsidR="00323D61" w:rsidRPr="00952C33">
        <w:rPr>
          <w:sz w:val="22"/>
        </w:rPr>
        <w:t xml:space="preserve">approach to membership engagement and holding NEDs to account for the performance of the board. </w:t>
      </w:r>
    </w:p>
    <w:p w14:paraId="17F0195E" w14:textId="5D90664E" w:rsidR="00F34AFB" w:rsidRPr="00952C33" w:rsidRDefault="00F34AFB" w:rsidP="00FB6278">
      <w:pPr>
        <w:pStyle w:val="MEHArial"/>
        <w:ind w:left="-284"/>
        <w:jc w:val="both"/>
        <w:rPr>
          <w:sz w:val="22"/>
        </w:rPr>
      </w:pPr>
      <w:r w:rsidRPr="00952C33">
        <w:rPr>
          <w:sz w:val="22"/>
        </w:rPr>
        <w:t xml:space="preserve">Governors receive a copy of the public board papers and are actively encouraged to attend the meetings. </w:t>
      </w:r>
      <w:r w:rsidR="0086000C" w:rsidRPr="00952C33">
        <w:rPr>
          <w:sz w:val="22"/>
        </w:rPr>
        <w:t xml:space="preserve">The move to virtual board meetings has meant that more of our governors </w:t>
      </w:r>
      <w:proofErr w:type="gramStart"/>
      <w:r w:rsidR="0086000C" w:rsidRPr="00952C33">
        <w:rPr>
          <w:sz w:val="22"/>
        </w:rPr>
        <w:t>have the opportunity to</w:t>
      </w:r>
      <w:proofErr w:type="gramEnd"/>
      <w:r w:rsidR="0086000C" w:rsidRPr="00952C33">
        <w:rPr>
          <w:sz w:val="22"/>
        </w:rPr>
        <w:t xml:space="preserve"> attend</w:t>
      </w:r>
      <w:r w:rsidR="00F43D67" w:rsidRPr="00952C33">
        <w:rPr>
          <w:sz w:val="22"/>
        </w:rPr>
        <w:t>,</w:t>
      </w:r>
      <w:r w:rsidR="00323D61" w:rsidRPr="00952C33">
        <w:rPr>
          <w:sz w:val="22"/>
        </w:rPr>
        <w:t xml:space="preserve"> which </w:t>
      </w:r>
      <w:r w:rsidR="005921C4" w:rsidRPr="00952C33">
        <w:rPr>
          <w:sz w:val="22"/>
        </w:rPr>
        <w:t xml:space="preserve">is an extremely positive step and </w:t>
      </w:r>
      <w:r w:rsidR="00323D61" w:rsidRPr="00952C33">
        <w:rPr>
          <w:sz w:val="22"/>
        </w:rPr>
        <w:t xml:space="preserve">allows them to gain assurance that the trust continues to work well under considerable pressure. </w:t>
      </w:r>
      <w:r w:rsidRPr="00952C33">
        <w:rPr>
          <w:sz w:val="22"/>
        </w:rPr>
        <w:t xml:space="preserve">Feedback from membership council meetings is provided at the next available board meeting. Governors are encouraged to provide as much feedback to membership council meetings as possible, and this includes reporting from their established subgroups and any </w:t>
      </w:r>
      <w:r w:rsidR="00323D61" w:rsidRPr="00952C33">
        <w:rPr>
          <w:sz w:val="22"/>
        </w:rPr>
        <w:t>courses they attend.</w:t>
      </w:r>
    </w:p>
    <w:p w14:paraId="7109E211" w14:textId="1ED7CD35" w:rsidR="00F34AFB" w:rsidRPr="00952C33" w:rsidRDefault="00163868" w:rsidP="00FB6278">
      <w:pPr>
        <w:pStyle w:val="MEHArial"/>
        <w:ind w:left="-284"/>
        <w:jc w:val="both"/>
        <w:rPr>
          <w:sz w:val="22"/>
        </w:rPr>
      </w:pPr>
      <w:r w:rsidRPr="00952C33">
        <w:rPr>
          <w:sz w:val="22"/>
        </w:rPr>
        <w:t>The trust</w:t>
      </w:r>
      <w:r w:rsidR="00323D61" w:rsidRPr="00952C33">
        <w:rPr>
          <w:sz w:val="22"/>
        </w:rPr>
        <w:t xml:space="preserve"> continue</w:t>
      </w:r>
      <w:r w:rsidRPr="00952C33">
        <w:rPr>
          <w:sz w:val="22"/>
        </w:rPr>
        <w:t>s</w:t>
      </w:r>
      <w:r w:rsidR="00323D61" w:rsidRPr="00952C33">
        <w:rPr>
          <w:sz w:val="22"/>
        </w:rPr>
        <w:t xml:space="preserve"> to schedule sessions for governors on speci</w:t>
      </w:r>
      <w:r w:rsidR="0086000C" w:rsidRPr="00952C33">
        <w:rPr>
          <w:sz w:val="22"/>
        </w:rPr>
        <w:t>fic topics</w:t>
      </w:r>
      <w:r w:rsidR="00F43D67" w:rsidRPr="00952C33">
        <w:rPr>
          <w:rFonts w:cs="Arial"/>
          <w:sz w:val="22"/>
          <w:szCs w:val="22"/>
        </w:rPr>
        <w:t>;</w:t>
      </w:r>
      <w:r w:rsidR="0086000C" w:rsidRPr="00952C33">
        <w:rPr>
          <w:sz w:val="22"/>
        </w:rPr>
        <w:t xml:space="preserve"> most recently</w:t>
      </w:r>
      <w:r w:rsidR="00F43D67" w:rsidRPr="00952C33">
        <w:rPr>
          <w:sz w:val="22"/>
        </w:rPr>
        <w:t>,</w:t>
      </w:r>
      <w:r w:rsidR="0086000C" w:rsidRPr="00952C33">
        <w:rPr>
          <w:sz w:val="22"/>
        </w:rPr>
        <w:t xml:space="preserve"> there </w:t>
      </w:r>
      <w:r w:rsidR="0086000C" w:rsidRPr="00952C33">
        <w:rPr>
          <w:rFonts w:cs="Arial"/>
          <w:sz w:val="22"/>
          <w:szCs w:val="22"/>
        </w:rPr>
        <w:t>ha</w:t>
      </w:r>
      <w:r w:rsidR="00F43D67" w:rsidRPr="00952C33">
        <w:rPr>
          <w:rFonts w:cs="Arial"/>
          <w:sz w:val="22"/>
          <w:szCs w:val="22"/>
        </w:rPr>
        <w:t>s</w:t>
      </w:r>
      <w:r w:rsidR="0086000C" w:rsidRPr="00952C33">
        <w:rPr>
          <w:sz w:val="22"/>
        </w:rPr>
        <w:t xml:space="preserve"> been a series of in</w:t>
      </w:r>
      <w:r w:rsidR="00F43D67" w:rsidRPr="00952C33">
        <w:rPr>
          <w:sz w:val="22"/>
        </w:rPr>
        <w:t>-</w:t>
      </w:r>
      <w:r w:rsidR="0086000C" w:rsidRPr="00952C33">
        <w:rPr>
          <w:sz w:val="22"/>
        </w:rPr>
        <w:t>depth briefings designed to help governors through the detail of the Oriel full business case</w:t>
      </w:r>
      <w:r w:rsidR="00F43D67" w:rsidRPr="00952C33">
        <w:rPr>
          <w:sz w:val="22"/>
        </w:rPr>
        <w:t>,</w:t>
      </w:r>
      <w:r w:rsidR="0086000C" w:rsidRPr="00952C33">
        <w:rPr>
          <w:sz w:val="22"/>
        </w:rPr>
        <w:t xml:space="preserve"> which is</w:t>
      </w:r>
      <w:r w:rsidR="007B41D2">
        <w:rPr>
          <w:sz w:val="22"/>
        </w:rPr>
        <w:t xml:space="preserve"> due to come to the board</w:t>
      </w:r>
      <w:r w:rsidR="0086000C" w:rsidRPr="00952C33">
        <w:rPr>
          <w:sz w:val="22"/>
        </w:rPr>
        <w:t xml:space="preserve"> for decision in April 2022. </w:t>
      </w:r>
      <w:r w:rsidR="00323D61" w:rsidRPr="00952C33">
        <w:rPr>
          <w:sz w:val="22"/>
        </w:rPr>
        <w:t xml:space="preserve"> </w:t>
      </w:r>
      <w:r w:rsidR="0086000C" w:rsidRPr="00952C33">
        <w:rPr>
          <w:sz w:val="22"/>
        </w:rPr>
        <w:t xml:space="preserve">The topics for these briefings have been the sale of City Road, </w:t>
      </w:r>
      <w:r w:rsidR="00F43D67" w:rsidRPr="00952C33">
        <w:rPr>
          <w:sz w:val="22"/>
        </w:rPr>
        <w:t xml:space="preserve">the </w:t>
      </w:r>
      <w:r w:rsidR="0086000C" w:rsidRPr="00952C33">
        <w:rPr>
          <w:sz w:val="22"/>
        </w:rPr>
        <w:t>clinical model and design and the financial case for Oriel</w:t>
      </w:r>
      <w:r w:rsidR="00F43D67" w:rsidRPr="00952C33">
        <w:rPr>
          <w:sz w:val="22"/>
        </w:rPr>
        <w:t>,</w:t>
      </w:r>
      <w:r w:rsidR="0086000C" w:rsidRPr="00952C33">
        <w:rPr>
          <w:sz w:val="22"/>
        </w:rPr>
        <w:t xml:space="preserve"> although governors have been updated as often as possible about the progress of Oriel</w:t>
      </w:r>
      <w:r w:rsidRPr="00952C33">
        <w:rPr>
          <w:sz w:val="22"/>
        </w:rPr>
        <w:t>.</w:t>
      </w:r>
      <w:r w:rsidR="0086000C" w:rsidRPr="00952C33">
        <w:rPr>
          <w:sz w:val="22"/>
        </w:rPr>
        <w:t xml:space="preserve"> </w:t>
      </w:r>
    </w:p>
    <w:p w14:paraId="5BCBDDCA" w14:textId="2EDB1539" w:rsidR="001528E9" w:rsidRPr="00952C33" w:rsidRDefault="0086000C" w:rsidP="00FB6278">
      <w:pPr>
        <w:pStyle w:val="MEHArial"/>
        <w:ind w:left="-284"/>
        <w:jc w:val="both"/>
        <w:rPr>
          <w:sz w:val="22"/>
        </w:rPr>
      </w:pPr>
      <w:r w:rsidRPr="00952C33">
        <w:rPr>
          <w:sz w:val="22"/>
        </w:rPr>
        <w:t>Governors have also had their annual session with the chairs of the audit and quality committees as well as a session with Richard Holmes, chair of the strategy and commercial committee, and Adrian Morris, our most recently appointed non-executive director</w:t>
      </w:r>
      <w:r w:rsidR="005921C4" w:rsidRPr="00952C33">
        <w:rPr>
          <w:sz w:val="22"/>
        </w:rPr>
        <w:t xml:space="preserve">. </w:t>
      </w:r>
    </w:p>
    <w:p w14:paraId="2332ABDA" w14:textId="77777777" w:rsidR="00F34AFB" w:rsidRPr="00952C33" w:rsidRDefault="00F34AFB" w:rsidP="00FB6278">
      <w:pPr>
        <w:pStyle w:val="MEHArial"/>
        <w:ind w:left="-284"/>
        <w:rPr>
          <w:sz w:val="22"/>
        </w:rPr>
      </w:pPr>
      <w:r w:rsidRPr="00952C33">
        <w:rPr>
          <w:sz w:val="22"/>
        </w:rPr>
        <w:t>The process for resolving any dispute between the membership council and the board of directors is described in the constitution (paragraph 17).</w:t>
      </w:r>
    </w:p>
    <w:p w14:paraId="505DD1A8" w14:textId="77777777" w:rsidR="00104410" w:rsidRPr="00952C33" w:rsidRDefault="00104410" w:rsidP="00FB6278">
      <w:pPr>
        <w:rPr>
          <w:rFonts w:ascii="Arial" w:hAnsi="Arial"/>
          <w:sz w:val="22"/>
        </w:rPr>
      </w:pPr>
    </w:p>
    <w:p w14:paraId="361C94D4" w14:textId="77777777" w:rsidR="00F34AFB" w:rsidRPr="00952C33" w:rsidRDefault="00F34AFB" w:rsidP="00FB6278">
      <w:pPr>
        <w:rPr>
          <w:rFonts w:ascii="Arial" w:hAnsi="Arial"/>
          <w:sz w:val="22"/>
        </w:rPr>
        <w:sectPr w:rsidR="00F34AFB" w:rsidRPr="00952C33" w:rsidSect="0010743B">
          <w:footerReference w:type="even" r:id="rId23"/>
          <w:footerReference w:type="default" r:id="rId24"/>
          <w:pgSz w:w="11906" w:h="16838"/>
          <w:pgMar w:top="720" w:right="720" w:bottom="720" w:left="1134" w:header="720" w:footer="720" w:gutter="0"/>
          <w:cols w:space="720"/>
          <w:noEndnote/>
          <w:docGrid w:linePitch="326"/>
        </w:sectPr>
      </w:pPr>
    </w:p>
    <w:p w14:paraId="1843E2FF" w14:textId="240056F7" w:rsidR="00F34AFB" w:rsidRPr="00952C33" w:rsidRDefault="00F34AFB" w:rsidP="00FB6278">
      <w:pPr>
        <w:pStyle w:val="Heading3"/>
        <w:rPr>
          <w:sz w:val="22"/>
        </w:rPr>
      </w:pPr>
      <w:r w:rsidRPr="00952C33">
        <w:rPr>
          <w:sz w:val="22"/>
        </w:rPr>
        <w:lastRenderedPageBreak/>
        <w:t xml:space="preserve">Membership Council composition and attendance report </w:t>
      </w:r>
      <w:r w:rsidR="00CE2B41" w:rsidRPr="00952C33">
        <w:rPr>
          <w:sz w:val="22"/>
        </w:rPr>
        <w:t>2021/22</w:t>
      </w:r>
    </w:p>
    <w:p w14:paraId="69F77F78" w14:textId="36DC224C" w:rsidR="00F34AFB" w:rsidRPr="00952C33" w:rsidRDefault="00F34AFB" w:rsidP="00FB6278">
      <w:pPr>
        <w:rPr>
          <w:rFonts w:ascii="Arial" w:hAnsi="Arial"/>
          <w:sz w:val="22"/>
        </w:rPr>
      </w:pPr>
    </w:p>
    <w:tbl>
      <w:tblPr>
        <w:tblStyle w:val="TableGrid"/>
        <w:tblW w:w="13852" w:type="dxa"/>
        <w:tblLook w:val="04A0" w:firstRow="1" w:lastRow="0" w:firstColumn="1" w:lastColumn="0" w:noHBand="0" w:noVBand="1"/>
      </w:tblPr>
      <w:tblGrid>
        <w:gridCol w:w="4352"/>
        <w:gridCol w:w="1285"/>
        <w:gridCol w:w="1285"/>
        <w:gridCol w:w="1285"/>
        <w:gridCol w:w="1144"/>
        <w:gridCol w:w="1229"/>
        <w:gridCol w:w="3272"/>
      </w:tblGrid>
      <w:tr w:rsidR="00A071A6" w:rsidRPr="00777F4F" w14:paraId="1C4095E7" w14:textId="77777777" w:rsidTr="00650575">
        <w:tc>
          <w:tcPr>
            <w:tcW w:w="4352" w:type="dxa"/>
          </w:tcPr>
          <w:p w14:paraId="6604E997" w14:textId="77777777" w:rsidR="00A071A6" w:rsidRPr="00952C33" w:rsidRDefault="00A071A6" w:rsidP="00FB6278">
            <w:pPr>
              <w:jc w:val="center"/>
              <w:rPr>
                <w:rFonts w:ascii="Arial" w:hAnsi="Arial"/>
                <w:b/>
                <w:sz w:val="22"/>
              </w:rPr>
            </w:pPr>
            <w:r w:rsidRPr="00952C33">
              <w:rPr>
                <w:rFonts w:ascii="Arial" w:hAnsi="Arial"/>
                <w:b/>
                <w:sz w:val="22"/>
              </w:rPr>
              <w:t>Name and constituency</w:t>
            </w:r>
          </w:p>
        </w:tc>
        <w:tc>
          <w:tcPr>
            <w:tcW w:w="1285" w:type="dxa"/>
          </w:tcPr>
          <w:p w14:paraId="658225E9" w14:textId="7E8D5AC6" w:rsidR="00A071A6" w:rsidRPr="00952C33" w:rsidRDefault="00A071A6" w:rsidP="00FB6278">
            <w:pPr>
              <w:jc w:val="center"/>
              <w:rPr>
                <w:rFonts w:ascii="Arial" w:hAnsi="Arial"/>
                <w:b/>
                <w:sz w:val="22"/>
              </w:rPr>
            </w:pPr>
            <w:r w:rsidRPr="00952C33">
              <w:rPr>
                <w:rFonts w:ascii="Arial" w:hAnsi="Arial"/>
                <w:b/>
                <w:sz w:val="22"/>
              </w:rPr>
              <w:t>29.</w:t>
            </w:r>
            <w:r w:rsidRPr="00952C33">
              <w:rPr>
                <w:rFonts w:ascii="Arial" w:hAnsi="Arial" w:cs="Arial"/>
                <w:b/>
                <w:sz w:val="22"/>
                <w:szCs w:val="22"/>
              </w:rPr>
              <w:t>4</w:t>
            </w:r>
            <w:r w:rsidRPr="00952C33">
              <w:rPr>
                <w:rFonts w:ascii="Arial" w:hAnsi="Arial"/>
                <w:b/>
                <w:sz w:val="22"/>
              </w:rPr>
              <w:t>.21</w:t>
            </w:r>
          </w:p>
        </w:tc>
        <w:tc>
          <w:tcPr>
            <w:tcW w:w="1285" w:type="dxa"/>
          </w:tcPr>
          <w:p w14:paraId="4CF5569A" w14:textId="2ADBEEE1" w:rsidR="00A071A6" w:rsidRPr="00952C33" w:rsidRDefault="00A071A6" w:rsidP="00FB6278">
            <w:pPr>
              <w:jc w:val="center"/>
              <w:rPr>
                <w:rFonts w:ascii="Arial" w:hAnsi="Arial"/>
                <w:b/>
                <w:sz w:val="22"/>
              </w:rPr>
            </w:pPr>
            <w:r w:rsidRPr="00952C33">
              <w:rPr>
                <w:rFonts w:ascii="Arial" w:hAnsi="Arial"/>
                <w:b/>
                <w:sz w:val="22"/>
              </w:rPr>
              <w:t>29.</w:t>
            </w:r>
            <w:r w:rsidRPr="00952C33">
              <w:rPr>
                <w:rFonts w:ascii="Arial" w:hAnsi="Arial" w:cs="Arial"/>
                <w:b/>
                <w:sz w:val="22"/>
                <w:szCs w:val="22"/>
              </w:rPr>
              <w:t>7</w:t>
            </w:r>
            <w:r w:rsidRPr="00952C33">
              <w:rPr>
                <w:rFonts w:ascii="Arial" w:hAnsi="Arial"/>
                <w:b/>
                <w:sz w:val="22"/>
              </w:rPr>
              <w:t>.21</w:t>
            </w:r>
          </w:p>
        </w:tc>
        <w:tc>
          <w:tcPr>
            <w:tcW w:w="1285" w:type="dxa"/>
          </w:tcPr>
          <w:p w14:paraId="7B082E8E" w14:textId="638EA15F" w:rsidR="00A071A6" w:rsidRPr="00952C33" w:rsidRDefault="00A071A6" w:rsidP="00FB6278">
            <w:pPr>
              <w:jc w:val="center"/>
              <w:rPr>
                <w:rFonts w:ascii="Arial" w:hAnsi="Arial"/>
                <w:b/>
                <w:sz w:val="22"/>
              </w:rPr>
            </w:pPr>
            <w:r w:rsidRPr="00952C33">
              <w:rPr>
                <w:rFonts w:ascii="Arial" w:hAnsi="Arial"/>
                <w:b/>
                <w:sz w:val="22"/>
              </w:rPr>
              <w:t>21.10.21</w:t>
            </w:r>
          </w:p>
        </w:tc>
        <w:tc>
          <w:tcPr>
            <w:tcW w:w="1144" w:type="dxa"/>
          </w:tcPr>
          <w:p w14:paraId="03EEEAE9" w14:textId="7A737BE5" w:rsidR="00A071A6" w:rsidRPr="00952C33" w:rsidRDefault="00A071A6" w:rsidP="00FB6278">
            <w:pPr>
              <w:jc w:val="center"/>
              <w:rPr>
                <w:rFonts w:ascii="Arial" w:hAnsi="Arial"/>
                <w:b/>
                <w:sz w:val="22"/>
              </w:rPr>
            </w:pPr>
            <w:r w:rsidRPr="00952C33">
              <w:rPr>
                <w:rFonts w:ascii="Arial" w:hAnsi="Arial" w:cs="Arial"/>
                <w:b/>
                <w:sz w:val="22"/>
                <w:szCs w:val="22"/>
              </w:rPr>
              <w:t>1</w:t>
            </w:r>
            <w:r w:rsidRPr="00952C33">
              <w:rPr>
                <w:rFonts w:ascii="Arial" w:hAnsi="Arial"/>
                <w:b/>
                <w:sz w:val="22"/>
              </w:rPr>
              <w:t>.12.21</w:t>
            </w:r>
          </w:p>
        </w:tc>
        <w:tc>
          <w:tcPr>
            <w:tcW w:w="1229" w:type="dxa"/>
          </w:tcPr>
          <w:p w14:paraId="1E5304DC" w14:textId="7673346E" w:rsidR="00A071A6" w:rsidRPr="00952C33" w:rsidRDefault="00A071A6" w:rsidP="00FB6278">
            <w:pPr>
              <w:jc w:val="center"/>
              <w:rPr>
                <w:rFonts w:ascii="Arial" w:hAnsi="Arial"/>
                <w:b/>
                <w:sz w:val="22"/>
              </w:rPr>
            </w:pPr>
            <w:r w:rsidRPr="00952C33">
              <w:rPr>
                <w:rFonts w:ascii="Arial" w:hAnsi="Arial" w:cs="Arial"/>
                <w:b/>
                <w:sz w:val="22"/>
                <w:szCs w:val="22"/>
              </w:rPr>
              <w:t>1.2</w:t>
            </w:r>
            <w:r w:rsidRPr="00952C33">
              <w:rPr>
                <w:rFonts w:ascii="Arial" w:hAnsi="Arial"/>
                <w:b/>
                <w:sz w:val="22"/>
              </w:rPr>
              <w:t>.22</w:t>
            </w:r>
          </w:p>
        </w:tc>
        <w:tc>
          <w:tcPr>
            <w:tcW w:w="3272" w:type="dxa"/>
          </w:tcPr>
          <w:p w14:paraId="7FB6A0B7" w14:textId="01F7E684" w:rsidR="00A071A6" w:rsidRPr="00952C33" w:rsidRDefault="00A071A6" w:rsidP="00FB6278">
            <w:pPr>
              <w:jc w:val="center"/>
              <w:rPr>
                <w:rFonts w:ascii="Arial" w:hAnsi="Arial"/>
                <w:b/>
                <w:sz w:val="22"/>
              </w:rPr>
            </w:pPr>
            <w:r w:rsidRPr="00952C33">
              <w:rPr>
                <w:rFonts w:ascii="Arial" w:hAnsi="Arial"/>
                <w:b/>
                <w:sz w:val="22"/>
              </w:rPr>
              <w:t>Subgroup representation</w:t>
            </w:r>
          </w:p>
        </w:tc>
      </w:tr>
      <w:tr w:rsidR="00A071A6" w:rsidRPr="00777F4F" w14:paraId="56D9E0D4" w14:textId="77777777" w:rsidTr="00650575">
        <w:tc>
          <w:tcPr>
            <w:tcW w:w="4352" w:type="dxa"/>
          </w:tcPr>
          <w:p w14:paraId="74F1D240" w14:textId="77777777" w:rsidR="00A071A6" w:rsidRDefault="00A071A6" w:rsidP="00FB6278">
            <w:pPr>
              <w:rPr>
                <w:rFonts w:ascii="Arial" w:hAnsi="Arial"/>
                <w:sz w:val="22"/>
              </w:rPr>
            </w:pPr>
            <w:r w:rsidRPr="00952C33">
              <w:rPr>
                <w:rFonts w:ascii="Arial" w:hAnsi="Arial"/>
                <w:sz w:val="22"/>
              </w:rPr>
              <w:t>Jane Bush (NCL)</w:t>
            </w:r>
          </w:p>
          <w:p w14:paraId="2F3ADF72" w14:textId="2E32FB0D" w:rsidR="009E0400" w:rsidRPr="00952C33" w:rsidRDefault="009E0400" w:rsidP="00FB6278">
            <w:pPr>
              <w:rPr>
                <w:rFonts w:ascii="Arial" w:hAnsi="Arial"/>
                <w:sz w:val="22"/>
              </w:rPr>
            </w:pPr>
            <w:r>
              <w:rPr>
                <w:rFonts w:ascii="Arial" w:hAnsi="Arial"/>
                <w:sz w:val="22"/>
              </w:rPr>
              <w:t>Elected 1 April 2019 (3 years)</w:t>
            </w:r>
          </w:p>
        </w:tc>
        <w:tc>
          <w:tcPr>
            <w:tcW w:w="1285" w:type="dxa"/>
            <w:vAlign w:val="center"/>
          </w:tcPr>
          <w:p w14:paraId="009AE78B" w14:textId="4EBB0184" w:rsidR="00A071A6" w:rsidRPr="00952C33" w:rsidRDefault="00A071A6" w:rsidP="00FB6278">
            <w:pPr>
              <w:jc w:val="center"/>
              <w:rPr>
                <w:rFonts w:ascii="Arial" w:hAnsi="Arial"/>
                <w:sz w:val="22"/>
              </w:rPr>
            </w:pPr>
            <w:r w:rsidRPr="00952C33">
              <w:rPr>
                <w:rFonts w:ascii="Arial" w:hAnsi="Arial" w:hint="eastAsia"/>
                <w:sz w:val="22"/>
              </w:rPr>
              <w:t>√</w:t>
            </w:r>
          </w:p>
        </w:tc>
        <w:tc>
          <w:tcPr>
            <w:tcW w:w="1285" w:type="dxa"/>
            <w:vAlign w:val="center"/>
          </w:tcPr>
          <w:p w14:paraId="51B16BC7" w14:textId="0A646C4F" w:rsidR="00A071A6" w:rsidRPr="00952C33" w:rsidRDefault="008D765A" w:rsidP="00FB6278">
            <w:pPr>
              <w:jc w:val="center"/>
              <w:rPr>
                <w:rFonts w:ascii="Arial" w:hAnsi="Arial"/>
                <w:sz w:val="22"/>
              </w:rPr>
            </w:pPr>
            <w:r w:rsidRPr="00952C33">
              <w:rPr>
                <w:rFonts w:ascii="Arial" w:hAnsi="Arial" w:hint="eastAsia"/>
                <w:sz w:val="22"/>
              </w:rPr>
              <w:t>√</w:t>
            </w:r>
          </w:p>
        </w:tc>
        <w:tc>
          <w:tcPr>
            <w:tcW w:w="1285" w:type="dxa"/>
            <w:vAlign w:val="center"/>
          </w:tcPr>
          <w:p w14:paraId="1E80988C" w14:textId="77A774DE" w:rsidR="00A071A6" w:rsidRPr="00952C33" w:rsidRDefault="000B6C29" w:rsidP="00FB6278">
            <w:pPr>
              <w:jc w:val="center"/>
              <w:rPr>
                <w:rFonts w:ascii="Arial" w:hAnsi="Arial"/>
                <w:sz w:val="22"/>
              </w:rPr>
            </w:pPr>
            <w:r w:rsidRPr="00952C33">
              <w:rPr>
                <w:rFonts w:ascii="Arial" w:hAnsi="Arial" w:hint="eastAsia"/>
                <w:sz w:val="22"/>
              </w:rPr>
              <w:t>√</w:t>
            </w:r>
          </w:p>
        </w:tc>
        <w:tc>
          <w:tcPr>
            <w:tcW w:w="1144" w:type="dxa"/>
            <w:vAlign w:val="center"/>
          </w:tcPr>
          <w:p w14:paraId="4668FD57" w14:textId="5D4546AB" w:rsidR="00A071A6" w:rsidRPr="00952C33" w:rsidRDefault="000B6C29" w:rsidP="00FB6278">
            <w:pPr>
              <w:jc w:val="center"/>
              <w:rPr>
                <w:rFonts w:ascii="Arial" w:hAnsi="Arial"/>
                <w:sz w:val="22"/>
              </w:rPr>
            </w:pPr>
            <w:r w:rsidRPr="00952C33">
              <w:rPr>
                <w:rFonts w:ascii="Arial" w:hAnsi="Arial" w:hint="eastAsia"/>
                <w:sz w:val="22"/>
              </w:rPr>
              <w:t>√</w:t>
            </w:r>
          </w:p>
        </w:tc>
        <w:tc>
          <w:tcPr>
            <w:tcW w:w="1229" w:type="dxa"/>
          </w:tcPr>
          <w:p w14:paraId="5B4805EA" w14:textId="0D67D81A" w:rsidR="00A071A6" w:rsidRPr="00952C33" w:rsidRDefault="000B6C29" w:rsidP="00FB6278">
            <w:pPr>
              <w:jc w:val="center"/>
              <w:rPr>
                <w:rFonts w:ascii="Arial" w:hAnsi="Arial"/>
                <w:sz w:val="22"/>
              </w:rPr>
            </w:pPr>
            <w:r w:rsidRPr="00952C33">
              <w:rPr>
                <w:rFonts w:ascii="Arial" w:hAnsi="Arial" w:hint="eastAsia"/>
                <w:sz w:val="22"/>
              </w:rPr>
              <w:t>√</w:t>
            </w:r>
          </w:p>
        </w:tc>
        <w:tc>
          <w:tcPr>
            <w:tcW w:w="3272" w:type="dxa"/>
            <w:vAlign w:val="center"/>
          </w:tcPr>
          <w:p w14:paraId="588A9178" w14:textId="77777777" w:rsidR="00A071A6" w:rsidRPr="00952C33" w:rsidRDefault="00A071A6" w:rsidP="00FB6278">
            <w:pPr>
              <w:rPr>
                <w:rFonts w:ascii="Arial" w:hAnsi="Arial"/>
                <w:sz w:val="22"/>
              </w:rPr>
            </w:pPr>
            <w:r w:rsidRPr="00952C33">
              <w:rPr>
                <w:rFonts w:ascii="Arial" w:hAnsi="Arial"/>
                <w:sz w:val="22"/>
              </w:rPr>
              <w:t>RNC</w:t>
            </w:r>
          </w:p>
          <w:p w14:paraId="44CBBB36" w14:textId="01FA898F" w:rsidR="00A071A6" w:rsidRPr="00952C33" w:rsidRDefault="00A071A6" w:rsidP="00FB6278">
            <w:pPr>
              <w:rPr>
                <w:rFonts w:ascii="Arial" w:hAnsi="Arial"/>
                <w:sz w:val="22"/>
              </w:rPr>
            </w:pPr>
            <w:r w:rsidRPr="00952C33">
              <w:rPr>
                <w:rFonts w:ascii="Arial" w:hAnsi="Arial"/>
                <w:sz w:val="22"/>
              </w:rPr>
              <w:t>GDG</w:t>
            </w:r>
          </w:p>
        </w:tc>
      </w:tr>
      <w:tr w:rsidR="000B6C29" w:rsidRPr="00777F4F" w14:paraId="0FF12313" w14:textId="77777777" w:rsidTr="00650575">
        <w:tc>
          <w:tcPr>
            <w:tcW w:w="4352" w:type="dxa"/>
          </w:tcPr>
          <w:p w14:paraId="01A93010" w14:textId="77777777" w:rsidR="000B6C29" w:rsidRDefault="000B6C29" w:rsidP="00FB6278">
            <w:pPr>
              <w:rPr>
                <w:rFonts w:ascii="Arial" w:hAnsi="Arial"/>
                <w:sz w:val="22"/>
              </w:rPr>
            </w:pPr>
            <w:r w:rsidRPr="00952C33">
              <w:rPr>
                <w:rFonts w:ascii="Arial" w:hAnsi="Arial"/>
                <w:sz w:val="22"/>
              </w:rPr>
              <w:t>Andrew Clark (Beds and Herts)</w:t>
            </w:r>
          </w:p>
          <w:p w14:paraId="49473B31" w14:textId="4FF519AB" w:rsidR="009E0400" w:rsidRPr="00952C33" w:rsidRDefault="00A90A01" w:rsidP="00FB6278">
            <w:pPr>
              <w:rPr>
                <w:rFonts w:ascii="Arial" w:hAnsi="Arial"/>
                <w:sz w:val="22"/>
              </w:rPr>
            </w:pPr>
            <w:r>
              <w:rPr>
                <w:rFonts w:ascii="Arial" w:hAnsi="Arial"/>
                <w:sz w:val="22"/>
              </w:rPr>
              <w:t>Elected 1 April 2019 (3 years)</w:t>
            </w:r>
          </w:p>
        </w:tc>
        <w:tc>
          <w:tcPr>
            <w:tcW w:w="1285" w:type="dxa"/>
            <w:vAlign w:val="center"/>
          </w:tcPr>
          <w:p w14:paraId="4CB696E6" w14:textId="4F3203E0" w:rsidR="000B6C29" w:rsidRPr="00952C33" w:rsidRDefault="000B6C29" w:rsidP="00FB6278">
            <w:pPr>
              <w:jc w:val="center"/>
              <w:rPr>
                <w:rFonts w:ascii="Arial" w:hAnsi="Arial"/>
                <w:sz w:val="22"/>
              </w:rPr>
            </w:pPr>
            <w:r w:rsidRPr="00952C33">
              <w:rPr>
                <w:rFonts w:ascii="Arial" w:hAnsi="Arial" w:hint="eastAsia"/>
                <w:sz w:val="22"/>
              </w:rPr>
              <w:t>√</w:t>
            </w:r>
          </w:p>
        </w:tc>
        <w:tc>
          <w:tcPr>
            <w:tcW w:w="1285" w:type="dxa"/>
            <w:vAlign w:val="center"/>
          </w:tcPr>
          <w:p w14:paraId="13C7D611" w14:textId="43E9C2B6" w:rsidR="000B6C29" w:rsidRPr="00952C33" w:rsidRDefault="000B6C29" w:rsidP="00FB6278">
            <w:pPr>
              <w:jc w:val="center"/>
              <w:rPr>
                <w:rFonts w:ascii="Arial" w:hAnsi="Arial"/>
                <w:sz w:val="22"/>
              </w:rPr>
            </w:pPr>
            <w:r w:rsidRPr="00952C33">
              <w:rPr>
                <w:rFonts w:ascii="Arial" w:hAnsi="Arial" w:hint="eastAsia"/>
                <w:sz w:val="22"/>
              </w:rPr>
              <w:t>√</w:t>
            </w:r>
          </w:p>
        </w:tc>
        <w:tc>
          <w:tcPr>
            <w:tcW w:w="1285" w:type="dxa"/>
            <w:vAlign w:val="center"/>
          </w:tcPr>
          <w:p w14:paraId="746BFBDA" w14:textId="11E3D215" w:rsidR="000B6C29" w:rsidRPr="00952C33" w:rsidRDefault="000B6C29" w:rsidP="00FB6278">
            <w:pPr>
              <w:jc w:val="center"/>
              <w:rPr>
                <w:rFonts w:ascii="Arial" w:hAnsi="Arial"/>
                <w:sz w:val="22"/>
              </w:rPr>
            </w:pPr>
            <w:r w:rsidRPr="00952C33">
              <w:rPr>
                <w:rFonts w:ascii="Arial" w:hAnsi="Arial" w:hint="eastAsia"/>
                <w:sz w:val="22"/>
              </w:rPr>
              <w:t>√</w:t>
            </w:r>
          </w:p>
        </w:tc>
        <w:tc>
          <w:tcPr>
            <w:tcW w:w="1144" w:type="dxa"/>
            <w:vAlign w:val="center"/>
          </w:tcPr>
          <w:p w14:paraId="6DA9C471" w14:textId="6721FD26" w:rsidR="000B6C29" w:rsidRPr="00952C33" w:rsidRDefault="000B6C29" w:rsidP="00FB6278">
            <w:pPr>
              <w:jc w:val="center"/>
              <w:rPr>
                <w:rFonts w:ascii="Arial" w:hAnsi="Arial"/>
                <w:sz w:val="22"/>
              </w:rPr>
            </w:pPr>
            <w:r w:rsidRPr="00952C33">
              <w:rPr>
                <w:rFonts w:ascii="Arial" w:hAnsi="Arial" w:hint="eastAsia"/>
                <w:sz w:val="22"/>
              </w:rPr>
              <w:t>√</w:t>
            </w:r>
          </w:p>
        </w:tc>
        <w:tc>
          <w:tcPr>
            <w:tcW w:w="1229" w:type="dxa"/>
            <w:vAlign w:val="center"/>
          </w:tcPr>
          <w:p w14:paraId="29CACE4D" w14:textId="529F6D3A" w:rsidR="000B6C29" w:rsidRPr="00952C33" w:rsidRDefault="000B6C29" w:rsidP="00FB6278">
            <w:pPr>
              <w:jc w:val="center"/>
              <w:rPr>
                <w:rFonts w:ascii="Arial" w:hAnsi="Arial"/>
                <w:sz w:val="22"/>
              </w:rPr>
            </w:pPr>
            <w:r w:rsidRPr="00952C33">
              <w:rPr>
                <w:rFonts w:ascii="Arial" w:hAnsi="Arial" w:hint="eastAsia"/>
                <w:sz w:val="22"/>
              </w:rPr>
              <w:t>√</w:t>
            </w:r>
          </w:p>
        </w:tc>
        <w:tc>
          <w:tcPr>
            <w:tcW w:w="3272" w:type="dxa"/>
            <w:vAlign w:val="center"/>
          </w:tcPr>
          <w:p w14:paraId="24E2129F" w14:textId="7517B6C0" w:rsidR="000B6C29" w:rsidRPr="00952C33" w:rsidRDefault="000B6C29" w:rsidP="00FB6278">
            <w:pPr>
              <w:rPr>
                <w:rFonts w:ascii="Arial" w:hAnsi="Arial"/>
                <w:sz w:val="22"/>
              </w:rPr>
            </w:pPr>
            <w:r w:rsidRPr="00952C33">
              <w:rPr>
                <w:rFonts w:ascii="Arial" w:hAnsi="Arial"/>
                <w:sz w:val="22"/>
              </w:rPr>
              <w:t>External audit panel</w:t>
            </w:r>
          </w:p>
        </w:tc>
      </w:tr>
      <w:tr w:rsidR="000B6C29" w:rsidRPr="00777F4F" w14:paraId="62C4B7AB" w14:textId="77777777" w:rsidTr="00650575">
        <w:tc>
          <w:tcPr>
            <w:tcW w:w="4352" w:type="dxa"/>
          </w:tcPr>
          <w:p w14:paraId="317445DF" w14:textId="77777777" w:rsidR="000B6C29" w:rsidRDefault="000B6C29" w:rsidP="00FB6278">
            <w:pPr>
              <w:rPr>
                <w:rFonts w:ascii="Arial" w:hAnsi="Arial"/>
                <w:sz w:val="22"/>
              </w:rPr>
            </w:pPr>
            <w:r w:rsidRPr="00952C33">
              <w:rPr>
                <w:rFonts w:ascii="Arial" w:hAnsi="Arial"/>
                <w:sz w:val="22"/>
              </w:rPr>
              <w:t>John Sloper (Beds and Herts)</w:t>
            </w:r>
          </w:p>
          <w:p w14:paraId="66CE90BF" w14:textId="68D23224" w:rsidR="009E0400" w:rsidRPr="00952C33" w:rsidRDefault="009E0400" w:rsidP="00FB6278">
            <w:pPr>
              <w:rPr>
                <w:rFonts w:ascii="Arial" w:hAnsi="Arial"/>
                <w:sz w:val="22"/>
              </w:rPr>
            </w:pPr>
            <w:r>
              <w:rPr>
                <w:rFonts w:ascii="Arial" w:hAnsi="Arial"/>
                <w:sz w:val="22"/>
              </w:rPr>
              <w:t>Elected 1 April 2019 (3 years)</w:t>
            </w:r>
          </w:p>
        </w:tc>
        <w:tc>
          <w:tcPr>
            <w:tcW w:w="1285" w:type="dxa"/>
            <w:vAlign w:val="center"/>
          </w:tcPr>
          <w:p w14:paraId="1D93CA0D" w14:textId="36E4217D" w:rsidR="000B6C29" w:rsidRPr="00952C33" w:rsidRDefault="000B6C29" w:rsidP="00FB6278">
            <w:pPr>
              <w:jc w:val="center"/>
              <w:rPr>
                <w:rFonts w:ascii="Arial" w:hAnsi="Arial"/>
                <w:sz w:val="22"/>
              </w:rPr>
            </w:pPr>
            <w:r w:rsidRPr="00952C33">
              <w:rPr>
                <w:rFonts w:ascii="Arial" w:hAnsi="Arial" w:hint="eastAsia"/>
                <w:sz w:val="22"/>
              </w:rPr>
              <w:t>√</w:t>
            </w:r>
          </w:p>
        </w:tc>
        <w:tc>
          <w:tcPr>
            <w:tcW w:w="1285" w:type="dxa"/>
            <w:vAlign w:val="center"/>
          </w:tcPr>
          <w:p w14:paraId="49BB2652" w14:textId="1A6FE444" w:rsidR="000B6C29" w:rsidRPr="00952C33" w:rsidRDefault="000B6C29" w:rsidP="00FB6278">
            <w:pPr>
              <w:jc w:val="center"/>
              <w:rPr>
                <w:rFonts w:ascii="Arial" w:hAnsi="Arial"/>
                <w:b/>
                <w:sz w:val="22"/>
              </w:rPr>
            </w:pPr>
            <w:r w:rsidRPr="00952C33">
              <w:rPr>
                <w:rFonts w:ascii="Arial" w:hAnsi="Arial" w:hint="eastAsia"/>
                <w:sz w:val="22"/>
              </w:rPr>
              <w:t>√</w:t>
            </w:r>
          </w:p>
        </w:tc>
        <w:tc>
          <w:tcPr>
            <w:tcW w:w="1285" w:type="dxa"/>
            <w:vAlign w:val="center"/>
          </w:tcPr>
          <w:p w14:paraId="2BB9EA36" w14:textId="5856942A" w:rsidR="000B6C29" w:rsidRPr="00952C33" w:rsidRDefault="000B6C29" w:rsidP="00FB6278">
            <w:pPr>
              <w:jc w:val="center"/>
              <w:rPr>
                <w:rFonts w:ascii="Arial" w:hAnsi="Arial"/>
                <w:b/>
                <w:sz w:val="22"/>
              </w:rPr>
            </w:pPr>
            <w:r w:rsidRPr="00952C33">
              <w:rPr>
                <w:rFonts w:ascii="Arial" w:hAnsi="Arial" w:hint="eastAsia"/>
                <w:sz w:val="22"/>
              </w:rPr>
              <w:t>√</w:t>
            </w:r>
          </w:p>
        </w:tc>
        <w:tc>
          <w:tcPr>
            <w:tcW w:w="1144" w:type="dxa"/>
            <w:vAlign w:val="center"/>
          </w:tcPr>
          <w:p w14:paraId="165AEBF7" w14:textId="494C84BD" w:rsidR="000B6C29" w:rsidRPr="00952C33" w:rsidRDefault="000B6C29" w:rsidP="00FB6278">
            <w:pPr>
              <w:jc w:val="center"/>
              <w:rPr>
                <w:rFonts w:ascii="Arial" w:hAnsi="Arial"/>
                <w:b/>
                <w:sz w:val="22"/>
              </w:rPr>
            </w:pPr>
            <w:r w:rsidRPr="00952C33">
              <w:rPr>
                <w:rFonts w:ascii="Arial" w:hAnsi="Arial" w:hint="eastAsia"/>
                <w:sz w:val="22"/>
              </w:rPr>
              <w:t>√</w:t>
            </w:r>
          </w:p>
        </w:tc>
        <w:tc>
          <w:tcPr>
            <w:tcW w:w="1229" w:type="dxa"/>
            <w:vAlign w:val="center"/>
          </w:tcPr>
          <w:p w14:paraId="4A00E0CB" w14:textId="6D7B801D" w:rsidR="000B6C29" w:rsidRPr="00952C33" w:rsidRDefault="000B6C29" w:rsidP="00FB6278">
            <w:pPr>
              <w:jc w:val="center"/>
              <w:rPr>
                <w:rFonts w:ascii="Arial" w:hAnsi="Arial"/>
                <w:sz w:val="22"/>
              </w:rPr>
            </w:pPr>
            <w:r w:rsidRPr="00952C33">
              <w:rPr>
                <w:rFonts w:ascii="Arial" w:hAnsi="Arial" w:hint="eastAsia"/>
                <w:sz w:val="22"/>
              </w:rPr>
              <w:t>√</w:t>
            </w:r>
          </w:p>
        </w:tc>
        <w:tc>
          <w:tcPr>
            <w:tcW w:w="3272" w:type="dxa"/>
            <w:vAlign w:val="center"/>
          </w:tcPr>
          <w:p w14:paraId="391B2E1C" w14:textId="64591ED6" w:rsidR="000B6C29" w:rsidRPr="00952C33" w:rsidRDefault="000B6C29" w:rsidP="00FB6278">
            <w:pPr>
              <w:rPr>
                <w:rFonts w:ascii="Arial" w:hAnsi="Arial"/>
                <w:sz w:val="22"/>
              </w:rPr>
            </w:pPr>
            <w:r w:rsidRPr="00952C33">
              <w:rPr>
                <w:rFonts w:ascii="Arial" w:hAnsi="Arial"/>
                <w:sz w:val="22"/>
              </w:rPr>
              <w:t>GDG</w:t>
            </w:r>
          </w:p>
        </w:tc>
      </w:tr>
      <w:tr w:rsidR="000B6C29" w:rsidRPr="00777F4F" w14:paraId="31F69E76" w14:textId="77777777" w:rsidTr="00650575">
        <w:tc>
          <w:tcPr>
            <w:tcW w:w="4352" w:type="dxa"/>
          </w:tcPr>
          <w:p w14:paraId="4BD96642" w14:textId="77777777" w:rsidR="000B6C29" w:rsidRDefault="000B6C29" w:rsidP="00FB6278">
            <w:pPr>
              <w:rPr>
                <w:rFonts w:ascii="Arial" w:hAnsi="Arial"/>
                <w:sz w:val="22"/>
              </w:rPr>
            </w:pPr>
            <w:r w:rsidRPr="00952C33">
              <w:rPr>
                <w:rFonts w:ascii="Arial" w:hAnsi="Arial"/>
                <w:sz w:val="22"/>
              </w:rPr>
              <w:t>Kimberley Jackson (SWL)</w:t>
            </w:r>
          </w:p>
          <w:p w14:paraId="02D50352" w14:textId="05189EE8" w:rsidR="009E0400" w:rsidRPr="00952C33" w:rsidRDefault="009E0400" w:rsidP="00FB6278">
            <w:pPr>
              <w:rPr>
                <w:rFonts w:ascii="Arial" w:hAnsi="Arial"/>
                <w:sz w:val="22"/>
              </w:rPr>
            </w:pPr>
            <w:r>
              <w:rPr>
                <w:rFonts w:ascii="Arial" w:hAnsi="Arial"/>
                <w:sz w:val="22"/>
              </w:rPr>
              <w:t xml:space="preserve">Elected </w:t>
            </w:r>
            <w:r w:rsidR="00A90A01">
              <w:rPr>
                <w:rFonts w:ascii="Arial" w:hAnsi="Arial"/>
                <w:sz w:val="22"/>
              </w:rPr>
              <w:t xml:space="preserve">1 April </w:t>
            </w:r>
            <w:r>
              <w:rPr>
                <w:rFonts w:ascii="Arial" w:hAnsi="Arial"/>
                <w:sz w:val="22"/>
              </w:rPr>
              <w:t>2019 (3 years)</w:t>
            </w:r>
          </w:p>
        </w:tc>
        <w:tc>
          <w:tcPr>
            <w:tcW w:w="1285" w:type="dxa"/>
            <w:vAlign w:val="center"/>
          </w:tcPr>
          <w:p w14:paraId="40ED21AD" w14:textId="53343155" w:rsidR="000B6C29" w:rsidRPr="00952C33" w:rsidRDefault="000B6C29" w:rsidP="00FB6278">
            <w:pPr>
              <w:jc w:val="center"/>
              <w:rPr>
                <w:rFonts w:ascii="Arial" w:hAnsi="Arial"/>
                <w:sz w:val="22"/>
              </w:rPr>
            </w:pPr>
            <w:r w:rsidRPr="00952C33">
              <w:rPr>
                <w:rFonts w:ascii="Arial" w:hAnsi="Arial" w:hint="eastAsia"/>
                <w:sz w:val="22"/>
              </w:rPr>
              <w:t>√</w:t>
            </w:r>
          </w:p>
        </w:tc>
        <w:tc>
          <w:tcPr>
            <w:tcW w:w="1285" w:type="dxa"/>
            <w:vAlign w:val="center"/>
          </w:tcPr>
          <w:p w14:paraId="6431CF3A" w14:textId="1F53AFF9" w:rsidR="000B6C29" w:rsidRPr="00952C33" w:rsidRDefault="000B6C29" w:rsidP="00FB6278">
            <w:pPr>
              <w:jc w:val="center"/>
              <w:rPr>
                <w:rFonts w:ascii="Arial" w:hAnsi="Arial"/>
                <w:sz w:val="22"/>
              </w:rPr>
            </w:pPr>
            <w:r w:rsidRPr="00952C33">
              <w:rPr>
                <w:rFonts w:ascii="Arial" w:hAnsi="Arial" w:hint="eastAsia"/>
                <w:sz w:val="22"/>
              </w:rPr>
              <w:t>√</w:t>
            </w:r>
          </w:p>
        </w:tc>
        <w:tc>
          <w:tcPr>
            <w:tcW w:w="1285" w:type="dxa"/>
            <w:vAlign w:val="center"/>
          </w:tcPr>
          <w:p w14:paraId="65E7CBB2" w14:textId="438CFFD3" w:rsidR="000B6C29" w:rsidRPr="00952C33" w:rsidRDefault="000B6C29" w:rsidP="00FB6278">
            <w:pPr>
              <w:jc w:val="center"/>
              <w:rPr>
                <w:rFonts w:ascii="Arial" w:hAnsi="Arial"/>
                <w:sz w:val="22"/>
              </w:rPr>
            </w:pPr>
            <w:r w:rsidRPr="00952C33">
              <w:rPr>
                <w:rFonts w:ascii="Arial" w:hAnsi="Arial" w:hint="eastAsia"/>
                <w:sz w:val="22"/>
              </w:rPr>
              <w:t>√</w:t>
            </w:r>
          </w:p>
        </w:tc>
        <w:tc>
          <w:tcPr>
            <w:tcW w:w="1144" w:type="dxa"/>
            <w:vAlign w:val="center"/>
          </w:tcPr>
          <w:p w14:paraId="087E4D86" w14:textId="7D970183" w:rsidR="000B6C29" w:rsidRPr="00952C33" w:rsidRDefault="000B6C29" w:rsidP="00FB6278">
            <w:pPr>
              <w:jc w:val="center"/>
              <w:rPr>
                <w:rFonts w:ascii="Arial" w:hAnsi="Arial"/>
                <w:sz w:val="22"/>
              </w:rPr>
            </w:pPr>
            <w:r w:rsidRPr="00952C33">
              <w:rPr>
                <w:rFonts w:ascii="Arial" w:hAnsi="Arial" w:hint="eastAsia"/>
                <w:sz w:val="22"/>
              </w:rPr>
              <w:t>√</w:t>
            </w:r>
          </w:p>
        </w:tc>
        <w:tc>
          <w:tcPr>
            <w:tcW w:w="1229" w:type="dxa"/>
            <w:vAlign w:val="center"/>
          </w:tcPr>
          <w:p w14:paraId="443513AB" w14:textId="6E586B39" w:rsidR="000B6C29" w:rsidRPr="00952C33" w:rsidRDefault="000B6C29" w:rsidP="00FB6278">
            <w:pPr>
              <w:jc w:val="center"/>
              <w:rPr>
                <w:rFonts w:ascii="Arial" w:hAnsi="Arial"/>
                <w:sz w:val="22"/>
              </w:rPr>
            </w:pPr>
            <w:r w:rsidRPr="00952C33">
              <w:rPr>
                <w:rFonts w:ascii="Arial" w:hAnsi="Arial" w:hint="eastAsia"/>
                <w:sz w:val="22"/>
              </w:rPr>
              <w:t>√</w:t>
            </w:r>
          </w:p>
        </w:tc>
        <w:tc>
          <w:tcPr>
            <w:tcW w:w="3272" w:type="dxa"/>
            <w:vAlign w:val="center"/>
          </w:tcPr>
          <w:p w14:paraId="1F770D2C" w14:textId="1EBC988D" w:rsidR="000B6C29" w:rsidRPr="00952C33" w:rsidRDefault="000B6C29" w:rsidP="00FB6278">
            <w:pPr>
              <w:rPr>
                <w:rFonts w:ascii="Arial" w:hAnsi="Arial"/>
                <w:sz w:val="22"/>
              </w:rPr>
            </w:pPr>
            <w:r w:rsidRPr="00952C33">
              <w:rPr>
                <w:rFonts w:ascii="Arial" w:hAnsi="Arial"/>
                <w:sz w:val="22"/>
              </w:rPr>
              <w:t>GDG</w:t>
            </w:r>
          </w:p>
          <w:p w14:paraId="7070C9B2" w14:textId="6E556B0E" w:rsidR="000B6C29" w:rsidRPr="00952C33" w:rsidRDefault="000B6C29" w:rsidP="00FB6278">
            <w:pPr>
              <w:rPr>
                <w:rFonts w:ascii="Arial" w:hAnsi="Arial"/>
                <w:sz w:val="22"/>
              </w:rPr>
            </w:pPr>
          </w:p>
        </w:tc>
      </w:tr>
      <w:tr w:rsidR="000B6C29" w:rsidRPr="00777F4F" w14:paraId="42256F25" w14:textId="77777777" w:rsidTr="00650575">
        <w:tc>
          <w:tcPr>
            <w:tcW w:w="4352" w:type="dxa"/>
          </w:tcPr>
          <w:p w14:paraId="598F2D22" w14:textId="77777777" w:rsidR="000B6C29" w:rsidRDefault="000B6C29" w:rsidP="00FB6278">
            <w:pPr>
              <w:rPr>
                <w:rFonts w:ascii="Arial" w:hAnsi="Arial"/>
                <w:sz w:val="22"/>
              </w:rPr>
            </w:pPr>
            <w:r w:rsidRPr="00952C33">
              <w:rPr>
                <w:rFonts w:ascii="Arial" w:hAnsi="Arial"/>
                <w:sz w:val="22"/>
              </w:rPr>
              <w:t>Roy Henderson (patient)</w:t>
            </w:r>
          </w:p>
          <w:p w14:paraId="2B3BF880" w14:textId="4D4E688C" w:rsidR="00A90A01" w:rsidRPr="00952C33" w:rsidRDefault="00A90A01" w:rsidP="00FB6278">
            <w:pPr>
              <w:rPr>
                <w:rFonts w:ascii="Arial" w:hAnsi="Arial"/>
                <w:sz w:val="22"/>
              </w:rPr>
            </w:pPr>
            <w:r>
              <w:rPr>
                <w:rFonts w:ascii="Arial" w:hAnsi="Arial"/>
                <w:sz w:val="22"/>
              </w:rPr>
              <w:t>Elected 1 April 2020 (3 years)</w:t>
            </w:r>
          </w:p>
        </w:tc>
        <w:tc>
          <w:tcPr>
            <w:tcW w:w="1285" w:type="dxa"/>
            <w:vAlign w:val="center"/>
          </w:tcPr>
          <w:p w14:paraId="36B9006C" w14:textId="20923219" w:rsidR="000B6C29" w:rsidRPr="00952C33" w:rsidRDefault="000B6C29" w:rsidP="00FB6278">
            <w:pPr>
              <w:jc w:val="center"/>
              <w:rPr>
                <w:rFonts w:ascii="Arial" w:hAnsi="Arial"/>
                <w:sz w:val="22"/>
              </w:rPr>
            </w:pPr>
            <w:r w:rsidRPr="00952C33">
              <w:rPr>
                <w:rFonts w:ascii="Arial" w:hAnsi="Arial" w:hint="eastAsia"/>
                <w:sz w:val="22"/>
              </w:rPr>
              <w:t>√</w:t>
            </w:r>
          </w:p>
        </w:tc>
        <w:tc>
          <w:tcPr>
            <w:tcW w:w="1285" w:type="dxa"/>
            <w:vAlign w:val="center"/>
          </w:tcPr>
          <w:p w14:paraId="7251F25E" w14:textId="52A6398F" w:rsidR="000B6C29" w:rsidRPr="00952C33" w:rsidRDefault="000B6C29" w:rsidP="00FB6278">
            <w:pPr>
              <w:jc w:val="center"/>
              <w:rPr>
                <w:rFonts w:ascii="Arial" w:hAnsi="Arial"/>
                <w:sz w:val="22"/>
              </w:rPr>
            </w:pPr>
            <w:r w:rsidRPr="00952C33">
              <w:rPr>
                <w:rFonts w:ascii="Arial" w:hAnsi="Arial" w:hint="eastAsia"/>
                <w:sz w:val="22"/>
              </w:rPr>
              <w:t>√</w:t>
            </w:r>
          </w:p>
        </w:tc>
        <w:tc>
          <w:tcPr>
            <w:tcW w:w="1285" w:type="dxa"/>
            <w:vAlign w:val="center"/>
          </w:tcPr>
          <w:p w14:paraId="4CCBF6C2" w14:textId="4CDF5A61" w:rsidR="000B6C29" w:rsidRPr="00952C33" w:rsidRDefault="000B6C29" w:rsidP="00FB6278">
            <w:pPr>
              <w:jc w:val="center"/>
              <w:rPr>
                <w:rFonts w:ascii="Arial" w:hAnsi="Arial"/>
                <w:sz w:val="22"/>
              </w:rPr>
            </w:pPr>
            <w:r w:rsidRPr="00952C33">
              <w:rPr>
                <w:rFonts w:ascii="Arial" w:hAnsi="Arial" w:hint="eastAsia"/>
                <w:sz w:val="22"/>
              </w:rPr>
              <w:t>√</w:t>
            </w:r>
          </w:p>
        </w:tc>
        <w:tc>
          <w:tcPr>
            <w:tcW w:w="1144" w:type="dxa"/>
            <w:vAlign w:val="center"/>
          </w:tcPr>
          <w:p w14:paraId="47C65EFF" w14:textId="286BB63F" w:rsidR="000B6C29" w:rsidRPr="00952C33" w:rsidRDefault="000B6C29" w:rsidP="00FB6278">
            <w:pPr>
              <w:jc w:val="center"/>
              <w:rPr>
                <w:rFonts w:ascii="Arial" w:hAnsi="Arial"/>
                <w:sz w:val="22"/>
              </w:rPr>
            </w:pPr>
            <w:r w:rsidRPr="00952C33">
              <w:rPr>
                <w:rFonts w:ascii="Arial" w:hAnsi="Arial" w:hint="eastAsia"/>
                <w:sz w:val="22"/>
              </w:rPr>
              <w:t>√</w:t>
            </w:r>
          </w:p>
        </w:tc>
        <w:tc>
          <w:tcPr>
            <w:tcW w:w="1229" w:type="dxa"/>
            <w:vAlign w:val="center"/>
          </w:tcPr>
          <w:p w14:paraId="15FD2440" w14:textId="1E11357A" w:rsidR="000B6C29" w:rsidRPr="00952C33" w:rsidRDefault="000B6C29" w:rsidP="00FB6278">
            <w:pPr>
              <w:jc w:val="center"/>
              <w:rPr>
                <w:rFonts w:ascii="Arial" w:hAnsi="Arial"/>
                <w:sz w:val="22"/>
              </w:rPr>
            </w:pPr>
            <w:r w:rsidRPr="00952C33">
              <w:rPr>
                <w:rFonts w:ascii="Arial" w:hAnsi="Arial" w:hint="eastAsia"/>
                <w:sz w:val="22"/>
              </w:rPr>
              <w:t>√</w:t>
            </w:r>
          </w:p>
        </w:tc>
        <w:tc>
          <w:tcPr>
            <w:tcW w:w="3272" w:type="dxa"/>
            <w:vAlign w:val="center"/>
          </w:tcPr>
          <w:p w14:paraId="20373368" w14:textId="434054AC" w:rsidR="000B6C29" w:rsidRPr="00952C33" w:rsidRDefault="000B6C29" w:rsidP="00FB6278">
            <w:pPr>
              <w:rPr>
                <w:rFonts w:ascii="Arial" w:hAnsi="Arial"/>
                <w:sz w:val="22"/>
              </w:rPr>
            </w:pPr>
            <w:r w:rsidRPr="00952C33">
              <w:rPr>
                <w:rFonts w:ascii="Arial" w:hAnsi="Arial"/>
                <w:sz w:val="22"/>
              </w:rPr>
              <w:t>GDG</w:t>
            </w:r>
          </w:p>
          <w:p w14:paraId="00BBDD4C" w14:textId="77777777" w:rsidR="000B6C29" w:rsidRPr="00952C33" w:rsidRDefault="000B6C29" w:rsidP="00FB6278">
            <w:pPr>
              <w:rPr>
                <w:rFonts w:ascii="Arial" w:hAnsi="Arial"/>
                <w:sz w:val="22"/>
              </w:rPr>
            </w:pPr>
            <w:r w:rsidRPr="00952C33">
              <w:rPr>
                <w:rFonts w:ascii="Arial" w:hAnsi="Arial"/>
                <w:sz w:val="22"/>
              </w:rPr>
              <w:t>RNC</w:t>
            </w:r>
          </w:p>
        </w:tc>
      </w:tr>
      <w:tr w:rsidR="000B6C29" w:rsidRPr="00777F4F" w14:paraId="6AA24609" w14:textId="77777777" w:rsidTr="00650575">
        <w:tc>
          <w:tcPr>
            <w:tcW w:w="4352" w:type="dxa"/>
          </w:tcPr>
          <w:p w14:paraId="2BFFDB3C" w14:textId="77777777" w:rsidR="000B6C29" w:rsidRDefault="000B6C29" w:rsidP="00FB6278">
            <w:pPr>
              <w:rPr>
                <w:rFonts w:ascii="Arial" w:hAnsi="Arial"/>
                <w:sz w:val="22"/>
              </w:rPr>
            </w:pPr>
            <w:r w:rsidRPr="00952C33">
              <w:rPr>
                <w:rFonts w:ascii="Arial" w:hAnsi="Arial"/>
                <w:sz w:val="22"/>
              </w:rPr>
              <w:t xml:space="preserve">Rob Jones (patient) </w:t>
            </w:r>
          </w:p>
          <w:p w14:paraId="10D06BA3" w14:textId="47A125CF" w:rsidR="00A90A01" w:rsidRPr="00952C33" w:rsidRDefault="00A90A01" w:rsidP="00FB6278">
            <w:pPr>
              <w:rPr>
                <w:rFonts w:ascii="Arial" w:hAnsi="Arial"/>
                <w:sz w:val="22"/>
              </w:rPr>
            </w:pPr>
            <w:r>
              <w:rPr>
                <w:rFonts w:ascii="Arial" w:hAnsi="Arial"/>
                <w:sz w:val="22"/>
              </w:rPr>
              <w:t>Elected 1 April 2018 (3 years)</w:t>
            </w:r>
          </w:p>
        </w:tc>
        <w:tc>
          <w:tcPr>
            <w:tcW w:w="1285" w:type="dxa"/>
            <w:vAlign w:val="center"/>
          </w:tcPr>
          <w:p w14:paraId="26BE1100" w14:textId="0448C54F" w:rsidR="000B6C29" w:rsidRPr="00952C33" w:rsidRDefault="000B6C29" w:rsidP="00FB6278">
            <w:pPr>
              <w:jc w:val="center"/>
              <w:rPr>
                <w:rFonts w:ascii="Arial" w:hAnsi="Arial"/>
                <w:sz w:val="22"/>
              </w:rPr>
            </w:pPr>
            <w:r w:rsidRPr="00952C33">
              <w:rPr>
                <w:rFonts w:ascii="Arial" w:hAnsi="Arial" w:hint="eastAsia"/>
                <w:sz w:val="22"/>
              </w:rPr>
              <w:t>√</w:t>
            </w:r>
          </w:p>
        </w:tc>
        <w:tc>
          <w:tcPr>
            <w:tcW w:w="1285" w:type="dxa"/>
            <w:vAlign w:val="center"/>
          </w:tcPr>
          <w:p w14:paraId="649EFD19" w14:textId="46556507" w:rsidR="000B6C29" w:rsidRPr="00952C33" w:rsidRDefault="000B6C29" w:rsidP="00FB6278">
            <w:pPr>
              <w:jc w:val="center"/>
              <w:rPr>
                <w:rFonts w:ascii="Arial" w:hAnsi="Arial"/>
                <w:sz w:val="22"/>
              </w:rPr>
            </w:pPr>
            <w:r w:rsidRPr="00952C33">
              <w:rPr>
                <w:rFonts w:ascii="Arial" w:hAnsi="Arial" w:hint="eastAsia"/>
                <w:sz w:val="22"/>
              </w:rPr>
              <w:t>√</w:t>
            </w:r>
          </w:p>
        </w:tc>
        <w:tc>
          <w:tcPr>
            <w:tcW w:w="1285" w:type="dxa"/>
            <w:vAlign w:val="center"/>
          </w:tcPr>
          <w:p w14:paraId="42608897" w14:textId="678A6371" w:rsidR="000B6C29" w:rsidRPr="00952C33" w:rsidRDefault="000B6C29" w:rsidP="00FB6278">
            <w:pPr>
              <w:jc w:val="center"/>
              <w:rPr>
                <w:rFonts w:ascii="Arial" w:hAnsi="Arial"/>
                <w:sz w:val="22"/>
              </w:rPr>
            </w:pPr>
            <w:r w:rsidRPr="00952C33">
              <w:rPr>
                <w:rFonts w:ascii="Arial" w:hAnsi="Arial" w:hint="eastAsia"/>
                <w:sz w:val="22"/>
              </w:rPr>
              <w:t>√</w:t>
            </w:r>
          </w:p>
        </w:tc>
        <w:tc>
          <w:tcPr>
            <w:tcW w:w="1144" w:type="dxa"/>
            <w:vAlign w:val="center"/>
          </w:tcPr>
          <w:p w14:paraId="0C64E0E6" w14:textId="7E7A65CF" w:rsidR="000B6C29" w:rsidRPr="00952C33" w:rsidRDefault="000B6C29" w:rsidP="00FB6278">
            <w:pPr>
              <w:jc w:val="center"/>
              <w:rPr>
                <w:rFonts w:ascii="Arial" w:hAnsi="Arial"/>
                <w:sz w:val="22"/>
              </w:rPr>
            </w:pPr>
            <w:r w:rsidRPr="00952C33">
              <w:rPr>
                <w:rFonts w:ascii="Arial" w:hAnsi="Arial" w:hint="eastAsia"/>
                <w:sz w:val="22"/>
              </w:rPr>
              <w:t>√</w:t>
            </w:r>
          </w:p>
        </w:tc>
        <w:tc>
          <w:tcPr>
            <w:tcW w:w="1229" w:type="dxa"/>
            <w:vAlign w:val="center"/>
          </w:tcPr>
          <w:p w14:paraId="480DEF27" w14:textId="6D4DA784" w:rsidR="000B6C29" w:rsidRPr="00952C33" w:rsidRDefault="000B6C29" w:rsidP="00FB6278">
            <w:pPr>
              <w:jc w:val="center"/>
              <w:rPr>
                <w:rFonts w:ascii="Arial" w:hAnsi="Arial"/>
                <w:sz w:val="22"/>
              </w:rPr>
            </w:pPr>
            <w:r w:rsidRPr="00952C33">
              <w:rPr>
                <w:rFonts w:ascii="Arial" w:hAnsi="Arial" w:hint="eastAsia"/>
                <w:sz w:val="22"/>
              </w:rPr>
              <w:t>√</w:t>
            </w:r>
          </w:p>
        </w:tc>
        <w:tc>
          <w:tcPr>
            <w:tcW w:w="3272" w:type="dxa"/>
            <w:vAlign w:val="center"/>
          </w:tcPr>
          <w:p w14:paraId="529C0741" w14:textId="190A52A6" w:rsidR="000B6C29" w:rsidRPr="00952C33" w:rsidRDefault="000B6C29" w:rsidP="00FB6278">
            <w:pPr>
              <w:rPr>
                <w:rFonts w:ascii="Arial" w:hAnsi="Arial"/>
                <w:sz w:val="22"/>
              </w:rPr>
            </w:pPr>
            <w:r w:rsidRPr="00952C33">
              <w:rPr>
                <w:rFonts w:ascii="Arial" w:hAnsi="Arial"/>
                <w:sz w:val="22"/>
              </w:rPr>
              <w:t>Lead governor</w:t>
            </w:r>
          </w:p>
          <w:p w14:paraId="1612CF2A" w14:textId="614267FB" w:rsidR="000B6C29" w:rsidRPr="00952C33" w:rsidRDefault="000B6C29" w:rsidP="00FB6278">
            <w:pPr>
              <w:rPr>
                <w:rFonts w:ascii="Arial" w:hAnsi="Arial"/>
                <w:sz w:val="22"/>
              </w:rPr>
            </w:pPr>
            <w:r w:rsidRPr="00952C33">
              <w:rPr>
                <w:rFonts w:ascii="Arial" w:hAnsi="Arial"/>
                <w:sz w:val="22"/>
              </w:rPr>
              <w:t>Chair, GDG</w:t>
            </w:r>
          </w:p>
        </w:tc>
      </w:tr>
      <w:tr w:rsidR="000B6C29" w:rsidRPr="00777F4F" w14:paraId="1AC60C81" w14:textId="77777777" w:rsidTr="00650575">
        <w:tc>
          <w:tcPr>
            <w:tcW w:w="4352" w:type="dxa"/>
          </w:tcPr>
          <w:p w14:paraId="473575AF" w14:textId="77777777" w:rsidR="000B6C29" w:rsidRDefault="000B6C29" w:rsidP="00FB6278">
            <w:pPr>
              <w:rPr>
                <w:rFonts w:ascii="Arial" w:hAnsi="Arial"/>
                <w:sz w:val="22"/>
              </w:rPr>
            </w:pPr>
            <w:r w:rsidRPr="00952C33">
              <w:rPr>
                <w:rFonts w:ascii="Arial" w:hAnsi="Arial"/>
                <w:sz w:val="22"/>
              </w:rPr>
              <w:t>Allan MacCarthy (SEL)</w:t>
            </w:r>
          </w:p>
          <w:p w14:paraId="51B37DDA" w14:textId="0D089EF0" w:rsidR="00A90A01" w:rsidRPr="00952C33" w:rsidRDefault="00A90A01" w:rsidP="00FB6278">
            <w:pPr>
              <w:rPr>
                <w:rFonts w:ascii="Arial" w:hAnsi="Arial"/>
                <w:sz w:val="22"/>
              </w:rPr>
            </w:pPr>
            <w:r>
              <w:rPr>
                <w:rFonts w:ascii="Arial" w:hAnsi="Arial"/>
                <w:sz w:val="22"/>
              </w:rPr>
              <w:t>Elected 1 April 2019 (3 years)</w:t>
            </w:r>
          </w:p>
        </w:tc>
        <w:tc>
          <w:tcPr>
            <w:tcW w:w="1285" w:type="dxa"/>
            <w:vAlign w:val="center"/>
          </w:tcPr>
          <w:p w14:paraId="6DEFFB38" w14:textId="5B055AE3" w:rsidR="000B6C29" w:rsidRPr="00952C33" w:rsidRDefault="000B6C29" w:rsidP="00FB6278">
            <w:pPr>
              <w:jc w:val="center"/>
              <w:rPr>
                <w:rFonts w:ascii="Arial" w:hAnsi="Arial"/>
                <w:sz w:val="22"/>
              </w:rPr>
            </w:pPr>
            <w:r w:rsidRPr="00952C33">
              <w:rPr>
                <w:rFonts w:ascii="Arial" w:hAnsi="Arial" w:hint="eastAsia"/>
                <w:sz w:val="22"/>
              </w:rPr>
              <w:t>√</w:t>
            </w:r>
          </w:p>
        </w:tc>
        <w:tc>
          <w:tcPr>
            <w:tcW w:w="1285" w:type="dxa"/>
            <w:vAlign w:val="center"/>
          </w:tcPr>
          <w:p w14:paraId="2A858A2F" w14:textId="760DCF43" w:rsidR="000B6C29" w:rsidRPr="00952C33" w:rsidRDefault="000B6C29" w:rsidP="00FB6278">
            <w:pPr>
              <w:jc w:val="center"/>
              <w:rPr>
                <w:rFonts w:ascii="Arial" w:hAnsi="Arial"/>
                <w:sz w:val="22"/>
              </w:rPr>
            </w:pPr>
            <w:r w:rsidRPr="00952C33">
              <w:rPr>
                <w:rFonts w:ascii="Arial" w:hAnsi="Arial" w:hint="eastAsia"/>
                <w:sz w:val="22"/>
              </w:rPr>
              <w:t>√</w:t>
            </w:r>
          </w:p>
        </w:tc>
        <w:tc>
          <w:tcPr>
            <w:tcW w:w="1285" w:type="dxa"/>
            <w:vAlign w:val="center"/>
          </w:tcPr>
          <w:p w14:paraId="6012E3B2" w14:textId="6B7C766F" w:rsidR="000B6C29" w:rsidRPr="00952C33" w:rsidRDefault="000B6C29" w:rsidP="00FB6278">
            <w:pPr>
              <w:jc w:val="center"/>
              <w:rPr>
                <w:rFonts w:ascii="Arial" w:hAnsi="Arial"/>
                <w:sz w:val="22"/>
              </w:rPr>
            </w:pPr>
            <w:r w:rsidRPr="00952C33">
              <w:rPr>
                <w:rFonts w:ascii="Arial" w:hAnsi="Arial" w:hint="eastAsia"/>
                <w:sz w:val="22"/>
              </w:rPr>
              <w:t>√</w:t>
            </w:r>
          </w:p>
        </w:tc>
        <w:tc>
          <w:tcPr>
            <w:tcW w:w="1144" w:type="dxa"/>
            <w:vAlign w:val="center"/>
          </w:tcPr>
          <w:p w14:paraId="4FB60D76" w14:textId="54C9122F" w:rsidR="000B6C29" w:rsidRPr="00952C33" w:rsidRDefault="000B6C29" w:rsidP="00FB6278">
            <w:pPr>
              <w:jc w:val="center"/>
              <w:rPr>
                <w:rFonts w:ascii="Arial" w:hAnsi="Arial"/>
                <w:sz w:val="22"/>
              </w:rPr>
            </w:pPr>
            <w:r w:rsidRPr="00952C33">
              <w:rPr>
                <w:rFonts w:ascii="Arial" w:hAnsi="Arial" w:hint="eastAsia"/>
                <w:sz w:val="22"/>
              </w:rPr>
              <w:t>√</w:t>
            </w:r>
          </w:p>
        </w:tc>
        <w:tc>
          <w:tcPr>
            <w:tcW w:w="1229" w:type="dxa"/>
            <w:vAlign w:val="center"/>
          </w:tcPr>
          <w:p w14:paraId="62DB8417" w14:textId="2665FC0C" w:rsidR="000B6C29" w:rsidRPr="00952C33" w:rsidRDefault="000B6C29" w:rsidP="00FB6278">
            <w:pPr>
              <w:jc w:val="center"/>
              <w:rPr>
                <w:rFonts w:ascii="Arial" w:hAnsi="Arial"/>
                <w:sz w:val="22"/>
              </w:rPr>
            </w:pPr>
            <w:r w:rsidRPr="00952C33">
              <w:rPr>
                <w:rFonts w:ascii="Arial" w:hAnsi="Arial" w:hint="eastAsia"/>
                <w:sz w:val="22"/>
              </w:rPr>
              <w:t>√</w:t>
            </w:r>
          </w:p>
        </w:tc>
        <w:tc>
          <w:tcPr>
            <w:tcW w:w="3272" w:type="dxa"/>
            <w:vAlign w:val="center"/>
          </w:tcPr>
          <w:p w14:paraId="162F53FE" w14:textId="599C7904" w:rsidR="000B6C29" w:rsidRPr="00952C33" w:rsidRDefault="000B6C29" w:rsidP="00FB6278">
            <w:pPr>
              <w:rPr>
                <w:rFonts w:ascii="Arial" w:hAnsi="Arial"/>
                <w:sz w:val="22"/>
              </w:rPr>
            </w:pPr>
            <w:r w:rsidRPr="00952C33">
              <w:rPr>
                <w:rFonts w:ascii="Arial" w:hAnsi="Arial"/>
                <w:sz w:val="22"/>
              </w:rPr>
              <w:t xml:space="preserve">Vice-chair </w:t>
            </w:r>
          </w:p>
          <w:p w14:paraId="30B5EEDF" w14:textId="77777777" w:rsidR="000B6C29" w:rsidRPr="00952C33" w:rsidRDefault="000B6C29" w:rsidP="00FB6278">
            <w:pPr>
              <w:rPr>
                <w:rFonts w:ascii="Arial" w:hAnsi="Arial"/>
                <w:sz w:val="22"/>
              </w:rPr>
            </w:pPr>
            <w:r w:rsidRPr="00952C33">
              <w:rPr>
                <w:rFonts w:ascii="Arial" w:hAnsi="Arial"/>
                <w:sz w:val="22"/>
              </w:rPr>
              <w:t>GDG</w:t>
            </w:r>
          </w:p>
          <w:p w14:paraId="795A5D9B" w14:textId="46AC8821" w:rsidR="000B6C29" w:rsidRPr="00952C33" w:rsidRDefault="000B6C29" w:rsidP="00FB6278">
            <w:pPr>
              <w:rPr>
                <w:rFonts w:ascii="Arial" w:hAnsi="Arial"/>
                <w:sz w:val="22"/>
              </w:rPr>
            </w:pPr>
            <w:r w:rsidRPr="00952C33">
              <w:rPr>
                <w:rFonts w:ascii="Arial" w:hAnsi="Arial"/>
                <w:sz w:val="22"/>
              </w:rPr>
              <w:t>RNC</w:t>
            </w:r>
          </w:p>
        </w:tc>
      </w:tr>
      <w:tr w:rsidR="000B6C29" w:rsidRPr="00777F4F" w14:paraId="23AFE67A" w14:textId="77777777" w:rsidTr="00650575">
        <w:tc>
          <w:tcPr>
            <w:tcW w:w="4352" w:type="dxa"/>
          </w:tcPr>
          <w:p w14:paraId="3B77DEA0" w14:textId="77777777" w:rsidR="000B6C29" w:rsidRDefault="000B6C29" w:rsidP="00FB6278">
            <w:pPr>
              <w:rPr>
                <w:rFonts w:ascii="Arial" w:hAnsi="Arial"/>
                <w:sz w:val="22"/>
              </w:rPr>
            </w:pPr>
            <w:r w:rsidRPr="00952C33">
              <w:rPr>
                <w:rFonts w:ascii="Arial" w:hAnsi="Arial"/>
                <w:sz w:val="22"/>
              </w:rPr>
              <w:t>Ian Wilson (NWL)</w:t>
            </w:r>
          </w:p>
          <w:p w14:paraId="6AA6887A" w14:textId="22BD08BF" w:rsidR="00A90A01" w:rsidRPr="00952C33" w:rsidRDefault="00A90A01" w:rsidP="00FB6278">
            <w:pPr>
              <w:rPr>
                <w:rFonts w:ascii="Arial" w:hAnsi="Arial"/>
                <w:sz w:val="22"/>
              </w:rPr>
            </w:pPr>
            <w:r>
              <w:rPr>
                <w:rFonts w:ascii="Arial" w:hAnsi="Arial"/>
                <w:sz w:val="22"/>
              </w:rPr>
              <w:t>Elected 1 April 2019 (3 year)</w:t>
            </w:r>
          </w:p>
        </w:tc>
        <w:tc>
          <w:tcPr>
            <w:tcW w:w="1285" w:type="dxa"/>
            <w:vAlign w:val="center"/>
          </w:tcPr>
          <w:p w14:paraId="11CEA762" w14:textId="47B428E2" w:rsidR="000B6C29" w:rsidRPr="00952C33" w:rsidRDefault="000B6C29" w:rsidP="00FB6278">
            <w:pPr>
              <w:jc w:val="center"/>
              <w:rPr>
                <w:rFonts w:ascii="Arial" w:hAnsi="Arial"/>
                <w:sz w:val="22"/>
              </w:rPr>
            </w:pPr>
            <w:r w:rsidRPr="00952C33">
              <w:rPr>
                <w:rFonts w:ascii="Arial" w:hAnsi="Arial" w:hint="eastAsia"/>
                <w:sz w:val="22"/>
              </w:rPr>
              <w:t>√</w:t>
            </w:r>
          </w:p>
        </w:tc>
        <w:tc>
          <w:tcPr>
            <w:tcW w:w="1285" w:type="dxa"/>
            <w:vAlign w:val="center"/>
          </w:tcPr>
          <w:p w14:paraId="3FF82621" w14:textId="030FFE13" w:rsidR="000B6C29" w:rsidRPr="00952C33" w:rsidRDefault="000B6C29" w:rsidP="00FB6278">
            <w:pPr>
              <w:jc w:val="center"/>
              <w:rPr>
                <w:rFonts w:ascii="Arial" w:hAnsi="Arial"/>
                <w:sz w:val="22"/>
              </w:rPr>
            </w:pPr>
          </w:p>
        </w:tc>
        <w:tc>
          <w:tcPr>
            <w:tcW w:w="1285" w:type="dxa"/>
            <w:vAlign w:val="center"/>
          </w:tcPr>
          <w:p w14:paraId="2DDB9D6D" w14:textId="08E4C423" w:rsidR="000B6C29" w:rsidRPr="00952C33" w:rsidRDefault="000B6C29" w:rsidP="00FB6278">
            <w:pPr>
              <w:jc w:val="center"/>
              <w:rPr>
                <w:rFonts w:ascii="Arial" w:hAnsi="Arial"/>
                <w:sz w:val="22"/>
              </w:rPr>
            </w:pPr>
            <w:r w:rsidRPr="00952C33">
              <w:rPr>
                <w:rFonts w:ascii="Arial" w:hAnsi="Arial" w:hint="eastAsia"/>
                <w:sz w:val="22"/>
              </w:rPr>
              <w:t>√</w:t>
            </w:r>
          </w:p>
        </w:tc>
        <w:tc>
          <w:tcPr>
            <w:tcW w:w="1144" w:type="dxa"/>
            <w:vAlign w:val="center"/>
          </w:tcPr>
          <w:p w14:paraId="5D33257A" w14:textId="74AF59DF" w:rsidR="000B6C29" w:rsidRPr="00952C33" w:rsidRDefault="000B6C29" w:rsidP="00FB6278">
            <w:pPr>
              <w:jc w:val="center"/>
              <w:rPr>
                <w:rFonts w:ascii="Arial" w:hAnsi="Arial"/>
                <w:sz w:val="22"/>
              </w:rPr>
            </w:pPr>
            <w:r w:rsidRPr="00952C33">
              <w:rPr>
                <w:rFonts w:ascii="Arial" w:hAnsi="Arial" w:hint="eastAsia"/>
                <w:sz w:val="22"/>
              </w:rPr>
              <w:t>√</w:t>
            </w:r>
          </w:p>
        </w:tc>
        <w:tc>
          <w:tcPr>
            <w:tcW w:w="1229" w:type="dxa"/>
            <w:vAlign w:val="center"/>
          </w:tcPr>
          <w:p w14:paraId="07194433" w14:textId="6643CD46" w:rsidR="000B6C29" w:rsidRPr="00952C33" w:rsidRDefault="000B6C29" w:rsidP="00FB6278">
            <w:pPr>
              <w:jc w:val="center"/>
              <w:rPr>
                <w:rFonts w:ascii="Arial" w:hAnsi="Arial"/>
                <w:sz w:val="22"/>
              </w:rPr>
            </w:pPr>
            <w:r w:rsidRPr="00952C33">
              <w:rPr>
                <w:rFonts w:ascii="Arial" w:hAnsi="Arial" w:hint="eastAsia"/>
                <w:sz w:val="22"/>
              </w:rPr>
              <w:t>√</w:t>
            </w:r>
          </w:p>
        </w:tc>
        <w:tc>
          <w:tcPr>
            <w:tcW w:w="3272" w:type="dxa"/>
            <w:vAlign w:val="center"/>
          </w:tcPr>
          <w:p w14:paraId="0E31B315" w14:textId="1A6746F1" w:rsidR="000B6C29" w:rsidRPr="00952C33" w:rsidRDefault="000B6C29" w:rsidP="00FB6278">
            <w:pPr>
              <w:rPr>
                <w:rFonts w:ascii="Arial" w:hAnsi="Arial"/>
                <w:sz w:val="22"/>
              </w:rPr>
            </w:pPr>
          </w:p>
        </w:tc>
      </w:tr>
      <w:tr w:rsidR="000B6C29" w:rsidRPr="00777F4F" w14:paraId="1CF6DC85" w14:textId="77777777" w:rsidTr="00650575">
        <w:tc>
          <w:tcPr>
            <w:tcW w:w="4352" w:type="dxa"/>
          </w:tcPr>
          <w:p w14:paraId="5A2CCE9C" w14:textId="77777777" w:rsidR="000B6C29" w:rsidRDefault="000B6C29" w:rsidP="00FB6278">
            <w:pPr>
              <w:rPr>
                <w:rFonts w:ascii="Arial" w:hAnsi="Arial"/>
                <w:sz w:val="22"/>
              </w:rPr>
            </w:pPr>
            <w:r w:rsidRPr="00952C33">
              <w:rPr>
                <w:rFonts w:ascii="Arial" w:hAnsi="Arial"/>
                <w:sz w:val="22"/>
              </w:rPr>
              <w:t xml:space="preserve">Paul Murphy (NCL) </w:t>
            </w:r>
          </w:p>
          <w:p w14:paraId="0BE599C8" w14:textId="692CF213" w:rsidR="00A90A01" w:rsidRPr="00952C33" w:rsidRDefault="00A90A01" w:rsidP="00FB6278">
            <w:pPr>
              <w:rPr>
                <w:rFonts w:ascii="Arial" w:hAnsi="Arial"/>
                <w:sz w:val="22"/>
              </w:rPr>
            </w:pPr>
            <w:r>
              <w:rPr>
                <w:rFonts w:ascii="Arial" w:hAnsi="Arial"/>
                <w:sz w:val="22"/>
              </w:rPr>
              <w:t>Elected 1 April 2018 (3 years)</w:t>
            </w:r>
          </w:p>
        </w:tc>
        <w:tc>
          <w:tcPr>
            <w:tcW w:w="1285" w:type="dxa"/>
            <w:vAlign w:val="center"/>
          </w:tcPr>
          <w:p w14:paraId="0249555E" w14:textId="42C5A196" w:rsidR="000B6C29" w:rsidRPr="00952C33" w:rsidRDefault="000B6C29" w:rsidP="00FB6278">
            <w:pPr>
              <w:jc w:val="center"/>
              <w:rPr>
                <w:rFonts w:ascii="Arial" w:hAnsi="Arial"/>
                <w:sz w:val="22"/>
              </w:rPr>
            </w:pPr>
            <w:r w:rsidRPr="00952C33">
              <w:rPr>
                <w:rFonts w:ascii="Arial" w:hAnsi="Arial" w:hint="eastAsia"/>
                <w:sz w:val="22"/>
              </w:rPr>
              <w:t>√</w:t>
            </w:r>
          </w:p>
        </w:tc>
        <w:tc>
          <w:tcPr>
            <w:tcW w:w="1285" w:type="dxa"/>
            <w:vAlign w:val="center"/>
          </w:tcPr>
          <w:p w14:paraId="525CA41B" w14:textId="34F51BE8" w:rsidR="000B6C29" w:rsidRPr="00952C33" w:rsidRDefault="000B6C29" w:rsidP="00FB6278">
            <w:pPr>
              <w:jc w:val="center"/>
              <w:rPr>
                <w:rFonts w:ascii="Arial" w:hAnsi="Arial"/>
                <w:sz w:val="22"/>
              </w:rPr>
            </w:pPr>
            <w:r w:rsidRPr="00952C33">
              <w:rPr>
                <w:rFonts w:ascii="Arial" w:hAnsi="Arial" w:hint="eastAsia"/>
                <w:sz w:val="22"/>
              </w:rPr>
              <w:t>√</w:t>
            </w:r>
          </w:p>
        </w:tc>
        <w:tc>
          <w:tcPr>
            <w:tcW w:w="1285" w:type="dxa"/>
            <w:vAlign w:val="center"/>
          </w:tcPr>
          <w:p w14:paraId="4710790D" w14:textId="0515FB62" w:rsidR="000B6C29" w:rsidRPr="00952C33" w:rsidRDefault="000B6C29" w:rsidP="00FB6278">
            <w:pPr>
              <w:jc w:val="center"/>
              <w:rPr>
                <w:rFonts w:ascii="Arial" w:hAnsi="Arial"/>
                <w:sz w:val="22"/>
              </w:rPr>
            </w:pPr>
            <w:r w:rsidRPr="00952C33">
              <w:rPr>
                <w:rFonts w:ascii="Arial" w:hAnsi="Arial" w:hint="eastAsia"/>
                <w:sz w:val="22"/>
              </w:rPr>
              <w:t>√</w:t>
            </w:r>
          </w:p>
        </w:tc>
        <w:tc>
          <w:tcPr>
            <w:tcW w:w="1144" w:type="dxa"/>
            <w:vAlign w:val="center"/>
          </w:tcPr>
          <w:p w14:paraId="5E00BF03" w14:textId="70BE8B39" w:rsidR="000B6C29" w:rsidRPr="00952C33" w:rsidRDefault="000B6C29" w:rsidP="00FB6278">
            <w:pPr>
              <w:jc w:val="center"/>
              <w:rPr>
                <w:rFonts w:ascii="Arial" w:hAnsi="Arial"/>
                <w:sz w:val="22"/>
              </w:rPr>
            </w:pPr>
            <w:r w:rsidRPr="00952C33">
              <w:rPr>
                <w:rFonts w:ascii="Arial" w:hAnsi="Arial" w:hint="eastAsia"/>
                <w:sz w:val="22"/>
              </w:rPr>
              <w:t>√</w:t>
            </w:r>
          </w:p>
        </w:tc>
        <w:tc>
          <w:tcPr>
            <w:tcW w:w="1229" w:type="dxa"/>
            <w:vAlign w:val="center"/>
          </w:tcPr>
          <w:p w14:paraId="6E62BED3" w14:textId="7C7CD6AC" w:rsidR="000B6C29" w:rsidRPr="00952C33" w:rsidRDefault="000B6C29" w:rsidP="00FB6278">
            <w:pPr>
              <w:jc w:val="center"/>
              <w:rPr>
                <w:rFonts w:ascii="Arial" w:hAnsi="Arial"/>
                <w:sz w:val="22"/>
              </w:rPr>
            </w:pPr>
            <w:r w:rsidRPr="00952C33">
              <w:rPr>
                <w:rFonts w:ascii="Arial" w:hAnsi="Arial" w:hint="eastAsia"/>
                <w:sz w:val="22"/>
              </w:rPr>
              <w:t>√</w:t>
            </w:r>
          </w:p>
        </w:tc>
        <w:tc>
          <w:tcPr>
            <w:tcW w:w="3272" w:type="dxa"/>
            <w:vAlign w:val="center"/>
          </w:tcPr>
          <w:p w14:paraId="4869C6A7" w14:textId="77777777" w:rsidR="000B6C29" w:rsidRPr="00952C33" w:rsidRDefault="000B6C29" w:rsidP="00FB6278">
            <w:pPr>
              <w:rPr>
                <w:rFonts w:ascii="Arial" w:hAnsi="Arial"/>
                <w:sz w:val="22"/>
              </w:rPr>
            </w:pPr>
            <w:r w:rsidRPr="00952C33">
              <w:rPr>
                <w:rFonts w:ascii="Arial" w:hAnsi="Arial"/>
                <w:sz w:val="22"/>
              </w:rPr>
              <w:t>GDG</w:t>
            </w:r>
          </w:p>
        </w:tc>
      </w:tr>
      <w:tr w:rsidR="000B6C29" w:rsidRPr="00777F4F" w14:paraId="427B57F3" w14:textId="77777777" w:rsidTr="00650575">
        <w:tc>
          <w:tcPr>
            <w:tcW w:w="4352" w:type="dxa"/>
          </w:tcPr>
          <w:p w14:paraId="0DECF92A" w14:textId="77777777" w:rsidR="000B6C29" w:rsidRDefault="000B6C29" w:rsidP="00FB6278">
            <w:pPr>
              <w:rPr>
                <w:rFonts w:ascii="Arial" w:hAnsi="Arial"/>
                <w:sz w:val="22"/>
              </w:rPr>
            </w:pPr>
            <w:r w:rsidRPr="00952C33">
              <w:rPr>
                <w:rFonts w:ascii="Arial" w:hAnsi="Arial"/>
                <w:sz w:val="22"/>
              </w:rPr>
              <w:t>Naga Subramanian (SEL)</w:t>
            </w:r>
          </w:p>
          <w:p w14:paraId="7480047F" w14:textId="2EC8A176" w:rsidR="00A90A01" w:rsidRPr="00952C33" w:rsidRDefault="00A90A01" w:rsidP="00FB6278">
            <w:pPr>
              <w:rPr>
                <w:rFonts w:ascii="Arial" w:hAnsi="Arial"/>
                <w:sz w:val="22"/>
              </w:rPr>
            </w:pPr>
            <w:r>
              <w:rPr>
                <w:rFonts w:ascii="Arial" w:hAnsi="Arial"/>
                <w:sz w:val="22"/>
              </w:rPr>
              <w:t>Elected 1 April 2019 (3 years)</w:t>
            </w:r>
          </w:p>
        </w:tc>
        <w:tc>
          <w:tcPr>
            <w:tcW w:w="1285" w:type="dxa"/>
            <w:vAlign w:val="center"/>
          </w:tcPr>
          <w:p w14:paraId="6E396A0E" w14:textId="04CF85BB" w:rsidR="000B6C29" w:rsidRPr="00952C33" w:rsidRDefault="000B6C29" w:rsidP="00FB6278">
            <w:pPr>
              <w:jc w:val="center"/>
              <w:rPr>
                <w:rFonts w:ascii="Arial" w:hAnsi="Arial"/>
                <w:sz w:val="22"/>
              </w:rPr>
            </w:pPr>
            <w:r w:rsidRPr="00952C33">
              <w:rPr>
                <w:rFonts w:ascii="Arial" w:hAnsi="Arial" w:hint="eastAsia"/>
                <w:sz w:val="22"/>
              </w:rPr>
              <w:t>√</w:t>
            </w:r>
          </w:p>
        </w:tc>
        <w:tc>
          <w:tcPr>
            <w:tcW w:w="1285" w:type="dxa"/>
            <w:vAlign w:val="center"/>
          </w:tcPr>
          <w:p w14:paraId="2BA686E9" w14:textId="157BC144" w:rsidR="000B6C29" w:rsidRPr="00952C33" w:rsidRDefault="000B6C29" w:rsidP="00FB6278">
            <w:pPr>
              <w:jc w:val="center"/>
              <w:rPr>
                <w:rFonts w:ascii="Arial" w:hAnsi="Arial"/>
                <w:sz w:val="22"/>
              </w:rPr>
            </w:pPr>
            <w:r w:rsidRPr="00952C33">
              <w:rPr>
                <w:rFonts w:ascii="Arial" w:hAnsi="Arial" w:hint="eastAsia"/>
                <w:sz w:val="22"/>
              </w:rPr>
              <w:t>√</w:t>
            </w:r>
          </w:p>
        </w:tc>
        <w:tc>
          <w:tcPr>
            <w:tcW w:w="1285" w:type="dxa"/>
            <w:vAlign w:val="center"/>
          </w:tcPr>
          <w:p w14:paraId="2E925ACF" w14:textId="6F6BDD65" w:rsidR="000B6C29" w:rsidRPr="00952C33" w:rsidRDefault="000B6C29" w:rsidP="00FB6278">
            <w:pPr>
              <w:jc w:val="center"/>
              <w:rPr>
                <w:rFonts w:ascii="Arial" w:hAnsi="Arial"/>
                <w:sz w:val="22"/>
              </w:rPr>
            </w:pPr>
            <w:r w:rsidRPr="00952C33">
              <w:rPr>
                <w:rFonts w:ascii="Arial" w:hAnsi="Arial" w:hint="eastAsia"/>
                <w:sz w:val="22"/>
              </w:rPr>
              <w:t>√</w:t>
            </w:r>
          </w:p>
        </w:tc>
        <w:tc>
          <w:tcPr>
            <w:tcW w:w="1144" w:type="dxa"/>
            <w:vAlign w:val="center"/>
          </w:tcPr>
          <w:p w14:paraId="3FB27996" w14:textId="5E0DEAF8" w:rsidR="000B6C29" w:rsidRPr="00952C33" w:rsidRDefault="000B6C29" w:rsidP="00FB6278">
            <w:pPr>
              <w:jc w:val="center"/>
              <w:rPr>
                <w:rFonts w:ascii="Arial" w:hAnsi="Arial"/>
                <w:sz w:val="22"/>
              </w:rPr>
            </w:pPr>
            <w:r w:rsidRPr="00952C33">
              <w:rPr>
                <w:rFonts w:ascii="Arial" w:hAnsi="Arial" w:hint="eastAsia"/>
                <w:sz w:val="22"/>
              </w:rPr>
              <w:t>√</w:t>
            </w:r>
          </w:p>
        </w:tc>
        <w:tc>
          <w:tcPr>
            <w:tcW w:w="1229" w:type="dxa"/>
            <w:vAlign w:val="center"/>
          </w:tcPr>
          <w:p w14:paraId="6A0C60B0" w14:textId="18453475" w:rsidR="000B6C29" w:rsidRPr="00952C33" w:rsidRDefault="000B6C29" w:rsidP="00FB6278">
            <w:pPr>
              <w:jc w:val="center"/>
              <w:rPr>
                <w:rFonts w:ascii="Arial" w:hAnsi="Arial"/>
                <w:sz w:val="22"/>
              </w:rPr>
            </w:pPr>
            <w:r w:rsidRPr="00952C33">
              <w:rPr>
                <w:rFonts w:ascii="Arial" w:hAnsi="Arial" w:hint="eastAsia"/>
                <w:sz w:val="22"/>
              </w:rPr>
              <w:t>√</w:t>
            </w:r>
          </w:p>
        </w:tc>
        <w:tc>
          <w:tcPr>
            <w:tcW w:w="3272" w:type="dxa"/>
            <w:vAlign w:val="center"/>
          </w:tcPr>
          <w:p w14:paraId="3CEF46C9" w14:textId="5D3F8CE0" w:rsidR="000B6C29" w:rsidRPr="00952C33" w:rsidRDefault="000B6C29" w:rsidP="00FB6278">
            <w:pPr>
              <w:rPr>
                <w:rFonts w:ascii="Arial" w:hAnsi="Arial"/>
                <w:sz w:val="22"/>
              </w:rPr>
            </w:pPr>
            <w:r w:rsidRPr="00952C33">
              <w:rPr>
                <w:rFonts w:ascii="Arial" w:hAnsi="Arial"/>
                <w:sz w:val="22"/>
              </w:rPr>
              <w:t>RNC</w:t>
            </w:r>
          </w:p>
        </w:tc>
      </w:tr>
      <w:tr w:rsidR="000B6C29" w:rsidRPr="00777F4F" w14:paraId="59564A62" w14:textId="77777777" w:rsidTr="00650575">
        <w:tc>
          <w:tcPr>
            <w:tcW w:w="4352" w:type="dxa"/>
          </w:tcPr>
          <w:p w14:paraId="5734FBA8" w14:textId="77777777" w:rsidR="000B6C29" w:rsidRDefault="000B6C29" w:rsidP="00FB6278">
            <w:pPr>
              <w:rPr>
                <w:rFonts w:ascii="Arial" w:hAnsi="Arial"/>
                <w:sz w:val="22"/>
              </w:rPr>
            </w:pPr>
            <w:r w:rsidRPr="00952C33">
              <w:rPr>
                <w:rFonts w:ascii="Arial" w:hAnsi="Arial"/>
                <w:sz w:val="22"/>
              </w:rPr>
              <w:t>Richard Collins (NEL and Essex)</w:t>
            </w:r>
          </w:p>
          <w:p w14:paraId="75106B5D" w14:textId="56CCFCFB" w:rsidR="00A90A01" w:rsidRPr="00952C33" w:rsidRDefault="00A90A01" w:rsidP="00FB6278">
            <w:pPr>
              <w:rPr>
                <w:rFonts w:ascii="Arial" w:hAnsi="Arial"/>
                <w:sz w:val="22"/>
              </w:rPr>
            </w:pPr>
            <w:r>
              <w:rPr>
                <w:rFonts w:ascii="Arial" w:hAnsi="Arial"/>
                <w:sz w:val="22"/>
              </w:rPr>
              <w:t>Elected 1 April 2018 (3 years)</w:t>
            </w:r>
          </w:p>
        </w:tc>
        <w:tc>
          <w:tcPr>
            <w:tcW w:w="1285" w:type="dxa"/>
            <w:vAlign w:val="center"/>
          </w:tcPr>
          <w:p w14:paraId="11F3C58D" w14:textId="315BFBB5" w:rsidR="000B6C29" w:rsidRPr="00952C33" w:rsidRDefault="000B6C29" w:rsidP="00FB6278">
            <w:pPr>
              <w:jc w:val="center"/>
              <w:rPr>
                <w:rFonts w:ascii="Arial" w:hAnsi="Arial"/>
                <w:sz w:val="22"/>
              </w:rPr>
            </w:pPr>
            <w:r w:rsidRPr="00952C33">
              <w:rPr>
                <w:rFonts w:ascii="Arial" w:hAnsi="Arial" w:hint="eastAsia"/>
                <w:sz w:val="22"/>
              </w:rPr>
              <w:t>√</w:t>
            </w:r>
          </w:p>
        </w:tc>
        <w:tc>
          <w:tcPr>
            <w:tcW w:w="1285" w:type="dxa"/>
            <w:vAlign w:val="center"/>
          </w:tcPr>
          <w:p w14:paraId="4FEE61F4" w14:textId="47D579BB" w:rsidR="000B6C29" w:rsidRPr="00952C33" w:rsidRDefault="000B6C29" w:rsidP="00FB6278">
            <w:pPr>
              <w:jc w:val="center"/>
              <w:rPr>
                <w:rFonts w:ascii="Arial" w:hAnsi="Arial"/>
                <w:sz w:val="22"/>
              </w:rPr>
            </w:pPr>
            <w:r w:rsidRPr="00952C33">
              <w:rPr>
                <w:rFonts w:ascii="Arial" w:hAnsi="Arial" w:hint="eastAsia"/>
                <w:sz w:val="22"/>
              </w:rPr>
              <w:t>√</w:t>
            </w:r>
          </w:p>
        </w:tc>
        <w:tc>
          <w:tcPr>
            <w:tcW w:w="1285" w:type="dxa"/>
            <w:vAlign w:val="center"/>
          </w:tcPr>
          <w:p w14:paraId="07309C2B" w14:textId="24ACB6A8" w:rsidR="000B6C29" w:rsidRPr="00952C33" w:rsidRDefault="000B6C29" w:rsidP="00FB6278">
            <w:pPr>
              <w:jc w:val="center"/>
              <w:rPr>
                <w:rFonts w:ascii="Arial" w:hAnsi="Arial"/>
                <w:sz w:val="22"/>
              </w:rPr>
            </w:pPr>
            <w:r w:rsidRPr="00952C33">
              <w:rPr>
                <w:rFonts w:ascii="Arial" w:hAnsi="Arial" w:hint="eastAsia"/>
                <w:sz w:val="22"/>
              </w:rPr>
              <w:t>√</w:t>
            </w:r>
          </w:p>
        </w:tc>
        <w:tc>
          <w:tcPr>
            <w:tcW w:w="1144" w:type="dxa"/>
            <w:vAlign w:val="center"/>
          </w:tcPr>
          <w:p w14:paraId="6EE3DEE2" w14:textId="65FC8166" w:rsidR="000B6C29" w:rsidRPr="00952C33" w:rsidRDefault="000B6C29" w:rsidP="00FB6278">
            <w:pPr>
              <w:jc w:val="center"/>
              <w:rPr>
                <w:rFonts w:ascii="Arial" w:hAnsi="Arial"/>
                <w:sz w:val="22"/>
              </w:rPr>
            </w:pPr>
          </w:p>
        </w:tc>
        <w:tc>
          <w:tcPr>
            <w:tcW w:w="1229" w:type="dxa"/>
            <w:vAlign w:val="center"/>
          </w:tcPr>
          <w:p w14:paraId="5499B4E2" w14:textId="484C971F" w:rsidR="000B6C29" w:rsidRPr="00952C33" w:rsidRDefault="000B6C29" w:rsidP="00FB6278">
            <w:pPr>
              <w:jc w:val="center"/>
              <w:rPr>
                <w:rFonts w:ascii="Arial" w:hAnsi="Arial"/>
                <w:sz w:val="22"/>
              </w:rPr>
            </w:pPr>
            <w:r w:rsidRPr="00952C33">
              <w:rPr>
                <w:rFonts w:ascii="Arial" w:hAnsi="Arial" w:hint="eastAsia"/>
                <w:sz w:val="22"/>
              </w:rPr>
              <w:t>√</w:t>
            </w:r>
          </w:p>
        </w:tc>
        <w:tc>
          <w:tcPr>
            <w:tcW w:w="3272" w:type="dxa"/>
            <w:vAlign w:val="center"/>
          </w:tcPr>
          <w:p w14:paraId="615734F1" w14:textId="77777777" w:rsidR="000B6C29" w:rsidRPr="00952C33" w:rsidRDefault="000B6C29" w:rsidP="00FB6278">
            <w:pPr>
              <w:rPr>
                <w:rFonts w:ascii="Arial" w:hAnsi="Arial"/>
                <w:sz w:val="22"/>
              </w:rPr>
            </w:pPr>
            <w:r w:rsidRPr="00952C33">
              <w:rPr>
                <w:rFonts w:ascii="Arial" w:hAnsi="Arial"/>
                <w:sz w:val="22"/>
              </w:rPr>
              <w:t>Chair, RNC</w:t>
            </w:r>
          </w:p>
          <w:p w14:paraId="36EA65F5" w14:textId="21DBB931" w:rsidR="000B6C29" w:rsidRPr="00952C33" w:rsidRDefault="000B6C29" w:rsidP="00FB6278">
            <w:pPr>
              <w:rPr>
                <w:rFonts w:ascii="Arial" w:hAnsi="Arial"/>
                <w:sz w:val="22"/>
              </w:rPr>
            </w:pPr>
            <w:r w:rsidRPr="00952C33">
              <w:rPr>
                <w:rFonts w:ascii="Arial" w:hAnsi="Arial"/>
                <w:sz w:val="22"/>
              </w:rPr>
              <w:t>GDG</w:t>
            </w:r>
          </w:p>
        </w:tc>
      </w:tr>
      <w:tr w:rsidR="000B6C29" w:rsidRPr="00777F4F" w14:paraId="4A4EC238" w14:textId="77777777" w:rsidTr="00650575">
        <w:tc>
          <w:tcPr>
            <w:tcW w:w="4352" w:type="dxa"/>
          </w:tcPr>
          <w:p w14:paraId="1513CB69" w14:textId="77777777" w:rsidR="000B6C29" w:rsidRDefault="000B6C29" w:rsidP="00FB6278">
            <w:pPr>
              <w:rPr>
                <w:rFonts w:ascii="Arial" w:hAnsi="Arial"/>
                <w:sz w:val="22"/>
              </w:rPr>
            </w:pPr>
            <w:r w:rsidRPr="00952C33">
              <w:rPr>
                <w:rFonts w:ascii="Arial" w:hAnsi="Arial"/>
                <w:sz w:val="22"/>
              </w:rPr>
              <w:t>John Russell (NEL and Essex)</w:t>
            </w:r>
          </w:p>
          <w:p w14:paraId="1CADDF01" w14:textId="6C26ECE1" w:rsidR="00A90A01" w:rsidRPr="00952C33" w:rsidRDefault="00A90A01" w:rsidP="00FB6278">
            <w:pPr>
              <w:rPr>
                <w:rFonts w:ascii="Arial" w:hAnsi="Arial"/>
                <w:sz w:val="22"/>
              </w:rPr>
            </w:pPr>
            <w:r>
              <w:rPr>
                <w:rFonts w:ascii="Arial" w:hAnsi="Arial"/>
                <w:sz w:val="22"/>
              </w:rPr>
              <w:t>Elected 1 April 2019 (3 years)</w:t>
            </w:r>
          </w:p>
        </w:tc>
        <w:tc>
          <w:tcPr>
            <w:tcW w:w="1285" w:type="dxa"/>
            <w:vAlign w:val="center"/>
          </w:tcPr>
          <w:p w14:paraId="5550FBEF" w14:textId="2FCDBDC9" w:rsidR="000B6C29" w:rsidRPr="00952C33" w:rsidRDefault="000B6C29" w:rsidP="00FB6278">
            <w:pPr>
              <w:jc w:val="center"/>
              <w:rPr>
                <w:rFonts w:ascii="Arial" w:hAnsi="Arial"/>
                <w:sz w:val="22"/>
              </w:rPr>
            </w:pPr>
            <w:r w:rsidRPr="00952C33">
              <w:rPr>
                <w:rFonts w:ascii="Arial" w:hAnsi="Arial" w:hint="eastAsia"/>
                <w:sz w:val="22"/>
              </w:rPr>
              <w:t>√</w:t>
            </w:r>
          </w:p>
        </w:tc>
        <w:tc>
          <w:tcPr>
            <w:tcW w:w="1285" w:type="dxa"/>
            <w:vAlign w:val="center"/>
          </w:tcPr>
          <w:p w14:paraId="1EDDE01C" w14:textId="0A162822" w:rsidR="000B6C29" w:rsidRPr="00952C33" w:rsidRDefault="000B6C29" w:rsidP="00FB6278">
            <w:pPr>
              <w:jc w:val="center"/>
              <w:rPr>
                <w:rFonts w:ascii="Arial" w:hAnsi="Arial"/>
                <w:sz w:val="22"/>
              </w:rPr>
            </w:pPr>
            <w:r w:rsidRPr="00952C33">
              <w:rPr>
                <w:rFonts w:ascii="Arial" w:hAnsi="Arial" w:hint="eastAsia"/>
                <w:sz w:val="22"/>
              </w:rPr>
              <w:t>√</w:t>
            </w:r>
          </w:p>
        </w:tc>
        <w:tc>
          <w:tcPr>
            <w:tcW w:w="1285" w:type="dxa"/>
            <w:vAlign w:val="center"/>
          </w:tcPr>
          <w:p w14:paraId="40EB554F" w14:textId="762092B9" w:rsidR="000B6C29" w:rsidRPr="00952C33" w:rsidRDefault="000B6C29" w:rsidP="00FB6278">
            <w:pPr>
              <w:jc w:val="center"/>
              <w:rPr>
                <w:rFonts w:ascii="Arial" w:hAnsi="Arial"/>
                <w:sz w:val="22"/>
              </w:rPr>
            </w:pPr>
            <w:r w:rsidRPr="00952C33">
              <w:rPr>
                <w:rFonts w:ascii="Arial" w:hAnsi="Arial" w:hint="eastAsia"/>
                <w:sz w:val="22"/>
              </w:rPr>
              <w:t>√</w:t>
            </w:r>
          </w:p>
        </w:tc>
        <w:tc>
          <w:tcPr>
            <w:tcW w:w="1144" w:type="dxa"/>
            <w:vAlign w:val="center"/>
          </w:tcPr>
          <w:p w14:paraId="1F3487F3" w14:textId="597896DE" w:rsidR="000B6C29" w:rsidRPr="00952C33" w:rsidRDefault="000B6C29" w:rsidP="00FB6278">
            <w:pPr>
              <w:jc w:val="center"/>
              <w:rPr>
                <w:rFonts w:ascii="Arial" w:hAnsi="Arial"/>
                <w:sz w:val="22"/>
              </w:rPr>
            </w:pPr>
            <w:r w:rsidRPr="00952C33">
              <w:rPr>
                <w:rFonts w:ascii="Arial" w:hAnsi="Arial" w:hint="eastAsia"/>
                <w:sz w:val="22"/>
              </w:rPr>
              <w:t>√</w:t>
            </w:r>
          </w:p>
        </w:tc>
        <w:tc>
          <w:tcPr>
            <w:tcW w:w="1229" w:type="dxa"/>
            <w:vAlign w:val="center"/>
          </w:tcPr>
          <w:p w14:paraId="1D027CEF" w14:textId="2D1CBB64" w:rsidR="000B6C29" w:rsidRPr="00952C33" w:rsidRDefault="000B6C29" w:rsidP="00FB6278">
            <w:pPr>
              <w:jc w:val="center"/>
              <w:rPr>
                <w:rFonts w:ascii="Arial" w:hAnsi="Arial"/>
                <w:sz w:val="22"/>
              </w:rPr>
            </w:pPr>
            <w:r w:rsidRPr="00952C33">
              <w:rPr>
                <w:rFonts w:ascii="Arial" w:hAnsi="Arial" w:hint="eastAsia"/>
                <w:sz w:val="22"/>
              </w:rPr>
              <w:t>√</w:t>
            </w:r>
          </w:p>
        </w:tc>
        <w:tc>
          <w:tcPr>
            <w:tcW w:w="3272" w:type="dxa"/>
            <w:vAlign w:val="center"/>
          </w:tcPr>
          <w:p w14:paraId="3D503D5C" w14:textId="27BD1CB1" w:rsidR="000B6C29" w:rsidRPr="00952C33" w:rsidRDefault="000B6C29" w:rsidP="00FB6278">
            <w:pPr>
              <w:rPr>
                <w:rFonts w:ascii="Arial" w:hAnsi="Arial"/>
                <w:sz w:val="22"/>
              </w:rPr>
            </w:pPr>
          </w:p>
        </w:tc>
      </w:tr>
      <w:tr w:rsidR="000B6C29" w:rsidRPr="00777F4F" w14:paraId="059F5987" w14:textId="77777777" w:rsidTr="00650575">
        <w:tc>
          <w:tcPr>
            <w:tcW w:w="4352" w:type="dxa"/>
          </w:tcPr>
          <w:p w14:paraId="16879196" w14:textId="77777777" w:rsidR="000B6C29" w:rsidRDefault="000B6C29" w:rsidP="00FB6278">
            <w:pPr>
              <w:rPr>
                <w:rFonts w:ascii="Arial" w:hAnsi="Arial"/>
                <w:sz w:val="22"/>
              </w:rPr>
            </w:pPr>
            <w:r w:rsidRPr="00952C33">
              <w:rPr>
                <w:rFonts w:ascii="Arial" w:hAnsi="Arial"/>
                <w:sz w:val="22"/>
              </w:rPr>
              <w:t>Marcy Ferrer (Patient)</w:t>
            </w:r>
          </w:p>
          <w:p w14:paraId="56A1F721" w14:textId="53183FAF" w:rsidR="00A90A01" w:rsidRPr="00952C33" w:rsidRDefault="00A90A01" w:rsidP="00FB6278">
            <w:pPr>
              <w:rPr>
                <w:rFonts w:ascii="Arial" w:hAnsi="Arial"/>
                <w:sz w:val="22"/>
              </w:rPr>
            </w:pPr>
            <w:r>
              <w:rPr>
                <w:rFonts w:ascii="Arial" w:hAnsi="Arial"/>
                <w:sz w:val="22"/>
              </w:rPr>
              <w:t xml:space="preserve">Elected 1 April 2021 (3 years) </w:t>
            </w:r>
          </w:p>
        </w:tc>
        <w:tc>
          <w:tcPr>
            <w:tcW w:w="1285" w:type="dxa"/>
            <w:vAlign w:val="center"/>
          </w:tcPr>
          <w:p w14:paraId="1E9295BE" w14:textId="689F70DD" w:rsidR="000B6C29" w:rsidRPr="00952C33" w:rsidRDefault="000B6C29" w:rsidP="00FB6278">
            <w:pPr>
              <w:jc w:val="center"/>
              <w:rPr>
                <w:rFonts w:ascii="Arial" w:hAnsi="Arial"/>
                <w:sz w:val="22"/>
              </w:rPr>
            </w:pPr>
            <w:r w:rsidRPr="00952C33">
              <w:rPr>
                <w:rFonts w:ascii="Arial" w:hAnsi="Arial" w:hint="eastAsia"/>
                <w:sz w:val="22"/>
              </w:rPr>
              <w:t>√</w:t>
            </w:r>
          </w:p>
        </w:tc>
        <w:tc>
          <w:tcPr>
            <w:tcW w:w="1285" w:type="dxa"/>
            <w:vAlign w:val="center"/>
          </w:tcPr>
          <w:p w14:paraId="78874AF3" w14:textId="70C25B63" w:rsidR="000B6C29" w:rsidRPr="00952C33" w:rsidRDefault="000B6C29" w:rsidP="00FB6278">
            <w:pPr>
              <w:jc w:val="center"/>
              <w:rPr>
                <w:rFonts w:ascii="Arial" w:hAnsi="Arial"/>
                <w:sz w:val="22"/>
              </w:rPr>
            </w:pPr>
          </w:p>
        </w:tc>
        <w:tc>
          <w:tcPr>
            <w:tcW w:w="1285" w:type="dxa"/>
            <w:vAlign w:val="center"/>
          </w:tcPr>
          <w:p w14:paraId="79533D91" w14:textId="5F5C3DF9" w:rsidR="000B6C29" w:rsidRPr="00952C33" w:rsidRDefault="000B6C29" w:rsidP="00FB6278">
            <w:pPr>
              <w:jc w:val="center"/>
              <w:rPr>
                <w:rFonts w:ascii="Arial" w:hAnsi="Arial"/>
                <w:sz w:val="22"/>
              </w:rPr>
            </w:pPr>
          </w:p>
        </w:tc>
        <w:tc>
          <w:tcPr>
            <w:tcW w:w="1144" w:type="dxa"/>
            <w:vAlign w:val="center"/>
          </w:tcPr>
          <w:p w14:paraId="096DD618" w14:textId="3FDB691C" w:rsidR="000B6C29" w:rsidRPr="00952C33" w:rsidRDefault="000B6C29" w:rsidP="00FB6278">
            <w:pPr>
              <w:jc w:val="center"/>
              <w:rPr>
                <w:rFonts w:ascii="Arial" w:hAnsi="Arial"/>
                <w:sz w:val="22"/>
              </w:rPr>
            </w:pPr>
          </w:p>
        </w:tc>
        <w:tc>
          <w:tcPr>
            <w:tcW w:w="1229" w:type="dxa"/>
          </w:tcPr>
          <w:p w14:paraId="4F513156" w14:textId="77777777" w:rsidR="000B6C29" w:rsidRPr="00952C33" w:rsidRDefault="000B6C29" w:rsidP="00FB6278">
            <w:pPr>
              <w:jc w:val="center"/>
              <w:rPr>
                <w:rFonts w:ascii="Arial" w:hAnsi="Arial"/>
                <w:sz w:val="22"/>
              </w:rPr>
            </w:pPr>
          </w:p>
        </w:tc>
        <w:tc>
          <w:tcPr>
            <w:tcW w:w="3272" w:type="dxa"/>
            <w:vAlign w:val="center"/>
          </w:tcPr>
          <w:p w14:paraId="55BB1848" w14:textId="34141A05" w:rsidR="000B6C29" w:rsidRPr="00952C33" w:rsidRDefault="000B6C29" w:rsidP="00FB6278">
            <w:pPr>
              <w:rPr>
                <w:rFonts w:ascii="Arial" w:hAnsi="Arial"/>
                <w:sz w:val="22"/>
              </w:rPr>
            </w:pPr>
          </w:p>
        </w:tc>
      </w:tr>
      <w:tr w:rsidR="000B6C29" w:rsidRPr="00777F4F" w14:paraId="266D4C80" w14:textId="77777777" w:rsidTr="00650575">
        <w:tc>
          <w:tcPr>
            <w:tcW w:w="4352" w:type="dxa"/>
          </w:tcPr>
          <w:p w14:paraId="6E5907E3" w14:textId="77777777" w:rsidR="000B6C29" w:rsidRDefault="000B6C29" w:rsidP="00FB6278">
            <w:pPr>
              <w:rPr>
                <w:rFonts w:ascii="Arial" w:hAnsi="Arial"/>
                <w:sz w:val="22"/>
              </w:rPr>
            </w:pPr>
            <w:r w:rsidRPr="00952C33">
              <w:rPr>
                <w:rFonts w:ascii="Arial" w:hAnsi="Arial"/>
                <w:sz w:val="22"/>
              </w:rPr>
              <w:t>Vijay Arora (NWL)</w:t>
            </w:r>
          </w:p>
          <w:p w14:paraId="4E0C64B2" w14:textId="70BA565B" w:rsidR="00A90A01" w:rsidRPr="00952C33" w:rsidRDefault="00A90A01" w:rsidP="00FB6278">
            <w:pPr>
              <w:rPr>
                <w:rFonts w:ascii="Arial" w:hAnsi="Arial"/>
                <w:sz w:val="22"/>
              </w:rPr>
            </w:pPr>
            <w:r>
              <w:rPr>
                <w:rFonts w:ascii="Arial" w:hAnsi="Arial"/>
                <w:sz w:val="22"/>
              </w:rPr>
              <w:t>Elected 1 April 2021 (3 years)</w:t>
            </w:r>
          </w:p>
        </w:tc>
        <w:tc>
          <w:tcPr>
            <w:tcW w:w="1285" w:type="dxa"/>
            <w:vAlign w:val="center"/>
          </w:tcPr>
          <w:p w14:paraId="62163FB4" w14:textId="53F8ADE7" w:rsidR="000B6C29" w:rsidRPr="00952C33" w:rsidRDefault="000B6C29" w:rsidP="00FB6278">
            <w:pPr>
              <w:jc w:val="center"/>
              <w:rPr>
                <w:rFonts w:ascii="Arial" w:hAnsi="Arial"/>
                <w:sz w:val="22"/>
              </w:rPr>
            </w:pPr>
            <w:r w:rsidRPr="00952C33">
              <w:rPr>
                <w:rFonts w:ascii="Arial" w:hAnsi="Arial" w:hint="eastAsia"/>
                <w:sz w:val="22"/>
              </w:rPr>
              <w:t>√</w:t>
            </w:r>
          </w:p>
        </w:tc>
        <w:tc>
          <w:tcPr>
            <w:tcW w:w="1285" w:type="dxa"/>
            <w:vAlign w:val="center"/>
          </w:tcPr>
          <w:p w14:paraId="0A96C42B" w14:textId="25A95A78" w:rsidR="000B6C29" w:rsidRPr="00952C33" w:rsidRDefault="000B6C29" w:rsidP="00FB6278">
            <w:pPr>
              <w:jc w:val="center"/>
              <w:rPr>
                <w:rFonts w:ascii="Arial" w:hAnsi="Arial"/>
                <w:sz w:val="22"/>
              </w:rPr>
            </w:pPr>
            <w:r w:rsidRPr="00952C33">
              <w:rPr>
                <w:rFonts w:ascii="Arial" w:hAnsi="Arial" w:hint="eastAsia"/>
                <w:sz w:val="22"/>
              </w:rPr>
              <w:t>√</w:t>
            </w:r>
          </w:p>
        </w:tc>
        <w:tc>
          <w:tcPr>
            <w:tcW w:w="1285" w:type="dxa"/>
            <w:vAlign w:val="center"/>
          </w:tcPr>
          <w:p w14:paraId="54F06F0D" w14:textId="72047DB2" w:rsidR="000B6C29" w:rsidRPr="00952C33" w:rsidRDefault="000B6C29" w:rsidP="00FB6278">
            <w:pPr>
              <w:jc w:val="center"/>
              <w:rPr>
                <w:rFonts w:ascii="Arial" w:hAnsi="Arial"/>
                <w:sz w:val="22"/>
              </w:rPr>
            </w:pPr>
            <w:r w:rsidRPr="00952C33">
              <w:rPr>
                <w:rFonts w:ascii="Arial" w:hAnsi="Arial" w:hint="eastAsia"/>
                <w:sz w:val="22"/>
              </w:rPr>
              <w:t>√</w:t>
            </w:r>
          </w:p>
        </w:tc>
        <w:tc>
          <w:tcPr>
            <w:tcW w:w="1144" w:type="dxa"/>
            <w:vAlign w:val="center"/>
          </w:tcPr>
          <w:p w14:paraId="26E11FDD" w14:textId="7D4FBBE2" w:rsidR="000B6C29" w:rsidRPr="00952C33" w:rsidRDefault="000B6C29" w:rsidP="00FB6278">
            <w:pPr>
              <w:jc w:val="center"/>
              <w:rPr>
                <w:rFonts w:ascii="Arial" w:hAnsi="Arial"/>
                <w:sz w:val="22"/>
              </w:rPr>
            </w:pPr>
          </w:p>
        </w:tc>
        <w:tc>
          <w:tcPr>
            <w:tcW w:w="1229" w:type="dxa"/>
            <w:vAlign w:val="center"/>
          </w:tcPr>
          <w:p w14:paraId="0AC06C30" w14:textId="3AC7EF3D" w:rsidR="000B6C29" w:rsidRPr="00952C33" w:rsidRDefault="000B6C29" w:rsidP="00FB6278">
            <w:pPr>
              <w:jc w:val="center"/>
              <w:rPr>
                <w:rFonts w:ascii="Arial" w:hAnsi="Arial"/>
                <w:sz w:val="22"/>
              </w:rPr>
            </w:pPr>
            <w:r w:rsidRPr="00952C33">
              <w:rPr>
                <w:rFonts w:ascii="Arial" w:hAnsi="Arial" w:hint="eastAsia"/>
                <w:sz w:val="22"/>
              </w:rPr>
              <w:t>√</w:t>
            </w:r>
          </w:p>
        </w:tc>
        <w:tc>
          <w:tcPr>
            <w:tcW w:w="3272" w:type="dxa"/>
            <w:vAlign w:val="center"/>
          </w:tcPr>
          <w:p w14:paraId="25902878" w14:textId="78DE7F23" w:rsidR="000B6C29" w:rsidRPr="00952C33" w:rsidRDefault="000B6C29" w:rsidP="00FB6278">
            <w:pPr>
              <w:rPr>
                <w:rFonts w:ascii="Arial" w:hAnsi="Arial"/>
                <w:sz w:val="22"/>
              </w:rPr>
            </w:pPr>
          </w:p>
        </w:tc>
      </w:tr>
      <w:tr w:rsidR="000B6C29" w:rsidRPr="00777F4F" w14:paraId="4A3C50EC" w14:textId="77777777" w:rsidTr="00650575">
        <w:tc>
          <w:tcPr>
            <w:tcW w:w="4352" w:type="dxa"/>
          </w:tcPr>
          <w:p w14:paraId="23BC305E" w14:textId="77777777" w:rsidR="000B6C29" w:rsidRDefault="000B6C29" w:rsidP="00FB6278">
            <w:pPr>
              <w:rPr>
                <w:rFonts w:ascii="Arial" w:hAnsi="Arial"/>
                <w:sz w:val="22"/>
              </w:rPr>
            </w:pPr>
            <w:r w:rsidRPr="00952C33">
              <w:rPr>
                <w:rFonts w:ascii="Arial" w:hAnsi="Arial"/>
                <w:sz w:val="22"/>
              </w:rPr>
              <w:t xml:space="preserve">Modupe </w:t>
            </w:r>
            <w:proofErr w:type="spellStart"/>
            <w:r w:rsidRPr="00952C33">
              <w:rPr>
                <w:rFonts w:ascii="Arial" w:hAnsi="Arial"/>
                <w:sz w:val="22"/>
              </w:rPr>
              <w:t>Gisanrin</w:t>
            </w:r>
            <w:proofErr w:type="spellEnd"/>
            <w:r w:rsidRPr="00952C33">
              <w:rPr>
                <w:rFonts w:ascii="Arial" w:hAnsi="Arial"/>
                <w:sz w:val="22"/>
              </w:rPr>
              <w:t xml:space="preserve"> (staff: network sites)</w:t>
            </w:r>
          </w:p>
          <w:p w14:paraId="465560BC" w14:textId="0C388DB3" w:rsidR="00A90A01" w:rsidRPr="00952C33" w:rsidRDefault="00A90A01" w:rsidP="00FB6278">
            <w:pPr>
              <w:rPr>
                <w:rFonts w:ascii="Arial" w:hAnsi="Arial"/>
                <w:sz w:val="22"/>
              </w:rPr>
            </w:pPr>
            <w:r>
              <w:rPr>
                <w:rFonts w:ascii="Arial" w:hAnsi="Arial"/>
                <w:sz w:val="22"/>
              </w:rPr>
              <w:t>Elected 1 April 2020 (3 years)</w:t>
            </w:r>
          </w:p>
        </w:tc>
        <w:tc>
          <w:tcPr>
            <w:tcW w:w="1285" w:type="dxa"/>
            <w:vAlign w:val="center"/>
          </w:tcPr>
          <w:p w14:paraId="40945003" w14:textId="77777777" w:rsidR="000B6C29" w:rsidRPr="00952C33" w:rsidRDefault="000B6C29" w:rsidP="00FB6278">
            <w:pPr>
              <w:jc w:val="center"/>
              <w:rPr>
                <w:rFonts w:ascii="Arial" w:hAnsi="Arial"/>
                <w:sz w:val="22"/>
              </w:rPr>
            </w:pPr>
          </w:p>
          <w:p w14:paraId="64AEC92F" w14:textId="77777777" w:rsidR="000B6C29" w:rsidRPr="00952C33" w:rsidRDefault="000B6C29" w:rsidP="00FB6278">
            <w:pPr>
              <w:jc w:val="center"/>
              <w:rPr>
                <w:rFonts w:ascii="Arial" w:hAnsi="Arial"/>
                <w:sz w:val="22"/>
              </w:rPr>
            </w:pPr>
          </w:p>
          <w:p w14:paraId="546CF8F1" w14:textId="2057D5B8" w:rsidR="000B6C29" w:rsidRPr="00952C33" w:rsidRDefault="000B6C29" w:rsidP="00FB6278">
            <w:pPr>
              <w:jc w:val="center"/>
              <w:rPr>
                <w:rFonts w:ascii="Arial" w:hAnsi="Arial"/>
                <w:sz w:val="22"/>
              </w:rPr>
            </w:pPr>
          </w:p>
        </w:tc>
        <w:tc>
          <w:tcPr>
            <w:tcW w:w="1285" w:type="dxa"/>
            <w:vAlign w:val="center"/>
          </w:tcPr>
          <w:p w14:paraId="73971DEC" w14:textId="77777777" w:rsidR="000B6C29" w:rsidRPr="00952C33" w:rsidRDefault="000B6C29" w:rsidP="00FB6278">
            <w:pPr>
              <w:jc w:val="center"/>
              <w:rPr>
                <w:rFonts w:ascii="Arial" w:hAnsi="Arial"/>
                <w:sz w:val="22"/>
              </w:rPr>
            </w:pPr>
          </w:p>
        </w:tc>
        <w:tc>
          <w:tcPr>
            <w:tcW w:w="1285" w:type="dxa"/>
            <w:vAlign w:val="center"/>
          </w:tcPr>
          <w:p w14:paraId="0763E7EA" w14:textId="517AC8DD" w:rsidR="000B6C29" w:rsidRPr="00952C33" w:rsidRDefault="000B6C29" w:rsidP="00FB6278">
            <w:pPr>
              <w:jc w:val="center"/>
              <w:rPr>
                <w:rFonts w:ascii="Arial" w:hAnsi="Arial"/>
                <w:sz w:val="22"/>
              </w:rPr>
            </w:pPr>
          </w:p>
        </w:tc>
        <w:tc>
          <w:tcPr>
            <w:tcW w:w="1144" w:type="dxa"/>
            <w:vAlign w:val="center"/>
          </w:tcPr>
          <w:p w14:paraId="1EC4B52E" w14:textId="1DBDF928" w:rsidR="000B6C29" w:rsidRPr="00952C33" w:rsidRDefault="000B6C29" w:rsidP="00FB6278">
            <w:pPr>
              <w:jc w:val="center"/>
              <w:rPr>
                <w:rFonts w:ascii="Arial" w:hAnsi="Arial"/>
                <w:sz w:val="22"/>
              </w:rPr>
            </w:pPr>
          </w:p>
        </w:tc>
        <w:tc>
          <w:tcPr>
            <w:tcW w:w="1229" w:type="dxa"/>
          </w:tcPr>
          <w:p w14:paraId="782F9867" w14:textId="77777777" w:rsidR="000B6C29" w:rsidRPr="00952C33" w:rsidRDefault="000B6C29" w:rsidP="00FB6278">
            <w:pPr>
              <w:jc w:val="center"/>
              <w:rPr>
                <w:rFonts w:ascii="Arial" w:hAnsi="Arial"/>
                <w:sz w:val="22"/>
              </w:rPr>
            </w:pPr>
          </w:p>
        </w:tc>
        <w:tc>
          <w:tcPr>
            <w:tcW w:w="3272" w:type="dxa"/>
            <w:vAlign w:val="center"/>
          </w:tcPr>
          <w:p w14:paraId="7B676FE3" w14:textId="13031454" w:rsidR="000B6C29" w:rsidRPr="00952C33" w:rsidRDefault="000B6C29" w:rsidP="00FB6278">
            <w:pPr>
              <w:rPr>
                <w:rFonts w:ascii="Arial" w:hAnsi="Arial"/>
                <w:sz w:val="22"/>
              </w:rPr>
            </w:pPr>
          </w:p>
        </w:tc>
      </w:tr>
      <w:tr w:rsidR="000B6C29" w:rsidRPr="00777F4F" w14:paraId="71D01215" w14:textId="77777777" w:rsidTr="00650575">
        <w:tc>
          <w:tcPr>
            <w:tcW w:w="4352" w:type="dxa"/>
          </w:tcPr>
          <w:p w14:paraId="60BA56BA" w14:textId="77777777" w:rsidR="000B6C29" w:rsidRDefault="000B6C29" w:rsidP="00FB6278">
            <w:pPr>
              <w:rPr>
                <w:rFonts w:ascii="Arial" w:hAnsi="Arial"/>
                <w:sz w:val="22"/>
              </w:rPr>
            </w:pPr>
            <w:r w:rsidRPr="00952C33">
              <w:rPr>
                <w:rFonts w:ascii="Arial" w:hAnsi="Arial"/>
                <w:sz w:val="22"/>
              </w:rPr>
              <w:lastRenderedPageBreak/>
              <w:t>Amit Arora (staff: City Road)</w:t>
            </w:r>
          </w:p>
          <w:p w14:paraId="26C546D9" w14:textId="1DA14D2A" w:rsidR="00A90A01" w:rsidRPr="00952C33" w:rsidRDefault="00A90A01" w:rsidP="00FB6278">
            <w:pPr>
              <w:rPr>
                <w:rFonts w:ascii="Arial" w:hAnsi="Arial"/>
                <w:sz w:val="22"/>
              </w:rPr>
            </w:pPr>
            <w:r>
              <w:rPr>
                <w:rFonts w:ascii="Arial" w:hAnsi="Arial"/>
                <w:sz w:val="22"/>
              </w:rPr>
              <w:t>Elected 1 April 2019 (3 years)</w:t>
            </w:r>
          </w:p>
        </w:tc>
        <w:tc>
          <w:tcPr>
            <w:tcW w:w="1285" w:type="dxa"/>
            <w:vAlign w:val="center"/>
          </w:tcPr>
          <w:p w14:paraId="793BC194" w14:textId="6DCE3C6E" w:rsidR="000B6C29" w:rsidRPr="00952C33" w:rsidRDefault="000B6C29" w:rsidP="00FB6278">
            <w:pPr>
              <w:jc w:val="center"/>
              <w:rPr>
                <w:rFonts w:ascii="Arial" w:hAnsi="Arial"/>
                <w:sz w:val="22"/>
              </w:rPr>
            </w:pPr>
            <w:r w:rsidRPr="00952C33">
              <w:rPr>
                <w:rFonts w:ascii="Arial" w:hAnsi="Arial" w:hint="eastAsia"/>
                <w:sz w:val="22"/>
              </w:rPr>
              <w:t>√</w:t>
            </w:r>
          </w:p>
        </w:tc>
        <w:tc>
          <w:tcPr>
            <w:tcW w:w="1285" w:type="dxa"/>
            <w:vAlign w:val="center"/>
          </w:tcPr>
          <w:p w14:paraId="047E474D" w14:textId="2174EBCB" w:rsidR="000B6C29" w:rsidRPr="00952C33" w:rsidRDefault="000B6C29" w:rsidP="00FB6278">
            <w:pPr>
              <w:jc w:val="center"/>
              <w:rPr>
                <w:rFonts w:ascii="Arial" w:hAnsi="Arial"/>
                <w:sz w:val="22"/>
              </w:rPr>
            </w:pPr>
            <w:r w:rsidRPr="00952C33">
              <w:rPr>
                <w:rFonts w:ascii="Arial" w:hAnsi="Arial" w:hint="eastAsia"/>
                <w:sz w:val="22"/>
              </w:rPr>
              <w:t>√</w:t>
            </w:r>
          </w:p>
        </w:tc>
        <w:tc>
          <w:tcPr>
            <w:tcW w:w="1285" w:type="dxa"/>
            <w:vAlign w:val="center"/>
          </w:tcPr>
          <w:p w14:paraId="7B820419" w14:textId="57DE4BC7" w:rsidR="000B6C29" w:rsidRPr="00952C33" w:rsidRDefault="000B6C29" w:rsidP="00FB6278">
            <w:pPr>
              <w:jc w:val="center"/>
              <w:rPr>
                <w:rFonts w:ascii="Arial" w:hAnsi="Arial"/>
                <w:sz w:val="22"/>
              </w:rPr>
            </w:pPr>
            <w:r w:rsidRPr="00952C33">
              <w:rPr>
                <w:rFonts w:ascii="Arial" w:hAnsi="Arial" w:hint="eastAsia"/>
                <w:sz w:val="22"/>
              </w:rPr>
              <w:t>√</w:t>
            </w:r>
          </w:p>
        </w:tc>
        <w:tc>
          <w:tcPr>
            <w:tcW w:w="1144" w:type="dxa"/>
            <w:vAlign w:val="center"/>
          </w:tcPr>
          <w:p w14:paraId="45E43CF3" w14:textId="38C1C12B" w:rsidR="000B6C29" w:rsidRPr="00952C33" w:rsidRDefault="000B6C29" w:rsidP="00FB6278">
            <w:pPr>
              <w:jc w:val="center"/>
              <w:rPr>
                <w:rFonts w:ascii="Arial" w:hAnsi="Arial"/>
                <w:sz w:val="22"/>
              </w:rPr>
            </w:pPr>
            <w:r w:rsidRPr="00952C33">
              <w:rPr>
                <w:rFonts w:ascii="Arial" w:hAnsi="Arial" w:hint="eastAsia"/>
                <w:sz w:val="22"/>
              </w:rPr>
              <w:t>√</w:t>
            </w:r>
          </w:p>
        </w:tc>
        <w:tc>
          <w:tcPr>
            <w:tcW w:w="1229" w:type="dxa"/>
            <w:vAlign w:val="center"/>
          </w:tcPr>
          <w:p w14:paraId="15BD0E2F" w14:textId="08EA3AF4" w:rsidR="000B6C29" w:rsidRPr="00952C33" w:rsidRDefault="000B6C29" w:rsidP="00FB6278">
            <w:pPr>
              <w:jc w:val="center"/>
              <w:rPr>
                <w:rFonts w:ascii="Arial" w:hAnsi="Arial"/>
                <w:sz w:val="22"/>
              </w:rPr>
            </w:pPr>
            <w:r w:rsidRPr="00952C33">
              <w:rPr>
                <w:rFonts w:ascii="Arial" w:hAnsi="Arial" w:hint="eastAsia"/>
                <w:sz w:val="22"/>
              </w:rPr>
              <w:t>√</w:t>
            </w:r>
          </w:p>
        </w:tc>
        <w:tc>
          <w:tcPr>
            <w:tcW w:w="3272" w:type="dxa"/>
            <w:vAlign w:val="center"/>
          </w:tcPr>
          <w:p w14:paraId="47B018A6" w14:textId="77777777" w:rsidR="000B6C29" w:rsidRPr="00952C33" w:rsidRDefault="000B6C29" w:rsidP="00FB6278">
            <w:pPr>
              <w:rPr>
                <w:rFonts w:ascii="Arial" w:hAnsi="Arial"/>
                <w:sz w:val="22"/>
              </w:rPr>
            </w:pPr>
            <w:r w:rsidRPr="00952C33">
              <w:rPr>
                <w:rFonts w:ascii="Arial" w:hAnsi="Arial"/>
                <w:sz w:val="22"/>
              </w:rPr>
              <w:t>RNC</w:t>
            </w:r>
          </w:p>
          <w:p w14:paraId="60031882" w14:textId="46A8757D" w:rsidR="000B6C29" w:rsidRPr="00952C33" w:rsidRDefault="000B6C29" w:rsidP="00FB6278">
            <w:pPr>
              <w:rPr>
                <w:rFonts w:ascii="Arial" w:hAnsi="Arial"/>
                <w:sz w:val="22"/>
              </w:rPr>
            </w:pPr>
            <w:r w:rsidRPr="00952C33">
              <w:rPr>
                <w:rFonts w:ascii="Arial" w:hAnsi="Arial"/>
                <w:sz w:val="22"/>
              </w:rPr>
              <w:t>GDG</w:t>
            </w:r>
          </w:p>
        </w:tc>
      </w:tr>
      <w:tr w:rsidR="000B6C29" w:rsidRPr="00777F4F" w14:paraId="023738BB" w14:textId="77777777" w:rsidTr="00650575">
        <w:tc>
          <w:tcPr>
            <w:tcW w:w="4352" w:type="dxa"/>
          </w:tcPr>
          <w:p w14:paraId="11CB5BBF" w14:textId="77777777" w:rsidR="000B6C29" w:rsidRDefault="000B6C29" w:rsidP="00FB6278">
            <w:pPr>
              <w:rPr>
                <w:rFonts w:ascii="Arial" w:hAnsi="Arial"/>
                <w:sz w:val="22"/>
              </w:rPr>
            </w:pPr>
            <w:proofErr w:type="spellStart"/>
            <w:r w:rsidRPr="00952C33">
              <w:rPr>
                <w:rFonts w:ascii="Arial" w:hAnsi="Arial"/>
                <w:sz w:val="22"/>
              </w:rPr>
              <w:t>Remija</w:t>
            </w:r>
            <w:proofErr w:type="spellEnd"/>
            <w:r w:rsidRPr="00952C33">
              <w:rPr>
                <w:rFonts w:ascii="Arial" w:hAnsi="Arial"/>
                <w:sz w:val="22"/>
              </w:rPr>
              <w:t xml:space="preserve"> </w:t>
            </w:r>
            <w:proofErr w:type="spellStart"/>
            <w:r w:rsidRPr="00952C33">
              <w:rPr>
                <w:rFonts w:ascii="Arial" w:hAnsi="Arial"/>
                <w:sz w:val="22"/>
              </w:rPr>
              <w:t>Mponzi</w:t>
            </w:r>
            <w:proofErr w:type="spellEnd"/>
            <w:r w:rsidRPr="00952C33">
              <w:rPr>
                <w:rFonts w:ascii="Arial" w:hAnsi="Arial"/>
                <w:sz w:val="22"/>
              </w:rPr>
              <w:t xml:space="preserve"> (staff: network sites)</w:t>
            </w:r>
          </w:p>
          <w:p w14:paraId="3CF112F9" w14:textId="6EF6335C" w:rsidR="00A90A01" w:rsidRPr="00952C33" w:rsidRDefault="00650575" w:rsidP="00FB6278">
            <w:pPr>
              <w:rPr>
                <w:rFonts w:ascii="Arial" w:hAnsi="Arial"/>
                <w:sz w:val="22"/>
              </w:rPr>
            </w:pPr>
            <w:r>
              <w:rPr>
                <w:rFonts w:ascii="Arial" w:hAnsi="Arial"/>
                <w:sz w:val="22"/>
              </w:rPr>
              <w:t>Elected 25 March 2019 (3 years)</w:t>
            </w:r>
          </w:p>
        </w:tc>
        <w:tc>
          <w:tcPr>
            <w:tcW w:w="1285" w:type="dxa"/>
            <w:vAlign w:val="center"/>
          </w:tcPr>
          <w:p w14:paraId="0771A264" w14:textId="286828D6" w:rsidR="000B6C29" w:rsidRPr="00952C33" w:rsidRDefault="000B6C29" w:rsidP="00FB6278">
            <w:pPr>
              <w:jc w:val="center"/>
              <w:rPr>
                <w:rFonts w:ascii="Arial" w:hAnsi="Arial"/>
                <w:sz w:val="22"/>
              </w:rPr>
            </w:pPr>
          </w:p>
        </w:tc>
        <w:tc>
          <w:tcPr>
            <w:tcW w:w="1285" w:type="dxa"/>
            <w:vAlign w:val="center"/>
          </w:tcPr>
          <w:p w14:paraId="2D6F9831" w14:textId="4E862F46" w:rsidR="000B6C29" w:rsidRPr="00952C33" w:rsidRDefault="000B6C29" w:rsidP="00FB6278">
            <w:pPr>
              <w:jc w:val="center"/>
              <w:rPr>
                <w:rFonts w:ascii="Arial" w:hAnsi="Arial"/>
                <w:sz w:val="22"/>
              </w:rPr>
            </w:pPr>
            <w:r w:rsidRPr="00952C33">
              <w:rPr>
                <w:rFonts w:ascii="Arial" w:hAnsi="Arial"/>
                <w:sz w:val="22"/>
              </w:rPr>
              <w:t>*</w:t>
            </w:r>
          </w:p>
        </w:tc>
        <w:tc>
          <w:tcPr>
            <w:tcW w:w="1285" w:type="dxa"/>
            <w:vAlign w:val="center"/>
          </w:tcPr>
          <w:p w14:paraId="2D2E5CAE" w14:textId="366564FD" w:rsidR="000B6C29" w:rsidRPr="00952C33" w:rsidRDefault="000B6C29" w:rsidP="00FB6278">
            <w:pPr>
              <w:jc w:val="center"/>
              <w:rPr>
                <w:rFonts w:ascii="Arial" w:hAnsi="Arial"/>
                <w:sz w:val="22"/>
              </w:rPr>
            </w:pPr>
            <w:r w:rsidRPr="00952C33">
              <w:rPr>
                <w:rFonts w:ascii="Arial" w:hAnsi="Arial"/>
                <w:sz w:val="22"/>
              </w:rPr>
              <w:t>*</w:t>
            </w:r>
          </w:p>
        </w:tc>
        <w:tc>
          <w:tcPr>
            <w:tcW w:w="1144" w:type="dxa"/>
            <w:vAlign w:val="center"/>
          </w:tcPr>
          <w:p w14:paraId="66A6409F" w14:textId="7DA00585" w:rsidR="000B6C29" w:rsidRPr="00952C33" w:rsidRDefault="000B6C29" w:rsidP="00FB6278">
            <w:pPr>
              <w:jc w:val="center"/>
              <w:rPr>
                <w:rFonts w:ascii="Arial" w:hAnsi="Arial"/>
                <w:sz w:val="22"/>
              </w:rPr>
            </w:pPr>
            <w:r w:rsidRPr="00952C33">
              <w:rPr>
                <w:rFonts w:ascii="Arial" w:hAnsi="Arial"/>
                <w:sz w:val="22"/>
              </w:rPr>
              <w:t>*</w:t>
            </w:r>
          </w:p>
        </w:tc>
        <w:tc>
          <w:tcPr>
            <w:tcW w:w="1229" w:type="dxa"/>
            <w:vAlign w:val="center"/>
          </w:tcPr>
          <w:p w14:paraId="77A3C73E" w14:textId="699916F9" w:rsidR="000B6C29" w:rsidRPr="00952C33" w:rsidRDefault="000B6C29" w:rsidP="00FB6278">
            <w:pPr>
              <w:jc w:val="center"/>
              <w:rPr>
                <w:rFonts w:ascii="Arial" w:hAnsi="Arial"/>
                <w:sz w:val="22"/>
              </w:rPr>
            </w:pPr>
            <w:r w:rsidRPr="00952C33">
              <w:rPr>
                <w:rFonts w:ascii="Arial" w:hAnsi="Arial"/>
                <w:sz w:val="22"/>
              </w:rPr>
              <w:t>*</w:t>
            </w:r>
          </w:p>
        </w:tc>
        <w:tc>
          <w:tcPr>
            <w:tcW w:w="3272" w:type="dxa"/>
            <w:vAlign w:val="center"/>
          </w:tcPr>
          <w:p w14:paraId="130A038F" w14:textId="10D5DD9F" w:rsidR="000B6C29" w:rsidRPr="00952C33" w:rsidRDefault="000B6C29" w:rsidP="00FB6278">
            <w:pPr>
              <w:rPr>
                <w:rFonts w:ascii="Arial" w:hAnsi="Arial"/>
                <w:sz w:val="22"/>
              </w:rPr>
            </w:pPr>
          </w:p>
        </w:tc>
      </w:tr>
      <w:tr w:rsidR="000B6C29" w:rsidRPr="00777F4F" w14:paraId="6F5C0C71" w14:textId="77777777" w:rsidTr="00650575">
        <w:tc>
          <w:tcPr>
            <w:tcW w:w="4352" w:type="dxa"/>
          </w:tcPr>
          <w:p w14:paraId="5CB3A6FE" w14:textId="77777777" w:rsidR="000B6C29" w:rsidRDefault="000B6C29" w:rsidP="00FB6278">
            <w:pPr>
              <w:rPr>
                <w:rFonts w:ascii="Arial" w:hAnsi="Arial"/>
                <w:sz w:val="22"/>
              </w:rPr>
            </w:pPr>
            <w:r w:rsidRPr="00952C33">
              <w:rPr>
                <w:rFonts w:ascii="Arial" w:hAnsi="Arial"/>
                <w:sz w:val="22"/>
              </w:rPr>
              <w:t>Vijay Tailor (staff: City Road)</w:t>
            </w:r>
          </w:p>
          <w:p w14:paraId="4B44FB05" w14:textId="3061E24B" w:rsidR="00650575" w:rsidRPr="00952C33" w:rsidRDefault="00650575" w:rsidP="00FB6278">
            <w:pPr>
              <w:rPr>
                <w:rFonts w:ascii="Arial" w:hAnsi="Arial"/>
                <w:sz w:val="22"/>
              </w:rPr>
            </w:pPr>
            <w:r>
              <w:rPr>
                <w:rFonts w:ascii="Arial" w:hAnsi="Arial"/>
                <w:sz w:val="22"/>
              </w:rPr>
              <w:t>Elected 31 March 2021 (3 years)</w:t>
            </w:r>
          </w:p>
        </w:tc>
        <w:tc>
          <w:tcPr>
            <w:tcW w:w="1285" w:type="dxa"/>
            <w:vAlign w:val="center"/>
          </w:tcPr>
          <w:p w14:paraId="305ED58B" w14:textId="609CE66C" w:rsidR="000B6C29" w:rsidRPr="00952C33" w:rsidRDefault="000B6C29" w:rsidP="00FB6278">
            <w:pPr>
              <w:jc w:val="center"/>
              <w:rPr>
                <w:rFonts w:ascii="Arial" w:hAnsi="Arial"/>
                <w:sz w:val="22"/>
              </w:rPr>
            </w:pPr>
            <w:r w:rsidRPr="00952C33">
              <w:rPr>
                <w:rFonts w:ascii="Arial" w:hAnsi="Arial" w:hint="eastAsia"/>
                <w:sz w:val="22"/>
              </w:rPr>
              <w:t>√</w:t>
            </w:r>
          </w:p>
        </w:tc>
        <w:tc>
          <w:tcPr>
            <w:tcW w:w="1285" w:type="dxa"/>
            <w:vAlign w:val="center"/>
          </w:tcPr>
          <w:p w14:paraId="41331076" w14:textId="5BAE461A" w:rsidR="000B6C29" w:rsidRPr="00952C33" w:rsidRDefault="000B6C29" w:rsidP="00FB6278">
            <w:pPr>
              <w:jc w:val="center"/>
              <w:rPr>
                <w:rFonts w:ascii="Arial" w:hAnsi="Arial"/>
                <w:sz w:val="22"/>
              </w:rPr>
            </w:pPr>
            <w:r w:rsidRPr="00952C33">
              <w:rPr>
                <w:rFonts w:ascii="Arial" w:hAnsi="Arial" w:hint="eastAsia"/>
                <w:sz w:val="22"/>
              </w:rPr>
              <w:t>√</w:t>
            </w:r>
          </w:p>
        </w:tc>
        <w:tc>
          <w:tcPr>
            <w:tcW w:w="1285" w:type="dxa"/>
            <w:vAlign w:val="center"/>
          </w:tcPr>
          <w:p w14:paraId="5F0B45F9" w14:textId="006CFB13" w:rsidR="000B6C29" w:rsidRPr="00952C33" w:rsidRDefault="000B6C29" w:rsidP="00FB6278">
            <w:pPr>
              <w:jc w:val="center"/>
              <w:rPr>
                <w:rFonts w:ascii="Arial" w:hAnsi="Arial"/>
                <w:sz w:val="22"/>
              </w:rPr>
            </w:pPr>
            <w:r w:rsidRPr="00952C33">
              <w:rPr>
                <w:rFonts w:ascii="Arial" w:hAnsi="Arial" w:hint="eastAsia"/>
                <w:sz w:val="22"/>
              </w:rPr>
              <w:t>√</w:t>
            </w:r>
          </w:p>
        </w:tc>
        <w:tc>
          <w:tcPr>
            <w:tcW w:w="1144" w:type="dxa"/>
            <w:vAlign w:val="center"/>
          </w:tcPr>
          <w:p w14:paraId="4E8849C2" w14:textId="778CC2D6" w:rsidR="000B6C29" w:rsidRPr="00952C33" w:rsidRDefault="000B6C29" w:rsidP="00FB6278">
            <w:pPr>
              <w:jc w:val="center"/>
              <w:rPr>
                <w:rFonts w:ascii="Arial" w:hAnsi="Arial"/>
                <w:sz w:val="22"/>
              </w:rPr>
            </w:pPr>
          </w:p>
        </w:tc>
        <w:tc>
          <w:tcPr>
            <w:tcW w:w="1229" w:type="dxa"/>
            <w:vAlign w:val="center"/>
          </w:tcPr>
          <w:p w14:paraId="13B1730B" w14:textId="0F1A287A" w:rsidR="000B6C29" w:rsidRPr="00952C33" w:rsidRDefault="000B6C29" w:rsidP="00FB6278">
            <w:pPr>
              <w:jc w:val="center"/>
              <w:rPr>
                <w:rFonts w:ascii="Arial" w:hAnsi="Arial"/>
                <w:sz w:val="22"/>
              </w:rPr>
            </w:pPr>
            <w:r w:rsidRPr="00952C33">
              <w:rPr>
                <w:rFonts w:ascii="Arial" w:hAnsi="Arial" w:hint="eastAsia"/>
                <w:sz w:val="22"/>
              </w:rPr>
              <w:t>√</w:t>
            </w:r>
          </w:p>
        </w:tc>
        <w:tc>
          <w:tcPr>
            <w:tcW w:w="3272" w:type="dxa"/>
            <w:vAlign w:val="center"/>
          </w:tcPr>
          <w:p w14:paraId="5D826B52" w14:textId="611F9559" w:rsidR="000B6C29" w:rsidRPr="00952C33" w:rsidRDefault="000B6C29" w:rsidP="00FB6278">
            <w:pPr>
              <w:rPr>
                <w:rFonts w:ascii="Arial" w:hAnsi="Arial"/>
                <w:sz w:val="22"/>
              </w:rPr>
            </w:pPr>
          </w:p>
        </w:tc>
      </w:tr>
      <w:tr w:rsidR="000B6C29" w:rsidRPr="00777F4F" w14:paraId="508D258E" w14:textId="77777777" w:rsidTr="00650575">
        <w:tc>
          <w:tcPr>
            <w:tcW w:w="4352" w:type="dxa"/>
          </w:tcPr>
          <w:p w14:paraId="62DE0275" w14:textId="77777777" w:rsidR="000B6C29" w:rsidRDefault="000B6C29" w:rsidP="00FB6278">
            <w:pPr>
              <w:rPr>
                <w:rFonts w:ascii="Arial" w:hAnsi="Arial"/>
                <w:sz w:val="22"/>
              </w:rPr>
            </w:pPr>
            <w:r w:rsidRPr="00952C33">
              <w:rPr>
                <w:rFonts w:ascii="Arial" w:hAnsi="Arial"/>
                <w:sz w:val="22"/>
              </w:rPr>
              <w:t>Una O’Halloran, London Borough of Islington</w:t>
            </w:r>
          </w:p>
          <w:p w14:paraId="2E1AA37A" w14:textId="7E38CD6B" w:rsidR="00650575" w:rsidRPr="00952C33" w:rsidRDefault="00650575" w:rsidP="00FB6278">
            <w:pPr>
              <w:rPr>
                <w:rFonts w:ascii="Arial" w:hAnsi="Arial"/>
                <w:sz w:val="22"/>
              </w:rPr>
            </w:pPr>
            <w:r>
              <w:rPr>
                <w:rFonts w:ascii="Arial" w:hAnsi="Arial"/>
                <w:sz w:val="22"/>
              </w:rPr>
              <w:t>Appointed 1 October 2022</w:t>
            </w:r>
          </w:p>
        </w:tc>
        <w:tc>
          <w:tcPr>
            <w:tcW w:w="1285" w:type="dxa"/>
            <w:vAlign w:val="center"/>
          </w:tcPr>
          <w:p w14:paraId="4EFE40A8" w14:textId="6D4F3DE0" w:rsidR="000B6C29" w:rsidRPr="00952C33" w:rsidRDefault="000B6C29" w:rsidP="00FB6278">
            <w:pPr>
              <w:jc w:val="center"/>
              <w:rPr>
                <w:rFonts w:ascii="Arial" w:hAnsi="Arial"/>
                <w:sz w:val="22"/>
              </w:rPr>
            </w:pPr>
            <w:r w:rsidRPr="00952C33">
              <w:rPr>
                <w:rFonts w:ascii="Arial" w:hAnsi="Arial" w:hint="eastAsia"/>
                <w:sz w:val="22"/>
              </w:rPr>
              <w:t>√</w:t>
            </w:r>
          </w:p>
        </w:tc>
        <w:tc>
          <w:tcPr>
            <w:tcW w:w="1285" w:type="dxa"/>
            <w:vAlign w:val="center"/>
          </w:tcPr>
          <w:p w14:paraId="0B0355DC" w14:textId="155D3EF6" w:rsidR="000B6C29" w:rsidRPr="00952C33" w:rsidRDefault="000B6C29" w:rsidP="00FB6278">
            <w:pPr>
              <w:jc w:val="center"/>
              <w:rPr>
                <w:rFonts w:ascii="Arial" w:hAnsi="Arial"/>
                <w:sz w:val="22"/>
              </w:rPr>
            </w:pPr>
            <w:r w:rsidRPr="00952C33">
              <w:rPr>
                <w:rFonts w:ascii="Arial" w:hAnsi="Arial" w:hint="eastAsia"/>
                <w:sz w:val="22"/>
              </w:rPr>
              <w:t>√</w:t>
            </w:r>
          </w:p>
        </w:tc>
        <w:tc>
          <w:tcPr>
            <w:tcW w:w="1285" w:type="dxa"/>
            <w:vAlign w:val="center"/>
          </w:tcPr>
          <w:p w14:paraId="1A0190D2" w14:textId="48266823" w:rsidR="000B6C29" w:rsidRPr="00952C33" w:rsidRDefault="000B6C29" w:rsidP="00FB6278">
            <w:pPr>
              <w:jc w:val="center"/>
              <w:rPr>
                <w:rFonts w:ascii="Arial" w:hAnsi="Arial"/>
                <w:sz w:val="22"/>
              </w:rPr>
            </w:pPr>
            <w:r w:rsidRPr="00952C33">
              <w:rPr>
                <w:rFonts w:ascii="Arial" w:hAnsi="Arial" w:hint="eastAsia"/>
                <w:sz w:val="22"/>
              </w:rPr>
              <w:t>√</w:t>
            </w:r>
          </w:p>
        </w:tc>
        <w:tc>
          <w:tcPr>
            <w:tcW w:w="1144" w:type="dxa"/>
            <w:vAlign w:val="center"/>
          </w:tcPr>
          <w:p w14:paraId="491D8F19" w14:textId="41A9CCCF" w:rsidR="000B6C29" w:rsidRPr="00952C33" w:rsidRDefault="000B6C29" w:rsidP="00FB6278">
            <w:pPr>
              <w:jc w:val="center"/>
              <w:rPr>
                <w:rFonts w:ascii="Arial" w:hAnsi="Arial"/>
                <w:sz w:val="22"/>
              </w:rPr>
            </w:pPr>
            <w:r w:rsidRPr="00952C33">
              <w:rPr>
                <w:rFonts w:ascii="Arial" w:hAnsi="Arial" w:hint="eastAsia"/>
                <w:sz w:val="22"/>
              </w:rPr>
              <w:t>√</w:t>
            </w:r>
          </w:p>
        </w:tc>
        <w:tc>
          <w:tcPr>
            <w:tcW w:w="1229" w:type="dxa"/>
            <w:vAlign w:val="center"/>
          </w:tcPr>
          <w:p w14:paraId="5521BB00" w14:textId="6DAC824A" w:rsidR="000B6C29" w:rsidRPr="00952C33" w:rsidRDefault="000B6C29" w:rsidP="00FB6278">
            <w:pPr>
              <w:jc w:val="center"/>
              <w:rPr>
                <w:rFonts w:ascii="Arial" w:hAnsi="Arial"/>
                <w:sz w:val="22"/>
              </w:rPr>
            </w:pPr>
            <w:r w:rsidRPr="00952C33">
              <w:rPr>
                <w:rFonts w:ascii="Arial" w:hAnsi="Arial" w:hint="eastAsia"/>
                <w:sz w:val="22"/>
              </w:rPr>
              <w:t>√</w:t>
            </w:r>
          </w:p>
        </w:tc>
        <w:tc>
          <w:tcPr>
            <w:tcW w:w="3272" w:type="dxa"/>
            <w:vAlign w:val="center"/>
          </w:tcPr>
          <w:p w14:paraId="0E077E83" w14:textId="04030187" w:rsidR="000B6C29" w:rsidRPr="00952C33" w:rsidRDefault="000B6C29" w:rsidP="00FB6278">
            <w:pPr>
              <w:rPr>
                <w:rFonts w:ascii="Arial" w:hAnsi="Arial"/>
                <w:sz w:val="22"/>
              </w:rPr>
            </w:pPr>
            <w:r w:rsidRPr="00952C33">
              <w:rPr>
                <w:rFonts w:ascii="Arial" w:hAnsi="Arial"/>
                <w:sz w:val="22"/>
              </w:rPr>
              <w:t>E</w:t>
            </w:r>
            <w:r w:rsidR="008D289D">
              <w:rPr>
                <w:rFonts w:ascii="Arial" w:hAnsi="Arial"/>
                <w:sz w:val="22"/>
              </w:rPr>
              <w:t xml:space="preserve">quality, </w:t>
            </w:r>
            <w:r w:rsidRPr="00952C33">
              <w:rPr>
                <w:rFonts w:ascii="Arial" w:hAnsi="Arial"/>
                <w:sz w:val="22"/>
              </w:rPr>
              <w:t>D</w:t>
            </w:r>
            <w:r w:rsidR="008D289D">
              <w:rPr>
                <w:rFonts w:ascii="Arial" w:hAnsi="Arial"/>
                <w:sz w:val="22"/>
              </w:rPr>
              <w:t xml:space="preserve">iversity and </w:t>
            </w:r>
            <w:r w:rsidRPr="00952C33">
              <w:rPr>
                <w:rFonts w:ascii="Arial" w:hAnsi="Arial"/>
                <w:sz w:val="22"/>
              </w:rPr>
              <w:t>H</w:t>
            </w:r>
            <w:r w:rsidR="008D289D">
              <w:rPr>
                <w:rFonts w:ascii="Arial" w:hAnsi="Arial"/>
                <w:sz w:val="22"/>
              </w:rPr>
              <w:t xml:space="preserve">uman </w:t>
            </w:r>
            <w:r w:rsidRPr="00952C33">
              <w:rPr>
                <w:rFonts w:ascii="Arial" w:hAnsi="Arial"/>
                <w:sz w:val="22"/>
              </w:rPr>
              <w:t>R</w:t>
            </w:r>
            <w:r w:rsidR="008D289D">
              <w:rPr>
                <w:rFonts w:ascii="Arial" w:hAnsi="Arial"/>
                <w:sz w:val="22"/>
              </w:rPr>
              <w:t>ights</w:t>
            </w:r>
            <w:r w:rsidRPr="00952C33">
              <w:rPr>
                <w:rFonts w:ascii="Arial" w:hAnsi="Arial"/>
                <w:sz w:val="22"/>
              </w:rPr>
              <w:t xml:space="preserve"> group</w:t>
            </w:r>
          </w:p>
        </w:tc>
      </w:tr>
      <w:tr w:rsidR="000B6C29" w:rsidRPr="00777F4F" w14:paraId="7055CDCF" w14:textId="77777777" w:rsidTr="00650575">
        <w:tc>
          <w:tcPr>
            <w:tcW w:w="4352" w:type="dxa"/>
          </w:tcPr>
          <w:p w14:paraId="3E0405C2" w14:textId="77777777" w:rsidR="000B6C29" w:rsidRDefault="000B6C29" w:rsidP="00FB6278">
            <w:pPr>
              <w:rPr>
                <w:rFonts w:ascii="Arial" w:hAnsi="Arial"/>
                <w:sz w:val="22"/>
              </w:rPr>
            </w:pPr>
            <w:r w:rsidRPr="00952C33">
              <w:rPr>
                <w:rFonts w:ascii="Arial" w:hAnsi="Arial"/>
                <w:sz w:val="22"/>
              </w:rPr>
              <w:t>Ian Humphreys, College of Optometrists</w:t>
            </w:r>
          </w:p>
          <w:p w14:paraId="16CB42EB" w14:textId="0A0AB16D" w:rsidR="00650575" w:rsidRPr="00952C33" w:rsidRDefault="00650575" w:rsidP="00FB6278">
            <w:pPr>
              <w:rPr>
                <w:rFonts w:ascii="Arial" w:hAnsi="Arial"/>
                <w:sz w:val="22"/>
              </w:rPr>
            </w:pPr>
            <w:r>
              <w:rPr>
                <w:rFonts w:ascii="Arial" w:hAnsi="Arial"/>
                <w:sz w:val="22"/>
              </w:rPr>
              <w:t>Appointed 5 December 2019</w:t>
            </w:r>
          </w:p>
        </w:tc>
        <w:tc>
          <w:tcPr>
            <w:tcW w:w="1285" w:type="dxa"/>
            <w:vAlign w:val="center"/>
          </w:tcPr>
          <w:p w14:paraId="0ED2E753" w14:textId="5FCAAEFE" w:rsidR="000B6C29" w:rsidRPr="00952C33" w:rsidRDefault="000B6C29" w:rsidP="00FB6278">
            <w:pPr>
              <w:jc w:val="center"/>
              <w:rPr>
                <w:rFonts w:ascii="Arial" w:hAnsi="Arial"/>
                <w:sz w:val="22"/>
              </w:rPr>
            </w:pPr>
            <w:r w:rsidRPr="00952C33">
              <w:rPr>
                <w:rFonts w:ascii="Arial" w:hAnsi="Arial" w:hint="eastAsia"/>
                <w:sz w:val="22"/>
              </w:rPr>
              <w:t>√</w:t>
            </w:r>
          </w:p>
        </w:tc>
        <w:tc>
          <w:tcPr>
            <w:tcW w:w="1285" w:type="dxa"/>
            <w:vAlign w:val="center"/>
          </w:tcPr>
          <w:p w14:paraId="4C01063C" w14:textId="01A70C98" w:rsidR="000B6C29" w:rsidRPr="00952C33" w:rsidRDefault="000B6C29" w:rsidP="00FB6278">
            <w:pPr>
              <w:jc w:val="center"/>
              <w:rPr>
                <w:rFonts w:ascii="Arial" w:hAnsi="Arial"/>
                <w:sz w:val="22"/>
              </w:rPr>
            </w:pPr>
            <w:r w:rsidRPr="00952C33">
              <w:rPr>
                <w:rFonts w:ascii="Arial" w:hAnsi="Arial" w:hint="eastAsia"/>
                <w:sz w:val="22"/>
              </w:rPr>
              <w:t>√</w:t>
            </w:r>
          </w:p>
        </w:tc>
        <w:tc>
          <w:tcPr>
            <w:tcW w:w="1285" w:type="dxa"/>
            <w:vAlign w:val="center"/>
          </w:tcPr>
          <w:p w14:paraId="5E5916A5" w14:textId="50FD9966" w:rsidR="000B6C29" w:rsidRPr="00952C33" w:rsidRDefault="000B6C29" w:rsidP="00FB6278">
            <w:pPr>
              <w:jc w:val="center"/>
              <w:rPr>
                <w:rFonts w:ascii="Arial" w:hAnsi="Arial"/>
                <w:sz w:val="22"/>
              </w:rPr>
            </w:pPr>
            <w:r w:rsidRPr="00952C33">
              <w:rPr>
                <w:rFonts w:ascii="Arial" w:hAnsi="Arial" w:hint="eastAsia"/>
                <w:sz w:val="22"/>
              </w:rPr>
              <w:t>√</w:t>
            </w:r>
          </w:p>
        </w:tc>
        <w:tc>
          <w:tcPr>
            <w:tcW w:w="1144" w:type="dxa"/>
            <w:vAlign w:val="center"/>
          </w:tcPr>
          <w:p w14:paraId="1AC69288" w14:textId="6BC376FD" w:rsidR="000B6C29" w:rsidRPr="00952C33" w:rsidRDefault="000B6C29" w:rsidP="00FB6278">
            <w:pPr>
              <w:jc w:val="center"/>
              <w:rPr>
                <w:rFonts w:ascii="Arial" w:hAnsi="Arial"/>
                <w:sz w:val="22"/>
              </w:rPr>
            </w:pPr>
            <w:r w:rsidRPr="00952C33">
              <w:rPr>
                <w:rFonts w:ascii="Arial" w:hAnsi="Arial" w:hint="eastAsia"/>
                <w:sz w:val="22"/>
              </w:rPr>
              <w:t>√</w:t>
            </w:r>
          </w:p>
        </w:tc>
        <w:tc>
          <w:tcPr>
            <w:tcW w:w="1229" w:type="dxa"/>
            <w:vAlign w:val="center"/>
          </w:tcPr>
          <w:p w14:paraId="1B3C8A69" w14:textId="6230DF5F" w:rsidR="000B6C29" w:rsidRPr="00952C33" w:rsidRDefault="000B6C29" w:rsidP="00FB6278">
            <w:pPr>
              <w:jc w:val="center"/>
              <w:rPr>
                <w:rFonts w:ascii="Arial" w:hAnsi="Arial"/>
                <w:sz w:val="22"/>
              </w:rPr>
            </w:pPr>
            <w:r w:rsidRPr="00952C33">
              <w:rPr>
                <w:rFonts w:ascii="Arial" w:hAnsi="Arial" w:hint="eastAsia"/>
                <w:sz w:val="22"/>
              </w:rPr>
              <w:t>√</w:t>
            </w:r>
          </w:p>
        </w:tc>
        <w:tc>
          <w:tcPr>
            <w:tcW w:w="3272" w:type="dxa"/>
            <w:vAlign w:val="center"/>
          </w:tcPr>
          <w:p w14:paraId="4EF03609" w14:textId="0A0FCD1D" w:rsidR="000B6C29" w:rsidRPr="00952C33" w:rsidRDefault="000B6C29" w:rsidP="00FB6278">
            <w:pPr>
              <w:rPr>
                <w:rFonts w:ascii="Arial" w:hAnsi="Arial"/>
                <w:sz w:val="22"/>
              </w:rPr>
            </w:pPr>
          </w:p>
        </w:tc>
      </w:tr>
      <w:tr w:rsidR="000B6C29" w:rsidRPr="00777F4F" w14:paraId="5C738EDC" w14:textId="77777777" w:rsidTr="00650575">
        <w:tc>
          <w:tcPr>
            <w:tcW w:w="4352" w:type="dxa"/>
          </w:tcPr>
          <w:p w14:paraId="1CA48A50" w14:textId="77777777" w:rsidR="000B6C29" w:rsidRDefault="000B6C29" w:rsidP="00FB6278">
            <w:pPr>
              <w:rPr>
                <w:rFonts w:ascii="Arial" w:hAnsi="Arial"/>
                <w:sz w:val="22"/>
              </w:rPr>
            </w:pPr>
            <w:r w:rsidRPr="00952C33">
              <w:rPr>
                <w:rFonts w:ascii="Arial" w:hAnsi="Arial"/>
                <w:sz w:val="22"/>
              </w:rPr>
              <w:t>David Shanks, University College London</w:t>
            </w:r>
          </w:p>
          <w:p w14:paraId="006134AC" w14:textId="55EEF166" w:rsidR="00650575" w:rsidRPr="00952C33" w:rsidRDefault="00650575" w:rsidP="00FB6278">
            <w:pPr>
              <w:rPr>
                <w:rFonts w:ascii="Arial" w:hAnsi="Arial"/>
                <w:sz w:val="22"/>
              </w:rPr>
            </w:pPr>
            <w:r>
              <w:rPr>
                <w:rFonts w:ascii="Arial" w:hAnsi="Arial"/>
                <w:sz w:val="22"/>
              </w:rPr>
              <w:t>Appointed 14 November 2017</w:t>
            </w:r>
          </w:p>
        </w:tc>
        <w:tc>
          <w:tcPr>
            <w:tcW w:w="1285" w:type="dxa"/>
            <w:vAlign w:val="center"/>
          </w:tcPr>
          <w:p w14:paraId="2C2E683A" w14:textId="6911FA15" w:rsidR="000B6C29" w:rsidRPr="00952C33" w:rsidRDefault="000B6C29" w:rsidP="00FB6278">
            <w:pPr>
              <w:jc w:val="center"/>
              <w:rPr>
                <w:rFonts w:ascii="Arial" w:hAnsi="Arial"/>
                <w:sz w:val="22"/>
              </w:rPr>
            </w:pPr>
            <w:r w:rsidRPr="00952C33">
              <w:rPr>
                <w:rFonts w:ascii="Arial" w:hAnsi="Arial" w:hint="eastAsia"/>
                <w:sz w:val="22"/>
              </w:rPr>
              <w:t>√</w:t>
            </w:r>
          </w:p>
        </w:tc>
        <w:tc>
          <w:tcPr>
            <w:tcW w:w="1285" w:type="dxa"/>
            <w:vAlign w:val="center"/>
          </w:tcPr>
          <w:p w14:paraId="0B614654" w14:textId="75686B9B" w:rsidR="000B6C29" w:rsidRPr="00952C33" w:rsidRDefault="000B6C29" w:rsidP="00FB6278">
            <w:pPr>
              <w:jc w:val="center"/>
              <w:rPr>
                <w:rFonts w:ascii="Arial" w:hAnsi="Arial"/>
                <w:sz w:val="22"/>
              </w:rPr>
            </w:pPr>
          </w:p>
        </w:tc>
        <w:tc>
          <w:tcPr>
            <w:tcW w:w="1285" w:type="dxa"/>
            <w:vAlign w:val="center"/>
          </w:tcPr>
          <w:p w14:paraId="2DD3AA6E" w14:textId="2F09A374" w:rsidR="000B6C29" w:rsidRPr="00952C33" w:rsidRDefault="000B6C29" w:rsidP="00FB6278">
            <w:pPr>
              <w:jc w:val="center"/>
              <w:rPr>
                <w:rFonts w:ascii="Arial" w:hAnsi="Arial"/>
                <w:sz w:val="22"/>
              </w:rPr>
            </w:pPr>
            <w:r w:rsidRPr="00952C33">
              <w:rPr>
                <w:rFonts w:ascii="Arial" w:hAnsi="Arial" w:hint="eastAsia"/>
                <w:sz w:val="22"/>
              </w:rPr>
              <w:t>√</w:t>
            </w:r>
          </w:p>
        </w:tc>
        <w:tc>
          <w:tcPr>
            <w:tcW w:w="1144" w:type="dxa"/>
            <w:vAlign w:val="center"/>
          </w:tcPr>
          <w:p w14:paraId="2C3E145B" w14:textId="6A42DEFD" w:rsidR="000B6C29" w:rsidRPr="00952C33" w:rsidRDefault="000B6C29" w:rsidP="00FB6278">
            <w:pPr>
              <w:jc w:val="center"/>
              <w:rPr>
                <w:rFonts w:ascii="Arial" w:hAnsi="Arial"/>
                <w:sz w:val="22"/>
              </w:rPr>
            </w:pPr>
          </w:p>
        </w:tc>
        <w:tc>
          <w:tcPr>
            <w:tcW w:w="1229" w:type="dxa"/>
            <w:vAlign w:val="center"/>
          </w:tcPr>
          <w:p w14:paraId="3696FB5C" w14:textId="19865E12" w:rsidR="000B6C29" w:rsidRPr="00952C33" w:rsidRDefault="000B6C29" w:rsidP="00FB6278">
            <w:pPr>
              <w:jc w:val="center"/>
              <w:rPr>
                <w:rFonts w:ascii="Arial" w:hAnsi="Arial"/>
                <w:sz w:val="22"/>
              </w:rPr>
            </w:pPr>
            <w:r w:rsidRPr="00952C33">
              <w:rPr>
                <w:rFonts w:ascii="Arial" w:hAnsi="Arial" w:hint="eastAsia"/>
                <w:sz w:val="22"/>
              </w:rPr>
              <w:t>√</w:t>
            </w:r>
          </w:p>
        </w:tc>
        <w:tc>
          <w:tcPr>
            <w:tcW w:w="3272" w:type="dxa"/>
            <w:vAlign w:val="center"/>
          </w:tcPr>
          <w:p w14:paraId="649FAB17" w14:textId="7C968C72" w:rsidR="000B6C29" w:rsidRPr="00952C33" w:rsidRDefault="000B6C29" w:rsidP="00FB6278">
            <w:pPr>
              <w:rPr>
                <w:rFonts w:ascii="Arial" w:hAnsi="Arial"/>
                <w:sz w:val="22"/>
              </w:rPr>
            </w:pPr>
          </w:p>
        </w:tc>
      </w:tr>
      <w:tr w:rsidR="000B6C29" w:rsidRPr="00E711EE" w14:paraId="1430A6A4" w14:textId="77777777" w:rsidTr="00650575">
        <w:tc>
          <w:tcPr>
            <w:tcW w:w="4352" w:type="dxa"/>
          </w:tcPr>
          <w:p w14:paraId="53125DCF" w14:textId="77777777" w:rsidR="000B6C29" w:rsidRDefault="000B6C29" w:rsidP="00FB6278">
            <w:pPr>
              <w:rPr>
                <w:rFonts w:ascii="Arial" w:hAnsi="Arial"/>
                <w:sz w:val="22"/>
              </w:rPr>
            </w:pPr>
            <w:r w:rsidRPr="00952C33">
              <w:rPr>
                <w:rFonts w:ascii="Arial" w:hAnsi="Arial"/>
                <w:sz w:val="22"/>
              </w:rPr>
              <w:t>Tricia Smikle, Royal National Institute for the Blind</w:t>
            </w:r>
          </w:p>
          <w:p w14:paraId="21D28517" w14:textId="5988C533" w:rsidR="00650575" w:rsidRPr="00952C33" w:rsidRDefault="00650575" w:rsidP="00FB6278">
            <w:pPr>
              <w:rPr>
                <w:rFonts w:ascii="Arial" w:hAnsi="Arial"/>
                <w:sz w:val="22"/>
              </w:rPr>
            </w:pPr>
            <w:r>
              <w:rPr>
                <w:rFonts w:ascii="Arial" w:hAnsi="Arial"/>
                <w:sz w:val="22"/>
              </w:rPr>
              <w:t>Appointed 14 November 2017</w:t>
            </w:r>
          </w:p>
        </w:tc>
        <w:tc>
          <w:tcPr>
            <w:tcW w:w="1285" w:type="dxa"/>
            <w:vAlign w:val="center"/>
          </w:tcPr>
          <w:p w14:paraId="24488418" w14:textId="5C261112" w:rsidR="000B6C29" w:rsidRPr="00952C33" w:rsidRDefault="000B6C29" w:rsidP="00FB6278">
            <w:pPr>
              <w:jc w:val="center"/>
              <w:rPr>
                <w:rFonts w:ascii="Arial" w:hAnsi="Arial"/>
                <w:sz w:val="22"/>
              </w:rPr>
            </w:pPr>
            <w:r w:rsidRPr="00952C33">
              <w:rPr>
                <w:rFonts w:ascii="Arial" w:hAnsi="Arial" w:hint="eastAsia"/>
                <w:sz w:val="22"/>
              </w:rPr>
              <w:t>√</w:t>
            </w:r>
          </w:p>
        </w:tc>
        <w:tc>
          <w:tcPr>
            <w:tcW w:w="1285" w:type="dxa"/>
            <w:vAlign w:val="center"/>
          </w:tcPr>
          <w:p w14:paraId="0D00642A" w14:textId="16BD6AAC" w:rsidR="000B6C29" w:rsidRPr="00952C33" w:rsidRDefault="000B6C29" w:rsidP="00FB6278">
            <w:pPr>
              <w:jc w:val="center"/>
              <w:rPr>
                <w:rFonts w:ascii="Arial" w:hAnsi="Arial"/>
                <w:sz w:val="22"/>
              </w:rPr>
            </w:pPr>
            <w:r w:rsidRPr="00952C33">
              <w:rPr>
                <w:rFonts w:ascii="Arial" w:hAnsi="Arial" w:hint="eastAsia"/>
                <w:sz w:val="22"/>
              </w:rPr>
              <w:t>√</w:t>
            </w:r>
          </w:p>
        </w:tc>
        <w:tc>
          <w:tcPr>
            <w:tcW w:w="1285" w:type="dxa"/>
            <w:vAlign w:val="center"/>
          </w:tcPr>
          <w:p w14:paraId="630F51C2" w14:textId="2F1CAEB4" w:rsidR="000B6C29" w:rsidRPr="00952C33" w:rsidRDefault="000B6C29" w:rsidP="00FB6278">
            <w:pPr>
              <w:jc w:val="center"/>
              <w:rPr>
                <w:rFonts w:ascii="Arial" w:hAnsi="Arial"/>
                <w:sz w:val="22"/>
              </w:rPr>
            </w:pPr>
            <w:r w:rsidRPr="00952C33">
              <w:rPr>
                <w:rFonts w:ascii="Arial" w:hAnsi="Arial" w:hint="eastAsia"/>
                <w:sz w:val="22"/>
              </w:rPr>
              <w:t>√</w:t>
            </w:r>
          </w:p>
        </w:tc>
        <w:tc>
          <w:tcPr>
            <w:tcW w:w="1144" w:type="dxa"/>
            <w:vAlign w:val="center"/>
          </w:tcPr>
          <w:p w14:paraId="5DC069A6" w14:textId="46A09A80" w:rsidR="000B6C29" w:rsidRPr="00952C33" w:rsidRDefault="000B6C29" w:rsidP="00FB6278">
            <w:pPr>
              <w:jc w:val="center"/>
              <w:rPr>
                <w:rFonts w:ascii="Arial" w:hAnsi="Arial"/>
                <w:sz w:val="22"/>
              </w:rPr>
            </w:pPr>
            <w:r w:rsidRPr="00952C33">
              <w:rPr>
                <w:rFonts w:ascii="Arial" w:hAnsi="Arial" w:hint="eastAsia"/>
                <w:sz w:val="22"/>
              </w:rPr>
              <w:t>√</w:t>
            </w:r>
          </w:p>
        </w:tc>
        <w:tc>
          <w:tcPr>
            <w:tcW w:w="1229" w:type="dxa"/>
            <w:vAlign w:val="center"/>
          </w:tcPr>
          <w:p w14:paraId="7D608D95" w14:textId="3876C7C3" w:rsidR="000B6C29" w:rsidRPr="00952C33" w:rsidRDefault="000B6C29" w:rsidP="00FB6278">
            <w:pPr>
              <w:jc w:val="center"/>
              <w:rPr>
                <w:rFonts w:ascii="Arial" w:hAnsi="Arial"/>
                <w:sz w:val="22"/>
              </w:rPr>
            </w:pPr>
            <w:r w:rsidRPr="00952C33">
              <w:rPr>
                <w:rFonts w:ascii="Arial" w:hAnsi="Arial" w:hint="eastAsia"/>
                <w:sz w:val="22"/>
              </w:rPr>
              <w:t>√</w:t>
            </w:r>
          </w:p>
        </w:tc>
        <w:tc>
          <w:tcPr>
            <w:tcW w:w="3272" w:type="dxa"/>
            <w:vAlign w:val="center"/>
          </w:tcPr>
          <w:p w14:paraId="39A1EDE8" w14:textId="5935BB55" w:rsidR="000B6C29" w:rsidRPr="00952C33" w:rsidRDefault="000B6C29" w:rsidP="00FB6278">
            <w:pPr>
              <w:rPr>
                <w:rFonts w:ascii="Arial" w:hAnsi="Arial"/>
                <w:sz w:val="22"/>
              </w:rPr>
            </w:pPr>
            <w:r w:rsidRPr="00952C33">
              <w:rPr>
                <w:rFonts w:ascii="Arial" w:hAnsi="Arial"/>
                <w:sz w:val="22"/>
              </w:rPr>
              <w:t>RNC</w:t>
            </w:r>
          </w:p>
        </w:tc>
      </w:tr>
    </w:tbl>
    <w:p w14:paraId="7F6811BF" w14:textId="77777777" w:rsidR="00F34AFB" w:rsidRPr="00952C33" w:rsidRDefault="00F34AFB" w:rsidP="00FB6278">
      <w:pPr>
        <w:rPr>
          <w:rFonts w:ascii="Arial" w:hAnsi="Arial"/>
          <w:sz w:val="22"/>
        </w:rPr>
      </w:pPr>
    </w:p>
    <w:tbl>
      <w:tblPr>
        <w:tblStyle w:val="TableGrid"/>
        <w:tblW w:w="0" w:type="auto"/>
        <w:tblLook w:val="04A0" w:firstRow="1" w:lastRow="0" w:firstColumn="1" w:lastColumn="0" w:noHBand="0" w:noVBand="1"/>
      </w:tblPr>
      <w:tblGrid>
        <w:gridCol w:w="1384"/>
        <w:gridCol w:w="5103"/>
      </w:tblGrid>
      <w:tr w:rsidR="00F34AFB" w:rsidRPr="00E711EE" w14:paraId="46F34DE3" w14:textId="77777777" w:rsidTr="00B42676">
        <w:tc>
          <w:tcPr>
            <w:tcW w:w="1384" w:type="dxa"/>
          </w:tcPr>
          <w:p w14:paraId="401B939F" w14:textId="77777777" w:rsidR="00F34AFB" w:rsidRPr="00952C33" w:rsidRDefault="00F34AFB" w:rsidP="00FB6278">
            <w:pPr>
              <w:pStyle w:val="MEHArial"/>
              <w:rPr>
                <w:sz w:val="22"/>
              </w:rPr>
            </w:pPr>
            <w:r w:rsidRPr="00952C33">
              <w:rPr>
                <w:sz w:val="22"/>
              </w:rPr>
              <w:t>GDG</w:t>
            </w:r>
          </w:p>
        </w:tc>
        <w:tc>
          <w:tcPr>
            <w:tcW w:w="5103" w:type="dxa"/>
          </w:tcPr>
          <w:p w14:paraId="7CFB1220" w14:textId="77777777" w:rsidR="00F34AFB" w:rsidRPr="00952C33" w:rsidRDefault="00F34AFB" w:rsidP="00FB6278">
            <w:pPr>
              <w:pStyle w:val="MEHArial"/>
              <w:rPr>
                <w:sz w:val="22"/>
              </w:rPr>
            </w:pPr>
            <w:r w:rsidRPr="00952C33">
              <w:rPr>
                <w:sz w:val="22"/>
              </w:rPr>
              <w:t>Governance development group</w:t>
            </w:r>
          </w:p>
        </w:tc>
      </w:tr>
      <w:tr w:rsidR="00F34AFB" w:rsidRPr="00E711EE" w14:paraId="1264BD24" w14:textId="77777777" w:rsidTr="00B42676">
        <w:tc>
          <w:tcPr>
            <w:tcW w:w="1384" w:type="dxa"/>
          </w:tcPr>
          <w:p w14:paraId="7EFFC578" w14:textId="77777777" w:rsidR="00F34AFB" w:rsidRPr="00952C33" w:rsidRDefault="00F34AFB" w:rsidP="00FB6278">
            <w:pPr>
              <w:pStyle w:val="MEHArial"/>
              <w:rPr>
                <w:sz w:val="22"/>
              </w:rPr>
            </w:pPr>
            <w:r w:rsidRPr="00952C33">
              <w:rPr>
                <w:sz w:val="22"/>
              </w:rPr>
              <w:t>RNC</w:t>
            </w:r>
          </w:p>
        </w:tc>
        <w:tc>
          <w:tcPr>
            <w:tcW w:w="5103" w:type="dxa"/>
          </w:tcPr>
          <w:p w14:paraId="35477BCA" w14:textId="77777777" w:rsidR="00F34AFB" w:rsidRPr="00952C33" w:rsidRDefault="00F34AFB" w:rsidP="00FB6278">
            <w:pPr>
              <w:pStyle w:val="MEHArial"/>
              <w:rPr>
                <w:sz w:val="22"/>
              </w:rPr>
            </w:pPr>
            <w:r w:rsidRPr="00952C33">
              <w:rPr>
                <w:sz w:val="22"/>
              </w:rPr>
              <w:t>Remuneration and nominations committee</w:t>
            </w:r>
          </w:p>
        </w:tc>
      </w:tr>
      <w:tr w:rsidR="00F34AFB" w:rsidRPr="00E711EE" w14:paraId="505B5898" w14:textId="77777777" w:rsidTr="00B42676">
        <w:tc>
          <w:tcPr>
            <w:tcW w:w="1384" w:type="dxa"/>
          </w:tcPr>
          <w:p w14:paraId="07F9CA1B" w14:textId="77777777" w:rsidR="00F34AFB" w:rsidRPr="00952C33" w:rsidRDefault="00F34AFB" w:rsidP="00FB6278">
            <w:pPr>
              <w:pStyle w:val="MEHArial"/>
              <w:rPr>
                <w:sz w:val="22"/>
              </w:rPr>
            </w:pPr>
            <w:r w:rsidRPr="00952C33">
              <w:rPr>
                <w:rFonts w:hint="eastAsia"/>
                <w:sz w:val="22"/>
              </w:rPr>
              <w:t>√</w:t>
            </w:r>
          </w:p>
        </w:tc>
        <w:tc>
          <w:tcPr>
            <w:tcW w:w="5103" w:type="dxa"/>
          </w:tcPr>
          <w:p w14:paraId="14CB251C" w14:textId="77777777" w:rsidR="00F34AFB" w:rsidRPr="00952C33" w:rsidRDefault="00F34AFB" w:rsidP="00FB6278">
            <w:pPr>
              <w:pStyle w:val="MEHArial"/>
              <w:rPr>
                <w:sz w:val="22"/>
              </w:rPr>
            </w:pPr>
            <w:r w:rsidRPr="00952C33">
              <w:rPr>
                <w:sz w:val="22"/>
              </w:rPr>
              <w:t>Present</w:t>
            </w:r>
          </w:p>
        </w:tc>
      </w:tr>
      <w:tr w:rsidR="00F34AFB" w:rsidRPr="00E711EE" w14:paraId="4C39C21D" w14:textId="77777777" w:rsidTr="00B42676">
        <w:tc>
          <w:tcPr>
            <w:tcW w:w="1384" w:type="dxa"/>
          </w:tcPr>
          <w:p w14:paraId="5B62AC9D" w14:textId="77777777" w:rsidR="00F34AFB" w:rsidRPr="00952C33" w:rsidRDefault="00F34AFB" w:rsidP="00FB6278">
            <w:pPr>
              <w:pStyle w:val="MEHArial"/>
              <w:rPr>
                <w:sz w:val="22"/>
              </w:rPr>
            </w:pPr>
            <w:r w:rsidRPr="00952C33">
              <w:rPr>
                <w:sz w:val="22"/>
              </w:rPr>
              <w:t>*</w:t>
            </w:r>
          </w:p>
        </w:tc>
        <w:tc>
          <w:tcPr>
            <w:tcW w:w="5103" w:type="dxa"/>
          </w:tcPr>
          <w:p w14:paraId="7384E45D" w14:textId="77777777" w:rsidR="00F34AFB" w:rsidRPr="00952C33" w:rsidRDefault="00F34AFB" w:rsidP="00FB6278">
            <w:pPr>
              <w:pStyle w:val="MEHArial"/>
              <w:rPr>
                <w:sz w:val="22"/>
              </w:rPr>
            </w:pPr>
            <w:r w:rsidRPr="00952C33">
              <w:rPr>
                <w:sz w:val="22"/>
              </w:rPr>
              <w:t>Not in post</w:t>
            </w:r>
          </w:p>
        </w:tc>
      </w:tr>
    </w:tbl>
    <w:p w14:paraId="5EEE32D3" w14:textId="77777777" w:rsidR="00F34AFB" w:rsidRPr="00952C33" w:rsidRDefault="00F34AFB" w:rsidP="00FB6278">
      <w:pPr>
        <w:rPr>
          <w:rFonts w:ascii="Arial" w:hAnsi="Arial"/>
          <w:sz w:val="22"/>
        </w:rPr>
      </w:pPr>
    </w:p>
    <w:p w14:paraId="077EE27A" w14:textId="77777777" w:rsidR="00F34AFB" w:rsidRPr="00952C33" w:rsidRDefault="00F34AFB" w:rsidP="00FB6278">
      <w:pPr>
        <w:rPr>
          <w:rFonts w:ascii="Arial" w:hAnsi="Arial"/>
          <w:sz w:val="22"/>
        </w:rPr>
        <w:sectPr w:rsidR="00F34AFB" w:rsidRPr="00952C33" w:rsidSect="00F34AFB">
          <w:pgSz w:w="16838" w:h="11906" w:orient="landscape"/>
          <w:pgMar w:top="720" w:right="720" w:bottom="1134" w:left="720" w:header="720" w:footer="720" w:gutter="0"/>
          <w:cols w:space="720"/>
          <w:noEndnote/>
          <w:docGrid w:linePitch="326"/>
        </w:sectPr>
      </w:pPr>
    </w:p>
    <w:p w14:paraId="5ED8B5D0" w14:textId="3AC3E041" w:rsidR="00F34AFB" w:rsidRPr="00952C33" w:rsidRDefault="00F34AFB" w:rsidP="00FB6278">
      <w:pPr>
        <w:rPr>
          <w:rFonts w:ascii="Arial" w:hAnsi="Arial"/>
          <w:sz w:val="22"/>
        </w:rPr>
      </w:pPr>
    </w:p>
    <w:p w14:paraId="3A9C2F04" w14:textId="7607F5DF" w:rsidR="00F34AFB" w:rsidRPr="00952C33" w:rsidRDefault="00F34AFB" w:rsidP="00FB6278">
      <w:pPr>
        <w:pStyle w:val="MEHArial"/>
        <w:ind w:left="-284"/>
        <w:rPr>
          <w:sz w:val="22"/>
        </w:rPr>
      </w:pPr>
      <w:r w:rsidRPr="00952C33">
        <w:rPr>
          <w:sz w:val="22"/>
        </w:rPr>
        <w:t xml:space="preserve">Elected governors usually hold their positions for three years. Nominated governors are proposed by their host organisation and hold the position </w:t>
      </w:r>
      <w:r w:rsidR="00C74F5E" w:rsidRPr="00952C33">
        <w:rPr>
          <w:sz w:val="22"/>
        </w:rPr>
        <w:t>until a new nomination is made.</w:t>
      </w:r>
    </w:p>
    <w:p w14:paraId="524F7DB1" w14:textId="658E92FA" w:rsidR="00F34AFB" w:rsidRPr="00952C33" w:rsidRDefault="00F34AFB" w:rsidP="00FB6278">
      <w:pPr>
        <w:pStyle w:val="MEHArial"/>
        <w:ind w:left="-284"/>
        <w:rPr>
          <w:sz w:val="22"/>
        </w:rPr>
      </w:pPr>
      <w:r w:rsidRPr="00952C33">
        <w:rPr>
          <w:sz w:val="22"/>
        </w:rPr>
        <w:t xml:space="preserve">The council has one formal committee and </w:t>
      </w:r>
      <w:r w:rsidR="008029DB" w:rsidRPr="00952C33">
        <w:rPr>
          <w:sz w:val="22"/>
        </w:rPr>
        <w:t>one</w:t>
      </w:r>
      <w:r w:rsidRPr="00952C33">
        <w:rPr>
          <w:sz w:val="22"/>
        </w:rPr>
        <w:t xml:space="preserve"> subgroup: </w:t>
      </w:r>
    </w:p>
    <w:p w14:paraId="66F591D9" w14:textId="2CCCF6AB" w:rsidR="00F34AFB" w:rsidRPr="00952C33" w:rsidRDefault="00F34AFB" w:rsidP="00FB6278">
      <w:pPr>
        <w:ind w:left="-284" w:right="79"/>
        <w:jc w:val="both"/>
        <w:rPr>
          <w:rFonts w:ascii="Arial" w:hAnsi="Arial"/>
          <w:sz w:val="22"/>
        </w:rPr>
      </w:pPr>
      <w:r w:rsidRPr="00952C33">
        <w:rPr>
          <w:rFonts w:ascii="Arial" w:hAnsi="Arial"/>
          <w:sz w:val="22"/>
        </w:rPr>
        <w:t xml:space="preserve">The </w:t>
      </w:r>
      <w:r w:rsidRPr="00952C33">
        <w:rPr>
          <w:rFonts w:ascii="Arial" w:hAnsi="Arial"/>
          <w:b/>
          <w:sz w:val="22"/>
        </w:rPr>
        <w:t>remuneration and nominations committee</w:t>
      </w:r>
      <w:r w:rsidRPr="00952C33">
        <w:rPr>
          <w:rFonts w:ascii="Arial" w:hAnsi="Arial"/>
          <w:sz w:val="22"/>
        </w:rPr>
        <w:t xml:space="preserve"> </w:t>
      </w:r>
      <w:r w:rsidR="00DB6AA0" w:rsidRPr="00952C33">
        <w:rPr>
          <w:rFonts w:ascii="Arial" w:hAnsi="Arial"/>
          <w:sz w:val="22"/>
        </w:rPr>
        <w:t xml:space="preserve">of the membership council </w:t>
      </w:r>
      <w:r w:rsidRPr="00952C33">
        <w:rPr>
          <w:rFonts w:ascii="Arial" w:hAnsi="Arial"/>
          <w:sz w:val="22"/>
        </w:rPr>
        <w:t xml:space="preserve">met </w:t>
      </w:r>
      <w:r w:rsidR="00837E98" w:rsidRPr="00952C33">
        <w:rPr>
          <w:rFonts w:ascii="Arial" w:hAnsi="Arial"/>
          <w:sz w:val="22"/>
        </w:rPr>
        <w:t>once</w:t>
      </w:r>
      <w:r w:rsidRPr="00952C33">
        <w:rPr>
          <w:rFonts w:ascii="Arial" w:hAnsi="Arial"/>
          <w:sz w:val="22"/>
        </w:rPr>
        <w:t xml:space="preserve"> in </w:t>
      </w:r>
      <w:r w:rsidR="00837E98" w:rsidRPr="00952C33">
        <w:rPr>
          <w:rFonts w:ascii="Arial" w:hAnsi="Arial"/>
          <w:sz w:val="22"/>
        </w:rPr>
        <w:t>2021/22</w:t>
      </w:r>
      <w:r w:rsidRPr="00952C33">
        <w:rPr>
          <w:rFonts w:ascii="Arial" w:hAnsi="Arial"/>
          <w:sz w:val="22"/>
        </w:rPr>
        <w:t>. This committee is established to ensure that the selection and appointment process for non-executive directors is robust, and to regularly review non-executive director remuneration levels to ensure an appropriate balance between value for money and attracting candidates of sufficient calibre.</w:t>
      </w:r>
    </w:p>
    <w:p w14:paraId="75E912B6" w14:textId="41C7B5C3" w:rsidR="00F34AFB" w:rsidRPr="00952C33" w:rsidRDefault="00F34AFB" w:rsidP="00FB6278">
      <w:pPr>
        <w:pStyle w:val="MEHArial"/>
        <w:ind w:left="-284"/>
        <w:jc w:val="both"/>
        <w:rPr>
          <w:sz w:val="22"/>
        </w:rPr>
      </w:pPr>
      <w:r w:rsidRPr="00952C33">
        <w:rPr>
          <w:sz w:val="22"/>
        </w:rPr>
        <w:t xml:space="preserve">During </w:t>
      </w:r>
      <w:r w:rsidR="00CE2B41" w:rsidRPr="00952C33">
        <w:rPr>
          <w:sz w:val="22"/>
        </w:rPr>
        <w:t>2021/22</w:t>
      </w:r>
      <w:r w:rsidRPr="00952C33">
        <w:rPr>
          <w:sz w:val="22"/>
        </w:rPr>
        <w:t xml:space="preserve">, the remuneration and nominations committee considered and recommended the reappointment of </w:t>
      </w:r>
      <w:r w:rsidR="008029DB" w:rsidRPr="00952C33">
        <w:rPr>
          <w:sz w:val="22"/>
        </w:rPr>
        <w:t>two</w:t>
      </w:r>
      <w:r w:rsidRPr="00952C33">
        <w:rPr>
          <w:sz w:val="22"/>
        </w:rPr>
        <w:t xml:space="preserve"> non-executive directors</w:t>
      </w:r>
      <w:r w:rsidR="00BE6388" w:rsidRPr="00952C33">
        <w:rPr>
          <w:sz w:val="22"/>
        </w:rPr>
        <w:t xml:space="preserve"> </w:t>
      </w:r>
      <w:r w:rsidRPr="00952C33">
        <w:rPr>
          <w:sz w:val="22"/>
        </w:rPr>
        <w:t xml:space="preserve">for additional </w:t>
      </w:r>
      <w:proofErr w:type="gramStart"/>
      <w:r w:rsidR="00CE2B41" w:rsidRPr="00952C33">
        <w:rPr>
          <w:sz w:val="22"/>
        </w:rPr>
        <w:t>one and two</w:t>
      </w:r>
      <w:r w:rsidRPr="00952C33">
        <w:rPr>
          <w:sz w:val="22"/>
        </w:rPr>
        <w:t xml:space="preserve"> year</w:t>
      </w:r>
      <w:proofErr w:type="gramEnd"/>
      <w:r w:rsidRPr="00952C33">
        <w:rPr>
          <w:sz w:val="22"/>
        </w:rPr>
        <w:t xml:space="preserve"> terms of office</w:t>
      </w:r>
      <w:r w:rsidR="00CE2B41" w:rsidRPr="00952C33">
        <w:rPr>
          <w:sz w:val="22"/>
        </w:rPr>
        <w:t>, and recommended that the chair be offered a further three-year term of office.</w:t>
      </w:r>
      <w:r w:rsidR="00BE6388" w:rsidRPr="00952C33">
        <w:rPr>
          <w:sz w:val="22"/>
        </w:rPr>
        <w:t xml:space="preserve"> </w:t>
      </w:r>
    </w:p>
    <w:p w14:paraId="6449ECE4" w14:textId="5B023B58" w:rsidR="008029DB" w:rsidRPr="00952C33" w:rsidRDefault="00F34AFB" w:rsidP="00FB6278">
      <w:pPr>
        <w:ind w:left="-284" w:right="79"/>
        <w:jc w:val="both"/>
        <w:rPr>
          <w:rFonts w:ascii="Arial" w:hAnsi="Arial"/>
          <w:sz w:val="22"/>
        </w:rPr>
      </w:pPr>
      <w:r w:rsidRPr="00952C33">
        <w:rPr>
          <w:rFonts w:ascii="Arial" w:hAnsi="Arial"/>
          <w:sz w:val="22"/>
        </w:rPr>
        <w:t>The</w:t>
      </w:r>
      <w:r w:rsidRPr="00952C33">
        <w:rPr>
          <w:rFonts w:ascii="Arial" w:hAnsi="Arial"/>
          <w:b/>
          <w:sz w:val="22"/>
        </w:rPr>
        <w:t xml:space="preserve"> governance development group</w:t>
      </w:r>
      <w:r w:rsidRPr="00952C33">
        <w:rPr>
          <w:rFonts w:ascii="Arial" w:hAnsi="Arial"/>
          <w:sz w:val="22"/>
        </w:rPr>
        <w:t xml:space="preserve"> is established to propose and carry out initiatives that will improve the role of the membership council in the governance of the trust and the development of governors individually and collectively. In </w:t>
      </w:r>
      <w:r w:rsidR="00CE2B41" w:rsidRPr="00952C33">
        <w:rPr>
          <w:rFonts w:ascii="Arial" w:hAnsi="Arial"/>
          <w:sz w:val="22"/>
        </w:rPr>
        <w:t>2021/22</w:t>
      </w:r>
      <w:r w:rsidR="008029DB" w:rsidRPr="00952C33">
        <w:rPr>
          <w:rFonts w:ascii="Arial" w:hAnsi="Arial"/>
          <w:sz w:val="22"/>
        </w:rPr>
        <w:t xml:space="preserve"> the group was largely focused on how best to </w:t>
      </w:r>
      <w:r w:rsidR="00837E98" w:rsidRPr="00952C33">
        <w:rPr>
          <w:rFonts w:ascii="Arial" w:hAnsi="Arial"/>
          <w:sz w:val="22"/>
        </w:rPr>
        <w:t xml:space="preserve">continue to </w:t>
      </w:r>
      <w:r w:rsidR="008029DB" w:rsidRPr="00952C33">
        <w:rPr>
          <w:rFonts w:ascii="Arial" w:hAnsi="Arial"/>
          <w:sz w:val="22"/>
        </w:rPr>
        <w:t xml:space="preserve">engage with membership and the board during the pandemic, the membership magazine, </w:t>
      </w:r>
      <w:r w:rsidR="00837E98" w:rsidRPr="00952C33">
        <w:rPr>
          <w:rFonts w:ascii="Arial" w:hAnsi="Arial"/>
          <w:sz w:val="22"/>
        </w:rPr>
        <w:t xml:space="preserve">decision-making required for the Oriel FBC, the changing ICS landscape and other engagement ideas. </w:t>
      </w:r>
    </w:p>
    <w:p w14:paraId="602C7756" w14:textId="77777777" w:rsidR="008029DB" w:rsidRPr="00952C33" w:rsidRDefault="008029DB" w:rsidP="00FB6278">
      <w:pPr>
        <w:ind w:left="-284" w:right="79"/>
        <w:jc w:val="both"/>
        <w:rPr>
          <w:rFonts w:ascii="Arial" w:hAnsi="Arial"/>
          <w:sz w:val="22"/>
        </w:rPr>
      </w:pPr>
    </w:p>
    <w:p w14:paraId="5B22A471" w14:textId="0311E28A" w:rsidR="00F34AFB" w:rsidRPr="00952C33" w:rsidRDefault="00F34AFB" w:rsidP="00FB6278">
      <w:pPr>
        <w:ind w:left="-284" w:right="79"/>
        <w:jc w:val="both"/>
        <w:rPr>
          <w:rFonts w:ascii="Arial" w:hAnsi="Arial"/>
          <w:sz w:val="22"/>
        </w:rPr>
      </w:pPr>
      <w:r w:rsidRPr="00952C33">
        <w:rPr>
          <w:rFonts w:ascii="Arial" w:hAnsi="Arial"/>
          <w:sz w:val="22"/>
        </w:rPr>
        <w:t xml:space="preserve">The </w:t>
      </w:r>
      <w:r w:rsidRPr="00952C33">
        <w:rPr>
          <w:rFonts w:ascii="Arial" w:hAnsi="Arial"/>
          <w:b/>
          <w:sz w:val="22"/>
        </w:rPr>
        <w:t>register of interests</w:t>
      </w:r>
      <w:r w:rsidRPr="00952C33">
        <w:rPr>
          <w:rFonts w:ascii="Arial" w:hAnsi="Arial"/>
          <w:sz w:val="22"/>
        </w:rPr>
        <w:t xml:space="preserve"> of individual governors on the membership council is available to the public on request. Please write </w:t>
      </w:r>
      <w:proofErr w:type="gramStart"/>
      <w:r w:rsidRPr="00952C33">
        <w:rPr>
          <w:rFonts w:ascii="Arial" w:hAnsi="Arial"/>
          <w:sz w:val="22"/>
        </w:rPr>
        <w:t>to:</w:t>
      </w:r>
      <w:proofErr w:type="gramEnd"/>
      <w:r w:rsidRPr="00952C33">
        <w:rPr>
          <w:rFonts w:ascii="Arial" w:hAnsi="Arial"/>
          <w:sz w:val="22"/>
        </w:rPr>
        <w:t xml:space="preserve"> company secretary, Moorfields Eye Hospital NHS Foundation Trust, 162 City Road, London EC1V 2PD, email: foundation@moorfields.nhs.uk or phone: 020 7566 2490.</w:t>
      </w:r>
    </w:p>
    <w:p w14:paraId="5B0B7A90" w14:textId="77777777" w:rsidR="00F34AFB" w:rsidRPr="00952C33" w:rsidRDefault="00F34AFB" w:rsidP="00FB6278">
      <w:pPr>
        <w:pStyle w:val="Heading2"/>
        <w:ind w:left="-284"/>
        <w:rPr>
          <w:sz w:val="22"/>
        </w:rPr>
      </w:pPr>
      <w:r w:rsidRPr="00952C33">
        <w:rPr>
          <w:sz w:val="22"/>
        </w:rPr>
        <w:t>Our membership</w:t>
      </w:r>
    </w:p>
    <w:p w14:paraId="6269CC4A" w14:textId="4280213A" w:rsidR="00F34AFB" w:rsidRPr="00952C33" w:rsidRDefault="00F34AFB" w:rsidP="00FB6278">
      <w:pPr>
        <w:pStyle w:val="MEHArial"/>
        <w:ind w:left="-284"/>
        <w:jc w:val="both"/>
        <w:rPr>
          <w:sz w:val="22"/>
        </w:rPr>
      </w:pPr>
      <w:r w:rsidRPr="00952C33">
        <w:rPr>
          <w:sz w:val="22"/>
        </w:rPr>
        <w:t>The trust has appr</w:t>
      </w:r>
      <w:r w:rsidR="00A71D5F" w:rsidRPr="00952C33">
        <w:rPr>
          <w:sz w:val="22"/>
        </w:rPr>
        <w:t xml:space="preserve">oximately </w:t>
      </w:r>
      <w:r w:rsidR="0080746F" w:rsidRPr="00952C33">
        <w:rPr>
          <w:sz w:val="22"/>
        </w:rPr>
        <w:t>18,500</w:t>
      </w:r>
      <w:r w:rsidR="00A71D5F" w:rsidRPr="00952C33">
        <w:rPr>
          <w:sz w:val="22"/>
        </w:rPr>
        <w:t xml:space="preserve"> members, including </w:t>
      </w:r>
      <w:r w:rsidRPr="00952C33">
        <w:rPr>
          <w:sz w:val="22"/>
        </w:rPr>
        <w:t xml:space="preserve">2,000 staff members. </w:t>
      </w:r>
    </w:p>
    <w:p w14:paraId="0FCF14E4" w14:textId="2B98E632" w:rsidR="00F34AFB" w:rsidRPr="00952C33" w:rsidRDefault="00F34AFB" w:rsidP="00FB6278">
      <w:pPr>
        <w:pStyle w:val="MEHArial"/>
        <w:ind w:left="-284"/>
        <w:jc w:val="both"/>
        <w:rPr>
          <w:sz w:val="22"/>
        </w:rPr>
      </w:pPr>
      <w:r w:rsidRPr="00952C33">
        <w:rPr>
          <w:sz w:val="22"/>
        </w:rPr>
        <w:t xml:space="preserve">Membership numbers in each public constituency reflect to some degree the size of the service provision in the area. For example, </w:t>
      </w:r>
      <w:proofErr w:type="gramStart"/>
      <w:r w:rsidR="00CA142B" w:rsidRPr="00952C33">
        <w:rPr>
          <w:rFonts w:cs="Arial"/>
          <w:sz w:val="22"/>
          <w:szCs w:val="22"/>
        </w:rPr>
        <w:t>n</w:t>
      </w:r>
      <w:r w:rsidR="00C0031B" w:rsidRPr="00952C33">
        <w:rPr>
          <w:rFonts w:cs="Arial"/>
          <w:sz w:val="22"/>
          <w:szCs w:val="22"/>
        </w:rPr>
        <w:t xml:space="preserve">orth </w:t>
      </w:r>
      <w:r w:rsidR="00CA142B" w:rsidRPr="00952C33">
        <w:rPr>
          <w:rFonts w:cs="Arial"/>
          <w:sz w:val="22"/>
          <w:szCs w:val="22"/>
        </w:rPr>
        <w:t>w</w:t>
      </w:r>
      <w:r w:rsidR="00C0031B" w:rsidRPr="00952C33">
        <w:rPr>
          <w:rFonts w:cs="Arial"/>
          <w:sz w:val="22"/>
          <w:szCs w:val="22"/>
        </w:rPr>
        <w:t>est</w:t>
      </w:r>
      <w:proofErr w:type="gramEnd"/>
      <w:r w:rsidR="007A0F2F">
        <w:rPr>
          <w:rFonts w:cs="Arial"/>
          <w:sz w:val="22"/>
          <w:szCs w:val="22"/>
        </w:rPr>
        <w:t xml:space="preserve"> </w:t>
      </w:r>
      <w:r w:rsidR="00C0031B" w:rsidRPr="00952C33">
        <w:rPr>
          <w:sz w:val="22"/>
        </w:rPr>
        <w:t xml:space="preserve">and </w:t>
      </w:r>
      <w:r w:rsidR="00CA142B" w:rsidRPr="00952C33">
        <w:rPr>
          <w:rFonts w:cs="Arial"/>
          <w:sz w:val="22"/>
          <w:szCs w:val="22"/>
        </w:rPr>
        <w:t>n</w:t>
      </w:r>
      <w:r w:rsidR="00C0031B" w:rsidRPr="00952C33">
        <w:rPr>
          <w:rFonts w:cs="Arial"/>
          <w:sz w:val="22"/>
          <w:szCs w:val="22"/>
        </w:rPr>
        <w:t xml:space="preserve">orth </w:t>
      </w:r>
      <w:r w:rsidR="00CA142B" w:rsidRPr="00952C33">
        <w:rPr>
          <w:rFonts w:cs="Arial"/>
          <w:sz w:val="22"/>
          <w:szCs w:val="22"/>
        </w:rPr>
        <w:t>e</w:t>
      </w:r>
      <w:r w:rsidR="00C0031B" w:rsidRPr="00952C33">
        <w:rPr>
          <w:rFonts w:cs="Arial"/>
          <w:sz w:val="22"/>
          <w:szCs w:val="22"/>
        </w:rPr>
        <w:t>ast</w:t>
      </w:r>
      <w:r w:rsidRPr="00952C33">
        <w:rPr>
          <w:sz w:val="22"/>
        </w:rPr>
        <w:t xml:space="preserve"> London </w:t>
      </w:r>
      <w:r w:rsidR="00C0031B" w:rsidRPr="00952C33">
        <w:rPr>
          <w:sz w:val="22"/>
        </w:rPr>
        <w:t>have</w:t>
      </w:r>
      <w:r w:rsidRPr="00952C33">
        <w:rPr>
          <w:sz w:val="22"/>
        </w:rPr>
        <w:t xml:space="preserve"> the greatest number of members because </w:t>
      </w:r>
      <w:r w:rsidR="00C0031B" w:rsidRPr="00952C33">
        <w:rPr>
          <w:sz w:val="22"/>
        </w:rPr>
        <w:t xml:space="preserve">they </w:t>
      </w:r>
      <w:r w:rsidRPr="00952C33">
        <w:rPr>
          <w:sz w:val="22"/>
        </w:rPr>
        <w:t xml:space="preserve">include </w:t>
      </w:r>
      <w:r w:rsidR="00C0031B" w:rsidRPr="00952C33">
        <w:rPr>
          <w:sz w:val="22"/>
        </w:rPr>
        <w:t>some of our</w:t>
      </w:r>
      <w:r w:rsidRPr="00952C33">
        <w:rPr>
          <w:sz w:val="22"/>
        </w:rPr>
        <w:t xml:space="preserve"> largest locations. </w:t>
      </w:r>
      <w:r w:rsidR="00C0031B" w:rsidRPr="00952C33">
        <w:rPr>
          <w:sz w:val="22"/>
        </w:rPr>
        <w:t xml:space="preserve">North </w:t>
      </w:r>
      <w:r w:rsidR="00CA142B" w:rsidRPr="00952C33">
        <w:rPr>
          <w:rFonts w:cs="Arial"/>
          <w:sz w:val="22"/>
          <w:szCs w:val="22"/>
        </w:rPr>
        <w:t>c</w:t>
      </w:r>
      <w:r w:rsidR="00C0031B" w:rsidRPr="00952C33">
        <w:rPr>
          <w:rFonts w:cs="Arial"/>
          <w:sz w:val="22"/>
          <w:szCs w:val="22"/>
        </w:rPr>
        <w:t>entral</w:t>
      </w:r>
      <w:r w:rsidR="00C0031B" w:rsidRPr="00952C33">
        <w:rPr>
          <w:sz w:val="22"/>
        </w:rPr>
        <w:t xml:space="preserve"> London includes the main City Road site. </w:t>
      </w:r>
      <w:r w:rsidRPr="00952C33">
        <w:rPr>
          <w:sz w:val="22"/>
        </w:rPr>
        <w:t xml:space="preserve">The patient constituency is the largest constituency </w:t>
      </w:r>
      <w:r w:rsidR="00C0031B" w:rsidRPr="00952C33">
        <w:rPr>
          <w:sz w:val="22"/>
        </w:rPr>
        <w:t xml:space="preserve">overall </w:t>
      </w:r>
      <w:r w:rsidRPr="00952C33">
        <w:rPr>
          <w:sz w:val="22"/>
        </w:rPr>
        <w:t xml:space="preserve">with members from across all services and geographical locations. </w:t>
      </w:r>
    </w:p>
    <w:p w14:paraId="7497D3F3" w14:textId="23C3DF43" w:rsidR="00F34AFB" w:rsidRPr="00952C33" w:rsidRDefault="008029DB" w:rsidP="00FB6278">
      <w:pPr>
        <w:pStyle w:val="MEHArial"/>
        <w:ind w:left="-284"/>
        <w:jc w:val="both"/>
        <w:rPr>
          <w:sz w:val="22"/>
        </w:rPr>
      </w:pPr>
      <w:r w:rsidRPr="00952C33">
        <w:rPr>
          <w:sz w:val="22"/>
        </w:rPr>
        <w:t xml:space="preserve">All members are invited to </w:t>
      </w:r>
      <w:r w:rsidR="00C0031B" w:rsidRPr="00952C33">
        <w:rPr>
          <w:sz w:val="22"/>
        </w:rPr>
        <w:t>the</w:t>
      </w:r>
      <w:r w:rsidRPr="00952C33">
        <w:rPr>
          <w:sz w:val="22"/>
        </w:rPr>
        <w:t xml:space="preserve"> </w:t>
      </w:r>
      <w:r w:rsidR="007A0F2F">
        <w:rPr>
          <w:sz w:val="22"/>
        </w:rPr>
        <w:t>annual general meeting (AGM)</w:t>
      </w:r>
      <w:r w:rsidRPr="00952C33">
        <w:rPr>
          <w:sz w:val="22"/>
        </w:rPr>
        <w:t xml:space="preserve">, which took place virtually </w:t>
      </w:r>
      <w:r w:rsidR="0080746F" w:rsidRPr="00952C33">
        <w:rPr>
          <w:sz w:val="22"/>
        </w:rPr>
        <w:t xml:space="preserve">in </w:t>
      </w:r>
      <w:r w:rsidR="00CE2B41" w:rsidRPr="00952C33">
        <w:rPr>
          <w:sz w:val="22"/>
        </w:rPr>
        <w:t>July</w:t>
      </w:r>
      <w:r w:rsidR="0080746F" w:rsidRPr="00952C33">
        <w:rPr>
          <w:sz w:val="22"/>
        </w:rPr>
        <w:t xml:space="preserve"> this year</w:t>
      </w:r>
      <w:r w:rsidRPr="00952C33">
        <w:rPr>
          <w:sz w:val="22"/>
        </w:rPr>
        <w:t xml:space="preserve">. </w:t>
      </w:r>
      <w:r w:rsidR="00F34AFB" w:rsidRPr="00952C33">
        <w:rPr>
          <w:sz w:val="22"/>
        </w:rPr>
        <w:t xml:space="preserve">The breakdown of our membership between constituencies is as follows: </w:t>
      </w:r>
    </w:p>
    <w:p w14:paraId="7FAB1513" w14:textId="77777777" w:rsidR="00F34AFB" w:rsidRPr="00952C33" w:rsidRDefault="00F34AFB" w:rsidP="00FB6278">
      <w:pPr>
        <w:rPr>
          <w:rFonts w:ascii="Arial" w:hAnsi="Arial"/>
          <w:sz w:val="22"/>
        </w:rPr>
      </w:pPr>
    </w:p>
    <w:tbl>
      <w:tblPr>
        <w:tblW w:w="0" w:type="auto"/>
        <w:tblInd w:w="80" w:type="dxa"/>
        <w:tblLayout w:type="fixed"/>
        <w:tblCellMar>
          <w:left w:w="0" w:type="dxa"/>
          <w:right w:w="0" w:type="dxa"/>
        </w:tblCellMar>
        <w:tblLook w:val="0000" w:firstRow="0" w:lastRow="0" w:firstColumn="0" w:lastColumn="0" w:noHBand="0" w:noVBand="0"/>
      </w:tblPr>
      <w:tblGrid>
        <w:gridCol w:w="6647"/>
        <w:gridCol w:w="2438"/>
      </w:tblGrid>
      <w:tr w:rsidR="00F34AFB" w:rsidRPr="00777F4F" w14:paraId="213D6B8C" w14:textId="77777777" w:rsidTr="00B42676">
        <w:trPr>
          <w:trHeight w:val="424"/>
        </w:trPr>
        <w:tc>
          <w:tcPr>
            <w:tcW w:w="6647" w:type="dxa"/>
            <w:tcBorders>
              <w:top w:val="single" w:sz="16" w:space="0" w:color="000000"/>
              <w:left w:val="single" w:sz="6" w:space="0" w:color="000000"/>
              <w:bottom w:val="single" w:sz="16" w:space="0" w:color="000000"/>
              <w:right w:val="single" w:sz="2" w:space="0" w:color="000000"/>
            </w:tcBorders>
            <w:tcMar>
              <w:top w:w="57" w:type="dxa"/>
              <w:left w:w="80" w:type="dxa"/>
              <w:bottom w:w="57" w:type="dxa"/>
              <w:right w:w="80" w:type="dxa"/>
            </w:tcMar>
            <w:vAlign w:val="center"/>
          </w:tcPr>
          <w:p w14:paraId="15DE8053" w14:textId="77777777" w:rsidR="00F34AFB" w:rsidRPr="00952C33" w:rsidRDefault="00F34AFB" w:rsidP="00FB6278">
            <w:pPr>
              <w:pStyle w:val="MEHArial"/>
              <w:rPr>
                <w:b/>
                <w:sz w:val="22"/>
              </w:rPr>
            </w:pPr>
            <w:r w:rsidRPr="00952C33">
              <w:rPr>
                <w:b/>
                <w:sz w:val="22"/>
              </w:rPr>
              <w:t>Constituency</w:t>
            </w:r>
          </w:p>
        </w:tc>
        <w:tc>
          <w:tcPr>
            <w:tcW w:w="2438" w:type="dxa"/>
            <w:tcBorders>
              <w:top w:val="single" w:sz="16" w:space="0" w:color="000000"/>
              <w:left w:val="single" w:sz="2" w:space="0" w:color="000000"/>
              <w:bottom w:val="single" w:sz="16" w:space="0" w:color="000000"/>
              <w:right w:val="single" w:sz="6" w:space="0" w:color="000000"/>
            </w:tcBorders>
            <w:tcMar>
              <w:top w:w="57" w:type="dxa"/>
              <w:left w:w="80" w:type="dxa"/>
              <w:bottom w:w="57" w:type="dxa"/>
              <w:right w:w="80" w:type="dxa"/>
            </w:tcMar>
            <w:vAlign w:val="center"/>
          </w:tcPr>
          <w:p w14:paraId="13EDB4CA" w14:textId="77777777" w:rsidR="00F34AFB" w:rsidRPr="00952C33" w:rsidRDefault="00F34AFB" w:rsidP="00FB6278">
            <w:pPr>
              <w:pStyle w:val="MEHArial"/>
              <w:rPr>
                <w:b/>
                <w:sz w:val="22"/>
              </w:rPr>
            </w:pPr>
            <w:r w:rsidRPr="00952C33">
              <w:rPr>
                <w:b/>
                <w:sz w:val="22"/>
              </w:rPr>
              <w:t>Number of members</w:t>
            </w:r>
          </w:p>
        </w:tc>
      </w:tr>
      <w:tr w:rsidR="00F34AFB" w:rsidRPr="00777F4F" w14:paraId="4CAD53A4" w14:textId="77777777" w:rsidTr="00B42676">
        <w:trPr>
          <w:trHeight w:val="60"/>
        </w:trPr>
        <w:tc>
          <w:tcPr>
            <w:tcW w:w="6647" w:type="dxa"/>
            <w:tcBorders>
              <w:top w:val="single" w:sz="16" w:space="0" w:color="000000"/>
              <w:left w:val="single" w:sz="6" w:space="0" w:color="000000"/>
              <w:bottom w:val="single" w:sz="4" w:space="0" w:color="000000"/>
              <w:right w:val="single" w:sz="4" w:space="0" w:color="000000"/>
            </w:tcBorders>
            <w:tcMar>
              <w:top w:w="80" w:type="dxa"/>
              <w:left w:w="80" w:type="dxa"/>
              <w:bottom w:w="80" w:type="dxa"/>
              <w:right w:w="80" w:type="dxa"/>
            </w:tcMar>
          </w:tcPr>
          <w:p w14:paraId="4C539C3F" w14:textId="77777777" w:rsidR="00F34AFB" w:rsidRPr="00952C33" w:rsidRDefault="00F34AFB" w:rsidP="00FB6278">
            <w:pPr>
              <w:pStyle w:val="MEHArial"/>
              <w:rPr>
                <w:sz w:val="22"/>
              </w:rPr>
            </w:pPr>
            <w:r w:rsidRPr="00952C33">
              <w:rPr>
                <w:sz w:val="22"/>
              </w:rPr>
              <w:t>Patient constituency</w:t>
            </w:r>
          </w:p>
        </w:tc>
        <w:tc>
          <w:tcPr>
            <w:tcW w:w="2438" w:type="dxa"/>
            <w:tcBorders>
              <w:top w:val="single" w:sz="16" w:space="0" w:color="000000"/>
              <w:left w:val="single" w:sz="4" w:space="0" w:color="000000"/>
              <w:bottom w:val="single" w:sz="4" w:space="0" w:color="000000"/>
              <w:right w:val="single" w:sz="6" w:space="0" w:color="000000"/>
            </w:tcBorders>
            <w:tcMar>
              <w:top w:w="80" w:type="dxa"/>
              <w:left w:w="80" w:type="dxa"/>
              <w:bottom w:w="80" w:type="dxa"/>
              <w:right w:w="80" w:type="dxa"/>
            </w:tcMar>
          </w:tcPr>
          <w:p w14:paraId="3E9DF42E" w14:textId="03866EB8" w:rsidR="00F34AFB" w:rsidRPr="00952C33" w:rsidRDefault="00DC152C" w:rsidP="00FB6278">
            <w:pPr>
              <w:pStyle w:val="MEHArial"/>
              <w:rPr>
                <w:sz w:val="22"/>
              </w:rPr>
            </w:pPr>
            <w:r w:rsidRPr="00952C33">
              <w:rPr>
                <w:sz w:val="22"/>
              </w:rPr>
              <w:t>10,404</w:t>
            </w:r>
          </w:p>
        </w:tc>
      </w:tr>
      <w:tr w:rsidR="00F34AFB" w:rsidRPr="00777F4F" w14:paraId="1072F802" w14:textId="77777777" w:rsidTr="00B42676">
        <w:trPr>
          <w:trHeight w:val="60"/>
        </w:trPr>
        <w:tc>
          <w:tcPr>
            <w:tcW w:w="6647"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14:paraId="306E86A2" w14:textId="77777777" w:rsidR="00F34AFB" w:rsidRPr="00952C33" w:rsidRDefault="00F34AFB" w:rsidP="00FB6278">
            <w:pPr>
              <w:pStyle w:val="MEHArial"/>
              <w:rPr>
                <w:sz w:val="22"/>
              </w:rPr>
            </w:pPr>
            <w:r w:rsidRPr="00952C33">
              <w:rPr>
                <w:sz w:val="22"/>
              </w:rPr>
              <w:t>Bedfordshire and Hertfordshire public constituency</w:t>
            </w:r>
          </w:p>
        </w:tc>
        <w:tc>
          <w:tcPr>
            <w:tcW w:w="2438"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14:paraId="1B2FB657" w14:textId="3E8672F2" w:rsidR="00F34AFB" w:rsidRPr="00952C33" w:rsidRDefault="002618A9" w:rsidP="00FB6278">
            <w:pPr>
              <w:pStyle w:val="MEHArial"/>
              <w:rPr>
                <w:sz w:val="22"/>
              </w:rPr>
            </w:pPr>
            <w:r w:rsidRPr="00952C33">
              <w:rPr>
                <w:sz w:val="22"/>
              </w:rPr>
              <w:t>410</w:t>
            </w:r>
          </w:p>
        </w:tc>
      </w:tr>
      <w:tr w:rsidR="00F34AFB" w:rsidRPr="00777F4F" w14:paraId="6AF3D947" w14:textId="77777777" w:rsidTr="00B42676">
        <w:trPr>
          <w:trHeight w:val="60"/>
        </w:trPr>
        <w:tc>
          <w:tcPr>
            <w:tcW w:w="6647"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14:paraId="25A11462" w14:textId="77777777" w:rsidR="00F34AFB" w:rsidRPr="00952C33" w:rsidRDefault="00F34AFB" w:rsidP="00FB6278">
            <w:pPr>
              <w:pStyle w:val="MEHArial"/>
              <w:rPr>
                <w:sz w:val="22"/>
              </w:rPr>
            </w:pPr>
            <w:r w:rsidRPr="00952C33">
              <w:rPr>
                <w:sz w:val="22"/>
              </w:rPr>
              <w:t>North central London public constituency</w:t>
            </w:r>
          </w:p>
        </w:tc>
        <w:tc>
          <w:tcPr>
            <w:tcW w:w="2438"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14:paraId="2F97BB29" w14:textId="2C2F0F50" w:rsidR="00F34AFB" w:rsidRPr="00952C33" w:rsidRDefault="002618A9" w:rsidP="00FB6278">
            <w:pPr>
              <w:pStyle w:val="MEHArial"/>
              <w:rPr>
                <w:sz w:val="22"/>
              </w:rPr>
            </w:pPr>
            <w:r w:rsidRPr="00952C33">
              <w:rPr>
                <w:sz w:val="22"/>
              </w:rPr>
              <w:t>1,167</w:t>
            </w:r>
          </w:p>
        </w:tc>
      </w:tr>
      <w:tr w:rsidR="00F34AFB" w:rsidRPr="00777F4F" w14:paraId="3C4118CA" w14:textId="77777777" w:rsidTr="00B42676">
        <w:trPr>
          <w:trHeight w:val="60"/>
        </w:trPr>
        <w:tc>
          <w:tcPr>
            <w:tcW w:w="6647"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14:paraId="27E35A47" w14:textId="77777777" w:rsidR="00F34AFB" w:rsidRPr="00952C33" w:rsidRDefault="00F34AFB" w:rsidP="00FB6278">
            <w:pPr>
              <w:pStyle w:val="MEHArial"/>
              <w:rPr>
                <w:sz w:val="22"/>
              </w:rPr>
            </w:pPr>
            <w:proofErr w:type="gramStart"/>
            <w:r w:rsidRPr="00952C33">
              <w:rPr>
                <w:sz w:val="22"/>
              </w:rPr>
              <w:t>North east</w:t>
            </w:r>
            <w:proofErr w:type="gramEnd"/>
            <w:r w:rsidRPr="00952C33">
              <w:rPr>
                <w:sz w:val="22"/>
              </w:rPr>
              <w:t xml:space="preserve"> London and Essex public constituency</w:t>
            </w:r>
          </w:p>
        </w:tc>
        <w:tc>
          <w:tcPr>
            <w:tcW w:w="2438"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14:paraId="580B1568" w14:textId="044BD21D" w:rsidR="00F34AFB" w:rsidRPr="00952C33" w:rsidRDefault="002618A9" w:rsidP="00FB6278">
            <w:pPr>
              <w:pStyle w:val="MEHArial"/>
              <w:rPr>
                <w:sz w:val="22"/>
              </w:rPr>
            </w:pPr>
            <w:r w:rsidRPr="00952C33">
              <w:rPr>
                <w:sz w:val="22"/>
              </w:rPr>
              <w:t>1,646</w:t>
            </w:r>
          </w:p>
        </w:tc>
      </w:tr>
      <w:tr w:rsidR="00F34AFB" w:rsidRPr="00777F4F" w14:paraId="66F9ECCE" w14:textId="77777777" w:rsidTr="00B42676">
        <w:trPr>
          <w:trHeight w:val="60"/>
        </w:trPr>
        <w:tc>
          <w:tcPr>
            <w:tcW w:w="6647"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14:paraId="2860C757" w14:textId="77777777" w:rsidR="00F34AFB" w:rsidRPr="00952C33" w:rsidRDefault="00F34AFB" w:rsidP="00FB6278">
            <w:pPr>
              <w:pStyle w:val="MEHArial"/>
              <w:rPr>
                <w:sz w:val="22"/>
              </w:rPr>
            </w:pPr>
            <w:proofErr w:type="gramStart"/>
            <w:r w:rsidRPr="00952C33">
              <w:rPr>
                <w:sz w:val="22"/>
              </w:rPr>
              <w:t>North west</w:t>
            </w:r>
            <w:proofErr w:type="gramEnd"/>
            <w:r w:rsidRPr="00952C33">
              <w:rPr>
                <w:sz w:val="22"/>
              </w:rPr>
              <w:t xml:space="preserve"> London public constituency</w:t>
            </w:r>
          </w:p>
        </w:tc>
        <w:tc>
          <w:tcPr>
            <w:tcW w:w="2438"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14:paraId="23CC12CC" w14:textId="143A4DC9" w:rsidR="00F34AFB" w:rsidRPr="00952C33" w:rsidRDefault="002618A9" w:rsidP="00FB6278">
            <w:pPr>
              <w:pStyle w:val="MEHArial"/>
              <w:rPr>
                <w:sz w:val="22"/>
              </w:rPr>
            </w:pPr>
            <w:r w:rsidRPr="00952C33">
              <w:rPr>
                <w:sz w:val="22"/>
              </w:rPr>
              <w:t>1,982</w:t>
            </w:r>
          </w:p>
        </w:tc>
      </w:tr>
      <w:tr w:rsidR="00F34AFB" w:rsidRPr="00777F4F" w14:paraId="2A1FA89C" w14:textId="77777777" w:rsidTr="00B42676">
        <w:trPr>
          <w:trHeight w:val="60"/>
        </w:trPr>
        <w:tc>
          <w:tcPr>
            <w:tcW w:w="6647"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14:paraId="1CFE8CBB" w14:textId="77777777" w:rsidR="00F34AFB" w:rsidRPr="00952C33" w:rsidRDefault="00F34AFB" w:rsidP="00FB6278">
            <w:pPr>
              <w:pStyle w:val="MEHArial"/>
              <w:rPr>
                <w:sz w:val="22"/>
              </w:rPr>
            </w:pPr>
            <w:proofErr w:type="gramStart"/>
            <w:r w:rsidRPr="00952C33">
              <w:rPr>
                <w:sz w:val="22"/>
              </w:rPr>
              <w:t>South east</w:t>
            </w:r>
            <w:proofErr w:type="gramEnd"/>
            <w:r w:rsidRPr="00952C33">
              <w:rPr>
                <w:sz w:val="22"/>
              </w:rPr>
              <w:t xml:space="preserve"> London public constituency</w:t>
            </w:r>
          </w:p>
        </w:tc>
        <w:tc>
          <w:tcPr>
            <w:tcW w:w="2438"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14:paraId="6C699901" w14:textId="7E51FA98" w:rsidR="00F34AFB" w:rsidRPr="00952C33" w:rsidRDefault="002618A9" w:rsidP="00FB6278">
            <w:pPr>
              <w:pStyle w:val="MEHArial"/>
              <w:rPr>
                <w:sz w:val="22"/>
              </w:rPr>
            </w:pPr>
            <w:r w:rsidRPr="00952C33">
              <w:rPr>
                <w:sz w:val="22"/>
              </w:rPr>
              <w:t>420</w:t>
            </w:r>
          </w:p>
        </w:tc>
      </w:tr>
      <w:tr w:rsidR="00F34AFB" w:rsidRPr="00777F4F" w14:paraId="156CEA23" w14:textId="77777777" w:rsidTr="00B42676">
        <w:trPr>
          <w:trHeight w:val="60"/>
        </w:trPr>
        <w:tc>
          <w:tcPr>
            <w:tcW w:w="6647"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14:paraId="1B943C12" w14:textId="77777777" w:rsidR="00F34AFB" w:rsidRPr="00952C33" w:rsidRDefault="00F34AFB" w:rsidP="00FB6278">
            <w:pPr>
              <w:pStyle w:val="MEHArial"/>
              <w:rPr>
                <w:sz w:val="22"/>
              </w:rPr>
            </w:pPr>
            <w:proofErr w:type="gramStart"/>
            <w:r w:rsidRPr="00952C33">
              <w:rPr>
                <w:sz w:val="22"/>
              </w:rPr>
              <w:t>South west</w:t>
            </w:r>
            <w:proofErr w:type="gramEnd"/>
            <w:r w:rsidRPr="00952C33">
              <w:rPr>
                <w:sz w:val="22"/>
              </w:rPr>
              <w:t xml:space="preserve"> London public constituency</w:t>
            </w:r>
          </w:p>
        </w:tc>
        <w:tc>
          <w:tcPr>
            <w:tcW w:w="2438"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14:paraId="20D13863" w14:textId="076C85A2" w:rsidR="00F34AFB" w:rsidRPr="00952C33" w:rsidRDefault="002618A9" w:rsidP="00FB6278">
            <w:pPr>
              <w:pStyle w:val="MEHArial"/>
              <w:rPr>
                <w:sz w:val="22"/>
              </w:rPr>
            </w:pPr>
            <w:r w:rsidRPr="00952C33">
              <w:rPr>
                <w:sz w:val="22"/>
              </w:rPr>
              <w:t>609</w:t>
            </w:r>
          </w:p>
        </w:tc>
      </w:tr>
      <w:tr w:rsidR="00F34AFB" w:rsidRPr="00777F4F" w14:paraId="6C254253" w14:textId="77777777" w:rsidTr="00B42676">
        <w:trPr>
          <w:trHeight w:val="60"/>
        </w:trPr>
        <w:tc>
          <w:tcPr>
            <w:tcW w:w="6647"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14:paraId="0E5EEEB9" w14:textId="467F23B6" w:rsidR="00F34AFB" w:rsidRPr="00952C33" w:rsidRDefault="00F34AFB" w:rsidP="00FB6278">
            <w:pPr>
              <w:pStyle w:val="MEHArial"/>
              <w:rPr>
                <w:sz w:val="22"/>
              </w:rPr>
            </w:pPr>
            <w:r w:rsidRPr="00952C33">
              <w:rPr>
                <w:sz w:val="22"/>
              </w:rPr>
              <w:lastRenderedPageBreak/>
              <w:t>Staff constituencies</w:t>
            </w:r>
            <w:r w:rsidR="002618A9" w:rsidRPr="00952C33">
              <w:rPr>
                <w:sz w:val="22"/>
              </w:rPr>
              <w:t xml:space="preserve"> </w:t>
            </w:r>
          </w:p>
        </w:tc>
        <w:tc>
          <w:tcPr>
            <w:tcW w:w="2438"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14:paraId="6AF8F6E9" w14:textId="2AC4445B" w:rsidR="00F34AFB" w:rsidRPr="00952C33" w:rsidRDefault="008271DB" w:rsidP="00FB6278">
            <w:pPr>
              <w:pStyle w:val="MEHArial"/>
              <w:rPr>
                <w:sz w:val="22"/>
              </w:rPr>
            </w:pPr>
            <w:r w:rsidRPr="00952C33">
              <w:rPr>
                <w:sz w:val="22"/>
              </w:rPr>
              <w:t>1997</w:t>
            </w:r>
          </w:p>
        </w:tc>
      </w:tr>
      <w:tr w:rsidR="00F34AFB" w:rsidRPr="00E711EE" w14:paraId="2BBFCE25" w14:textId="77777777" w:rsidTr="00B42676">
        <w:trPr>
          <w:trHeight w:val="60"/>
        </w:trPr>
        <w:tc>
          <w:tcPr>
            <w:tcW w:w="6647"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14:paraId="6C6E69C1" w14:textId="77777777" w:rsidR="00F34AFB" w:rsidRPr="00952C33" w:rsidRDefault="00F34AFB" w:rsidP="00FB6278">
            <w:pPr>
              <w:pStyle w:val="MEHArial"/>
              <w:rPr>
                <w:b/>
                <w:sz w:val="22"/>
              </w:rPr>
            </w:pPr>
            <w:r w:rsidRPr="00952C33">
              <w:rPr>
                <w:b/>
                <w:sz w:val="22"/>
              </w:rPr>
              <w:t>TOTAL</w:t>
            </w:r>
          </w:p>
        </w:tc>
        <w:tc>
          <w:tcPr>
            <w:tcW w:w="2438"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14:paraId="62DBF7D7" w14:textId="106CD50D" w:rsidR="00F34AFB" w:rsidRPr="00952C33" w:rsidRDefault="008271DB" w:rsidP="00FB6278">
            <w:pPr>
              <w:pStyle w:val="MEHArial"/>
              <w:rPr>
                <w:b/>
                <w:sz w:val="22"/>
              </w:rPr>
            </w:pPr>
            <w:r w:rsidRPr="00952C33">
              <w:rPr>
                <w:b/>
                <w:sz w:val="22"/>
              </w:rPr>
              <w:t>18,635</w:t>
            </w:r>
          </w:p>
        </w:tc>
      </w:tr>
    </w:tbl>
    <w:p w14:paraId="27D79E3E" w14:textId="77777777" w:rsidR="00F34AFB" w:rsidRPr="00952C33" w:rsidRDefault="00F34AFB" w:rsidP="00FB6278">
      <w:pPr>
        <w:rPr>
          <w:rFonts w:ascii="Arial" w:hAnsi="Arial"/>
          <w:sz w:val="22"/>
        </w:rPr>
      </w:pPr>
    </w:p>
    <w:p w14:paraId="04E4985D" w14:textId="77777777" w:rsidR="00F34AFB" w:rsidRPr="00952C33" w:rsidRDefault="00F34AFB" w:rsidP="00FB6278">
      <w:pPr>
        <w:pStyle w:val="Heading2"/>
        <w:ind w:left="-284"/>
        <w:rPr>
          <w:sz w:val="22"/>
        </w:rPr>
      </w:pPr>
      <w:r w:rsidRPr="00952C33">
        <w:rPr>
          <w:sz w:val="22"/>
        </w:rPr>
        <w:t>Representing our membership</w:t>
      </w:r>
    </w:p>
    <w:p w14:paraId="50B5CD06" w14:textId="445A69F4" w:rsidR="00F34AFB" w:rsidRPr="00952C33" w:rsidRDefault="00F34AFB" w:rsidP="00FB6278">
      <w:pPr>
        <w:pStyle w:val="MEHArial"/>
        <w:ind w:left="-284"/>
        <w:jc w:val="both"/>
        <w:rPr>
          <w:sz w:val="22"/>
        </w:rPr>
      </w:pPr>
      <w:r w:rsidRPr="00952C33">
        <w:rPr>
          <w:sz w:val="22"/>
        </w:rPr>
        <w:t xml:space="preserve">Members are represented by elected patient, public and staff governors on the membership council which meets at least four times a year. Governors participate in a range of activities, such as membership development and engagement, conducting site visits, reviewing quality </w:t>
      </w:r>
      <w:proofErr w:type="gramStart"/>
      <w:r w:rsidRPr="00952C33">
        <w:rPr>
          <w:sz w:val="22"/>
        </w:rPr>
        <w:t>initiatives</w:t>
      </w:r>
      <w:proofErr w:type="gramEnd"/>
      <w:r w:rsidRPr="00952C33">
        <w:rPr>
          <w:sz w:val="22"/>
        </w:rPr>
        <w:t xml:space="preserve"> and attending recruitment panels for </w:t>
      </w:r>
      <w:r w:rsidR="009330EC" w:rsidRPr="00952C33">
        <w:rPr>
          <w:sz w:val="22"/>
        </w:rPr>
        <w:t>non-executive</w:t>
      </w:r>
      <w:r w:rsidRPr="00952C33">
        <w:rPr>
          <w:sz w:val="22"/>
        </w:rPr>
        <w:t xml:space="preserve"> appointments. </w:t>
      </w:r>
    </w:p>
    <w:p w14:paraId="69874395" w14:textId="719161BC" w:rsidR="00F34AFB" w:rsidRPr="00952C33" w:rsidRDefault="00F34AFB" w:rsidP="00FB6278">
      <w:pPr>
        <w:pStyle w:val="MEHArial"/>
        <w:ind w:left="-284"/>
        <w:jc w:val="both"/>
        <w:rPr>
          <w:sz w:val="22"/>
        </w:rPr>
      </w:pPr>
      <w:r w:rsidRPr="00952C33">
        <w:rPr>
          <w:sz w:val="22"/>
        </w:rPr>
        <w:t xml:space="preserve">We draw our public membership from six geographic constituencies, set out in the table above. Any member of the public who lives in one of these areas and is aged 16 years or over can join as a public member. Any patient aged 16 years or over can join the wider patient constituency. Eligible staff will be automatically registered as members and are able to opt out. A member of the trust may cease their membership at any time via the contact below. </w:t>
      </w:r>
    </w:p>
    <w:p w14:paraId="0758F977" w14:textId="2C58D1AD" w:rsidR="002C1240" w:rsidRPr="00952C33" w:rsidRDefault="00F34AFB" w:rsidP="00FB6278">
      <w:pPr>
        <w:pStyle w:val="MEHArial"/>
        <w:ind w:left="-284"/>
        <w:rPr>
          <w:sz w:val="22"/>
          <w:u w:val="single"/>
        </w:rPr>
      </w:pPr>
      <w:r w:rsidRPr="00952C33">
        <w:rPr>
          <w:sz w:val="22"/>
        </w:rPr>
        <w:t xml:space="preserve">Members who want to contact their representative governor or a member of the board should write to: </w:t>
      </w:r>
      <w:r w:rsidR="00CA142B" w:rsidRPr="00952C33">
        <w:rPr>
          <w:rFonts w:cs="Arial"/>
          <w:sz w:val="22"/>
          <w:szCs w:val="22"/>
        </w:rPr>
        <w:t>C</w:t>
      </w:r>
      <w:r w:rsidRPr="00952C33">
        <w:rPr>
          <w:rFonts w:cs="Arial"/>
          <w:sz w:val="22"/>
          <w:szCs w:val="22"/>
        </w:rPr>
        <w:t>ompany</w:t>
      </w:r>
      <w:r w:rsidRPr="00952C33">
        <w:rPr>
          <w:sz w:val="22"/>
        </w:rPr>
        <w:t xml:space="preserve"> secretary, Moorfields Eye Hospital NHS Foundation Trust, 162 City Road, London, EC1V 2PD, email: </w:t>
      </w:r>
      <w:r w:rsidR="00DB1E9C" w:rsidRPr="00952C33">
        <w:rPr>
          <w:sz w:val="22"/>
        </w:rPr>
        <w:t>moorfields.foundation@nhs.net</w:t>
      </w:r>
      <w:r w:rsidRPr="00952C33">
        <w:rPr>
          <w:sz w:val="22"/>
        </w:rPr>
        <w:t xml:space="preserve">. This information is also available on the trust’s website: </w:t>
      </w:r>
      <w:hyperlink r:id="rId25" w:history="1">
        <w:r w:rsidRPr="00952C33">
          <w:rPr>
            <w:rStyle w:val="Hyperlink"/>
            <w:color w:val="auto"/>
            <w:sz w:val="22"/>
          </w:rPr>
          <w:t>www.moorfields.nhs.uk/membership</w:t>
        </w:r>
      </w:hyperlink>
      <w:r w:rsidRPr="00952C33">
        <w:rPr>
          <w:sz w:val="22"/>
        </w:rPr>
        <w:t>.</w:t>
      </w:r>
    </w:p>
    <w:p w14:paraId="669C5562" w14:textId="77777777" w:rsidR="00F34AFB" w:rsidRPr="00952C33" w:rsidRDefault="00F34AFB" w:rsidP="00FB6278">
      <w:pPr>
        <w:pStyle w:val="Heading3"/>
        <w:ind w:left="-284"/>
        <w:rPr>
          <w:sz w:val="22"/>
        </w:rPr>
      </w:pPr>
      <w:r w:rsidRPr="00952C33">
        <w:rPr>
          <w:sz w:val="22"/>
        </w:rPr>
        <w:t>Elections</w:t>
      </w:r>
    </w:p>
    <w:p w14:paraId="16846D4A" w14:textId="3BC583B5" w:rsidR="00F34AFB" w:rsidRPr="00952C33" w:rsidRDefault="00F34AFB" w:rsidP="00FB6278">
      <w:pPr>
        <w:pStyle w:val="MEHArial"/>
        <w:ind w:left="-284"/>
        <w:rPr>
          <w:sz w:val="22"/>
        </w:rPr>
      </w:pPr>
      <w:r w:rsidRPr="00952C33">
        <w:rPr>
          <w:sz w:val="22"/>
        </w:rPr>
        <w:t>Elections were held in March 20</w:t>
      </w:r>
      <w:r w:rsidR="00BE6388" w:rsidRPr="00952C33">
        <w:rPr>
          <w:sz w:val="22"/>
        </w:rPr>
        <w:t>2</w:t>
      </w:r>
      <w:r w:rsidR="00837E98" w:rsidRPr="00952C33">
        <w:rPr>
          <w:sz w:val="22"/>
        </w:rPr>
        <w:t>2</w:t>
      </w:r>
      <w:r w:rsidRPr="00952C33">
        <w:rPr>
          <w:sz w:val="22"/>
        </w:rPr>
        <w:t xml:space="preserve">. The constituencies and outcomes are set out below. </w:t>
      </w: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1548"/>
        <w:gridCol w:w="2438"/>
        <w:gridCol w:w="1927"/>
        <w:gridCol w:w="3158"/>
      </w:tblGrid>
      <w:tr w:rsidR="00F34AFB" w:rsidRPr="00404F86" w14:paraId="7DDB45F8" w14:textId="77777777" w:rsidTr="00C0031B">
        <w:trPr>
          <w:trHeight w:val="424"/>
        </w:trPr>
        <w:tc>
          <w:tcPr>
            <w:tcW w:w="1548" w:type="dxa"/>
            <w:tcBorders>
              <w:top w:val="single" w:sz="18" w:space="0" w:color="000000"/>
              <w:left w:val="single" w:sz="6" w:space="0" w:color="000000"/>
              <w:bottom w:val="single" w:sz="16" w:space="0" w:color="000000"/>
              <w:right w:val="single" w:sz="2" w:space="0" w:color="000000"/>
            </w:tcBorders>
            <w:tcMar>
              <w:top w:w="57" w:type="dxa"/>
              <w:left w:w="80" w:type="dxa"/>
              <w:bottom w:w="57" w:type="dxa"/>
              <w:right w:w="80" w:type="dxa"/>
            </w:tcMar>
            <w:vAlign w:val="center"/>
          </w:tcPr>
          <w:p w14:paraId="2998C8DA" w14:textId="77777777" w:rsidR="00F34AFB" w:rsidRPr="00952C33" w:rsidRDefault="00F34AFB" w:rsidP="00FB6278">
            <w:pPr>
              <w:pStyle w:val="MEHArial"/>
              <w:rPr>
                <w:b/>
                <w:sz w:val="22"/>
              </w:rPr>
            </w:pPr>
            <w:r w:rsidRPr="00952C33">
              <w:rPr>
                <w:b/>
                <w:sz w:val="22"/>
              </w:rPr>
              <w:t>Date</w:t>
            </w:r>
          </w:p>
        </w:tc>
        <w:tc>
          <w:tcPr>
            <w:tcW w:w="2438" w:type="dxa"/>
            <w:tcBorders>
              <w:top w:val="single" w:sz="18" w:space="0" w:color="000000"/>
              <w:left w:val="single" w:sz="2" w:space="0" w:color="000000"/>
              <w:bottom w:val="single" w:sz="16" w:space="0" w:color="000000"/>
              <w:right w:val="single" w:sz="4" w:space="0" w:color="000000"/>
            </w:tcBorders>
            <w:tcMar>
              <w:top w:w="57" w:type="dxa"/>
              <w:left w:w="80" w:type="dxa"/>
              <w:bottom w:w="57" w:type="dxa"/>
              <w:right w:w="80" w:type="dxa"/>
            </w:tcMar>
            <w:vAlign w:val="center"/>
          </w:tcPr>
          <w:p w14:paraId="655E2790" w14:textId="77777777" w:rsidR="00F34AFB" w:rsidRPr="00952C33" w:rsidRDefault="00F34AFB" w:rsidP="00FB6278">
            <w:pPr>
              <w:pStyle w:val="MEHArial"/>
              <w:rPr>
                <w:b/>
                <w:sz w:val="22"/>
              </w:rPr>
            </w:pPr>
            <w:r w:rsidRPr="00952C33">
              <w:rPr>
                <w:b/>
                <w:sz w:val="22"/>
              </w:rPr>
              <w:t>Constituency</w:t>
            </w:r>
          </w:p>
        </w:tc>
        <w:tc>
          <w:tcPr>
            <w:tcW w:w="1927" w:type="dxa"/>
            <w:tcBorders>
              <w:top w:val="single" w:sz="18" w:space="0" w:color="000000"/>
              <w:left w:val="single" w:sz="4" w:space="0" w:color="000000"/>
              <w:bottom w:val="single" w:sz="16" w:space="0" w:color="000000"/>
              <w:right w:val="single" w:sz="4" w:space="0" w:color="000000"/>
            </w:tcBorders>
            <w:tcMar>
              <w:top w:w="57" w:type="dxa"/>
              <w:left w:w="80" w:type="dxa"/>
              <w:bottom w:w="57" w:type="dxa"/>
              <w:right w:w="80" w:type="dxa"/>
            </w:tcMar>
            <w:vAlign w:val="center"/>
          </w:tcPr>
          <w:p w14:paraId="6820AD61" w14:textId="77777777" w:rsidR="00F34AFB" w:rsidRPr="00952C33" w:rsidRDefault="00F34AFB" w:rsidP="00FB6278">
            <w:pPr>
              <w:pStyle w:val="MEHArial"/>
              <w:rPr>
                <w:b/>
                <w:sz w:val="22"/>
              </w:rPr>
            </w:pPr>
            <w:r w:rsidRPr="00952C33">
              <w:rPr>
                <w:b/>
                <w:sz w:val="22"/>
              </w:rPr>
              <w:t>Number of seats</w:t>
            </w:r>
          </w:p>
        </w:tc>
        <w:tc>
          <w:tcPr>
            <w:tcW w:w="3158" w:type="dxa"/>
            <w:tcBorders>
              <w:top w:val="single" w:sz="18" w:space="0" w:color="000000"/>
              <w:left w:val="single" w:sz="4" w:space="0" w:color="000000"/>
              <w:bottom w:val="single" w:sz="16" w:space="0" w:color="000000"/>
              <w:right w:val="single" w:sz="6" w:space="0" w:color="000000"/>
            </w:tcBorders>
            <w:tcMar>
              <w:top w:w="57" w:type="dxa"/>
              <w:left w:w="80" w:type="dxa"/>
              <w:bottom w:w="57" w:type="dxa"/>
              <w:right w:w="80" w:type="dxa"/>
            </w:tcMar>
            <w:vAlign w:val="center"/>
          </w:tcPr>
          <w:p w14:paraId="48A85BEC" w14:textId="77777777" w:rsidR="00F34AFB" w:rsidRPr="00952C33" w:rsidRDefault="00F34AFB" w:rsidP="00FB6278">
            <w:pPr>
              <w:pStyle w:val="MEHArial"/>
              <w:rPr>
                <w:b/>
                <w:sz w:val="22"/>
              </w:rPr>
            </w:pPr>
            <w:r w:rsidRPr="00952C33">
              <w:rPr>
                <w:b/>
                <w:sz w:val="22"/>
              </w:rPr>
              <w:t>Successful candidate(s)</w:t>
            </w:r>
          </w:p>
        </w:tc>
      </w:tr>
      <w:tr w:rsidR="00F34AFB" w:rsidRPr="00404F86" w14:paraId="387739B6" w14:textId="77777777" w:rsidTr="001A205D">
        <w:trPr>
          <w:trHeight w:val="60"/>
        </w:trPr>
        <w:tc>
          <w:tcPr>
            <w:tcW w:w="1548" w:type="dxa"/>
            <w:vMerge w:val="restart"/>
            <w:tcBorders>
              <w:left w:val="single" w:sz="6" w:space="0" w:color="000000"/>
              <w:right w:val="single" w:sz="4" w:space="0" w:color="000000"/>
            </w:tcBorders>
          </w:tcPr>
          <w:p w14:paraId="548DFCB8" w14:textId="77777777" w:rsidR="00C0031B" w:rsidRPr="00952C33" w:rsidRDefault="00C0031B" w:rsidP="00FB6278">
            <w:pPr>
              <w:pStyle w:val="MEHArial"/>
              <w:rPr>
                <w:sz w:val="22"/>
              </w:rPr>
            </w:pPr>
            <w:r w:rsidRPr="00952C33">
              <w:rPr>
                <w:sz w:val="22"/>
              </w:rPr>
              <w:t xml:space="preserve"> </w:t>
            </w:r>
          </w:p>
          <w:p w14:paraId="373F16E3" w14:textId="77777777" w:rsidR="00C0031B" w:rsidRPr="00952C33" w:rsidRDefault="00C0031B" w:rsidP="00FB6278">
            <w:pPr>
              <w:pStyle w:val="MEHArial"/>
              <w:rPr>
                <w:sz w:val="22"/>
              </w:rPr>
            </w:pPr>
          </w:p>
          <w:p w14:paraId="632830EA" w14:textId="3D612023" w:rsidR="00F34AFB" w:rsidRPr="00952C33" w:rsidRDefault="00C0031B" w:rsidP="00FB6278">
            <w:pPr>
              <w:pStyle w:val="MEHArial"/>
              <w:rPr>
                <w:sz w:val="22"/>
              </w:rPr>
            </w:pPr>
            <w:r w:rsidRPr="00952C33">
              <w:rPr>
                <w:sz w:val="22"/>
              </w:rPr>
              <w:t xml:space="preserve"> </w:t>
            </w:r>
            <w:r w:rsidR="00837E98" w:rsidRPr="00952C33">
              <w:rPr>
                <w:sz w:val="22"/>
              </w:rPr>
              <w:t>March 2022</w:t>
            </w:r>
          </w:p>
        </w:tc>
        <w:tc>
          <w:tcPr>
            <w:tcW w:w="2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E97274" w14:textId="3C96865F" w:rsidR="00F34AFB" w:rsidRPr="00952C33" w:rsidRDefault="00837E98" w:rsidP="00FB6278">
            <w:pPr>
              <w:pStyle w:val="MEHArial"/>
              <w:rPr>
                <w:sz w:val="22"/>
              </w:rPr>
            </w:pPr>
            <w:r w:rsidRPr="00952C33">
              <w:rPr>
                <w:sz w:val="22"/>
              </w:rPr>
              <w:t>Staff City Road</w:t>
            </w:r>
          </w:p>
        </w:tc>
        <w:tc>
          <w:tcPr>
            <w:tcW w:w="19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D87FC3" w14:textId="1093AD1C" w:rsidR="00F34AFB" w:rsidRPr="00952C33" w:rsidRDefault="00837E98" w:rsidP="00FB6278">
            <w:pPr>
              <w:pStyle w:val="MEHArial"/>
              <w:rPr>
                <w:sz w:val="22"/>
              </w:rPr>
            </w:pPr>
            <w:r w:rsidRPr="00952C33">
              <w:rPr>
                <w:sz w:val="22"/>
              </w:rPr>
              <w:t>1</w:t>
            </w:r>
          </w:p>
        </w:tc>
        <w:tc>
          <w:tcPr>
            <w:tcW w:w="3158"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14:paraId="19AA61D0" w14:textId="1C432CA7" w:rsidR="00404F86" w:rsidRPr="00952C33" w:rsidRDefault="0076615F" w:rsidP="00FB6278">
            <w:pPr>
              <w:pStyle w:val="MEHArial"/>
              <w:rPr>
                <w:sz w:val="22"/>
              </w:rPr>
            </w:pPr>
            <w:r w:rsidRPr="00952C33">
              <w:rPr>
                <w:sz w:val="22"/>
              </w:rPr>
              <w:t>1</w:t>
            </w:r>
          </w:p>
        </w:tc>
      </w:tr>
      <w:tr w:rsidR="00F34AFB" w:rsidRPr="00404F86" w14:paraId="3333C137" w14:textId="77777777" w:rsidTr="00404F86">
        <w:trPr>
          <w:trHeight w:val="60"/>
        </w:trPr>
        <w:tc>
          <w:tcPr>
            <w:tcW w:w="1548" w:type="dxa"/>
            <w:vMerge/>
            <w:tcBorders>
              <w:left w:val="single" w:sz="6" w:space="0" w:color="000000"/>
              <w:right w:val="single" w:sz="4" w:space="0" w:color="000000"/>
            </w:tcBorders>
          </w:tcPr>
          <w:p w14:paraId="50EDCA17" w14:textId="2F3C9173" w:rsidR="00F34AFB" w:rsidRPr="00952C33" w:rsidRDefault="00F34AFB" w:rsidP="00FB6278">
            <w:pPr>
              <w:pStyle w:val="MEHArial"/>
              <w:rPr>
                <w:sz w:val="22"/>
              </w:rPr>
            </w:pPr>
          </w:p>
        </w:tc>
        <w:tc>
          <w:tcPr>
            <w:tcW w:w="2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6EBF6D" w14:textId="64F752EC" w:rsidR="00F34AFB" w:rsidRPr="00952C33" w:rsidRDefault="00F34AFB" w:rsidP="00FB6278">
            <w:pPr>
              <w:pStyle w:val="MEHArial"/>
              <w:rPr>
                <w:sz w:val="22"/>
              </w:rPr>
            </w:pPr>
            <w:r w:rsidRPr="00952C33">
              <w:rPr>
                <w:sz w:val="22"/>
              </w:rPr>
              <w:t xml:space="preserve">Staff: </w:t>
            </w:r>
            <w:r w:rsidR="00837E98" w:rsidRPr="00952C33">
              <w:rPr>
                <w:sz w:val="22"/>
              </w:rPr>
              <w:t>Network sites</w:t>
            </w:r>
          </w:p>
        </w:tc>
        <w:tc>
          <w:tcPr>
            <w:tcW w:w="19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B2A818" w14:textId="2FCBF574" w:rsidR="00F34AFB" w:rsidRPr="00952C33" w:rsidRDefault="00837E98" w:rsidP="00FB6278">
            <w:pPr>
              <w:pStyle w:val="MEHArial"/>
              <w:rPr>
                <w:sz w:val="22"/>
              </w:rPr>
            </w:pPr>
            <w:r w:rsidRPr="00952C33">
              <w:rPr>
                <w:sz w:val="22"/>
              </w:rPr>
              <w:t>2</w:t>
            </w:r>
          </w:p>
        </w:tc>
        <w:tc>
          <w:tcPr>
            <w:tcW w:w="3158"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14:paraId="5CE75EFC" w14:textId="5814CE32" w:rsidR="00F34AFB" w:rsidRPr="00952C33" w:rsidRDefault="0076615F" w:rsidP="00FB6278">
            <w:pPr>
              <w:pStyle w:val="MEHArial"/>
              <w:rPr>
                <w:sz w:val="22"/>
              </w:rPr>
            </w:pPr>
            <w:r w:rsidRPr="00952C33">
              <w:rPr>
                <w:sz w:val="22"/>
              </w:rPr>
              <w:t>1</w:t>
            </w:r>
          </w:p>
        </w:tc>
      </w:tr>
      <w:tr w:rsidR="00404F86" w:rsidRPr="00404F86" w14:paraId="68ECBE42" w14:textId="77777777" w:rsidTr="00404F86">
        <w:trPr>
          <w:trHeight w:val="60"/>
        </w:trPr>
        <w:tc>
          <w:tcPr>
            <w:tcW w:w="1548" w:type="dxa"/>
            <w:tcBorders>
              <w:left w:val="single" w:sz="6" w:space="0" w:color="000000"/>
              <w:right w:val="single" w:sz="4" w:space="0" w:color="000000"/>
            </w:tcBorders>
          </w:tcPr>
          <w:p w14:paraId="046A9B3E" w14:textId="77777777" w:rsidR="00404F86" w:rsidRPr="00952C33" w:rsidRDefault="00404F86" w:rsidP="00FB6278">
            <w:pPr>
              <w:pStyle w:val="MEHArial"/>
              <w:rPr>
                <w:sz w:val="22"/>
              </w:rPr>
            </w:pPr>
          </w:p>
        </w:tc>
        <w:tc>
          <w:tcPr>
            <w:tcW w:w="2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D25971" w14:textId="63C60C94" w:rsidR="00404F86" w:rsidRPr="00952C33" w:rsidRDefault="00404F86" w:rsidP="00FB6278">
            <w:pPr>
              <w:pStyle w:val="MEHArial"/>
              <w:rPr>
                <w:sz w:val="22"/>
              </w:rPr>
            </w:pPr>
            <w:r w:rsidRPr="00952C33">
              <w:rPr>
                <w:sz w:val="22"/>
              </w:rPr>
              <w:t>Public: NWL</w:t>
            </w:r>
          </w:p>
        </w:tc>
        <w:tc>
          <w:tcPr>
            <w:tcW w:w="19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BDF535" w14:textId="3FDD8459" w:rsidR="00404F86" w:rsidRPr="00952C33" w:rsidRDefault="00404F86" w:rsidP="00FB6278">
            <w:pPr>
              <w:pStyle w:val="MEHArial"/>
              <w:rPr>
                <w:sz w:val="22"/>
              </w:rPr>
            </w:pPr>
            <w:r w:rsidRPr="00952C33">
              <w:rPr>
                <w:sz w:val="22"/>
              </w:rPr>
              <w:t>1</w:t>
            </w:r>
          </w:p>
        </w:tc>
        <w:tc>
          <w:tcPr>
            <w:tcW w:w="3158"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14:paraId="7A74ABB8" w14:textId="6521767E" w:rsidR="00404F86" w:rsidRPr="00952C33" w:rsidRDefault="0076615F" w:rsidP="00FB6278">
            <w:pPr>
              <w:pStyle w:val="MEHArial"/>
              <w:rPr>
                <w:sz w:val="22"/>
              </w:rPr>
            </w:pPr>
            <w:r w:rsidRPr="00952C33">
              <w:rPr>
                <w:sz w:val="22"/>
              </w:rPr>
              <w:t>1</w:t>
            </w:r>
          </w:p>
        </w:tc>
      </w:tr>
      <w:tr w:rsidR="00404F86" w:rsidRPr="00404F86" w14:paraId="23DF9607" w14:textId="77777777" w:rsidTr="00404F86">
        <w:trPr>
          <w:trHeight w:val="60"/>
        </w:trPr>
        <w:tc>
          <w:tcPr>
            <w:tcW w:w="1548" w:type="dxa"/>
            <w:tcBorders>
              <w:left w:val="single" w:sz="6" w:space="0" w:color="000000"/>
              <w:right w:val="single" w:sz="4" w:space="0" w:color="000000"/>
            </w:tcBorders>
          </w:tcPr>
          <w:p w14:paraId="7C8233DC" w14:textId="77777777" w:rsidR="00404F86" w:rsidRPr="00952C33" w:rsidRDefault="00404F86" w:rsidP="00FB6278">
            <w:pPr>
              <w:pStyle w:val="MEHArial"/>
              <w:rPr>
                <w:sz w:val="22"/>
              </w:rPr>
            </w:pPr>
          </w:p>
        </w:tc>
        <w:tc>
          <w:tcPr>
            <w:tcW w:w="2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0C8498" w14:textId="5B88B312" w:rsidR="00404F86" w:rsidRPr="00952C33" w:rsidRDefault="00404F86" w:rsidP="00FB6278">
            <w:pPr>
              <w:pStyle w:val="MEHArial"/>
              <w:rPr>
                <w:sz w:val="22"/>
              </w:rPr>
            </w:pPr>
            <w:r w:rsidRPr="00952C33">
              <w:rPr>
                <w:sz w:val="22"/>
              </w:rPr>
              <w:t>Public: NCL</w:t>
            </w:r>
          </w:p>
        </w:tc>
        <w:tc>
          <w:tcPr>
            <w:tcW w:w="19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4796DB" w14:textId="264A9866" w:rsidR="00404F86" w:rsidRPr="00952C33" w:rsidRDefault="00404F86" w:rsidP="00FB6278">
            <w:pPr>
              <w:pStyle w:val="MEHArial"/>
              <w:rPr>
                <w:sz w:val="22"/>
              </w:rPr>
            </w:pPr>
            <w:r w:rsidRPr="00952C33">
              <w:rPr>
                <w:sz w:val="22"/>
              </w:rPr>
              <w:t>1</w:t>
            </w:r>
          </w:p>
        </w:tc>
        <w:tc>
          <w:tcPr>
            <w:tcW w:w="3158"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14:paraId="7E732F04" w14:textId="061EAE1D" w:rsidR="00404F86" w:rsidRPr="00952C33" w:rsidRDefault="0076615F" w:rsidP="00FB6278">
            <w:pPr>
              <w:pStyle w:val="MEHArial"/>
              <w:rPr>
                <w:sz w:val="22"/>
              </w:rPr>
            </w:pPr>
            <w:r w:rsidRPr="00952C33">
              <w:rPr>
                <w:sz w:val="22"/>
              </w:rPr>
              <w:t>1</w:t>
            </w:r>
          </w:p>
        </w:tc>
      </w:tr>
      <w:tr w:rsidR="00404F86" w:rsidRPr="00404F86" w14:paraId="040569D9" w14:textId="77777777" w:rsidTr="00404F86">
        <w:trPr>
          <w:trHeight w:val="60"/>
        </w:trPr>
        <w:tc>
          <w:tcPr>
            <w:tcW w:w="1548" w:type="dxa"/>
            <w:tcBorders>
              <w:left w:val="single" w:sz="6" w:space="0" w:color="000000"/>
              <w:right w:val="single" w:sz="4" w:space="0" w:color="000000"/>
            </w:tcBorders>
          </w:tcPr>
          <w:p w14:paraId="76681628" w14:textId="77777777" w:rsidR="00404F86" w:rsidRPr="00952C33" w:rsidRDefault="00404F86" w:rsidP="00FB6278">
            <w:pPr>
              <w:pStyle w:val="MEHArial"/>
              <w:rPr>
                <w:sz w:val="22"/>
              </w:rPr>
            </w:pPr>
          </w:p>
        </w:tc>
        <w:tc>
          <w:tcPr>
            <w:tcW w:w="2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270461" w14:textId="303F8123" w:rsidR="00404F86" w:rsidRPr="00952C33" w:rsidRDefault="00404F86" w:rsidP="00FB6278">
            <w:pPr>
              <w:pStyle w:val="MEHArial"/>
              <w:rPr>
                <w:sz w:val="22"/>
              </w:rPr>
            </w:pPr>
            <w:r w:rsidRPr="00952C33">
              <w:rPr>
                <w:sz w:val="22"/>
              </w:rPr>
              <w:t xml:space="preserve">Public: NEL </w:t>
            </w:r>
            <w:r w:rsidR="00CA142B" w:rsidRPr="00952C33">
              <w:rPr>
                <w:sz w:val="22"/>
              </w:rPr>
              <w:t>and</w:t>
            </w:r>
            <w:r w:rsidRPr="00952C33">
              <w:rPr>
                <w:sz w:val="22"/>
              </w:rPr>
              <w:t xml:space="preserve"> Essex</w:t>
            </w:r>
          </w:p>
        </w:tc>
        <w:tc>
          <w:tcPr>
            <w:tcW w:w="19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DFBCD9" w14:textId="104133F0" w:rsidR="00404F86" w:rsidRPr="00952C33" w:rsidRDefault="00404F86" w:rsidP="00FB6278">
            <w:pPr>
              <w:pStyle w:val="MEHArial"/>
              <w:rPr>
                <w:sz w:val="22"/>
              </w:rPr>
            </w:pPr>
            <w:r w:rsidRPr="00952C33">
              <w:rPr>
                <w:sz w:val="22"/>
              </w:rPr>
              <w:t>1</w:t>
            </w:r>
          </w:p>
        </w:tc>
        <w:tc>
          <w:tcPr>
            <w:tcW w:w="3158"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14:paraId="0B5CD934" w14:textId="620A3F16" w:rsidR="00404F86" w:rsidRPr="00952C33" w:rsidRDefault="0076615F" w:rsidP="00FB6278">
            <w:pPr>
              <w:pStyle w:val="MEHArial"/>
              <w:rPr>
                <w:sz w:val="22"/>
              </w:rPr>
            </w:pPr>
            <w:r w:rsidRPr="00952C33">
              <w:rPr>
                <w:sz w:val="22"/>
              </w:rPr>
              <w:t>1</w:t>
            </w:r>
          </w:p>
        </w:tc>
      </w:tr>
      <w:tr w:rsidR="00404F86" w:rsidRPr="00404F86" w14:paraId="5D557832" w14:textId="77777777" w:rsidTr="00837E98">
        <w:trPr>
          <w:trHeight w:val="60"/>
        </w:trPr>
        <w:tc>
          <w:tcPr>
            <w:tcW w:w="1548" w:type="dxa"/>
            <w:tcBorders>
              <w:left w:val="single" w:sz="6" w:space="0" w:color="000000"/>
              <w:right w:val="single" w:sz="4" w:space="0" w:color="000000"/>
            </w:tcBorders>
          </w:tcPr>
          <w:p w14:paraId="5F3D92F5" w14:textId="77777777" w:rsidR="00404F86" w:rsidRPr="00952C33" w:rsidRDefault="00404F86" w:rsidP="00FB6278">
            <w:pPr>
              <w:pStyle w:val="MEHArial"/>
              <w:rPr>
                <w:sz w:val="22"/>
              </w:rPr>
            </w:pPr>
          </w:p>
        </w:tc>
        <w:tc>
          <w:tcPr>
            <w:tcW w:w="2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3BBAC3" w14:textId="6F8210CE" w:rsidR="00404F86" w:rsidRPr="00952C33" w:rsidRDefault="00404F86" w:rsidP="00FB6278">
            <w:pPr>
              <w:pStyle w:val="MEHArial"/>
              <w:rPr>
                <w:sz w:val="22"/>
              </w:rPr>
            </w:pPr>
            <w:r w:rsidRPr="00952C33">
              <w:rPr>
                <w:sz w:val="22"/>
              </w:rPr>
              <w:t>Public: SEL</w:t>
            </w:r>
          </w:p>
        </w:tc>
        <w:tc>
          <w:tcPr>
            <w:tcW w:w="19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78AB0D" w14:textId="6BCBB076" w:rsidR="00404F86" w:rsidRPr="00952C33" w:rsidRDefault="00404F86" w:rsidP="00FB6278">
            <w:pPr>
              <w:pStyle w:val="MEHArial"/>
              <w:rPr>
                <w:sz w:val="22"/>
              </w:rPr>
            </w:pPr>
            <w:r w:rsidRPr="00952C33">
              <w:rPr>
                <w:sz w:val="22"/>
              </w:rPr>
              <w:t>1</w:t>
            </w:r>
          </w:p>
        </w:tc>
        <w:tc>
          <w:tcPr>
            <w:tcW w:w="3158"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14:paraId="5E46CDE3" w14:textId="3E2323CE" w:rsidR="00404F86" w:rsidRPr="00952C33" w:rsidRDefault="0076615F" w:rsidP="00FB6278">
            <w:pPr>
              <w:pStyle w:val="MEHArial"/>
              <w:rPr>
                <w:sz w:val="22"/>
              </w:rPr>
            </w:pPr>
            <w:r w:rsidRPr="00952C33">
              <w:rPr>
                <w:sz w:val="22"/>
              </w:rPr>
              <w:t>1</w:t>
            </w:r>
          </w:p>
        </w:tc>
      </w:tr>
      <w:tr w:rsidR="00837E98" w:rsidRPr="00404F86" w14:paraId="1F0FAEBD" w14:textId="77777777" w:rsidTr="00837E98">
        <w:trPr>
          <w:trHeight w:val="60"/>
        </w:trPr>
        <w:tc>
          <w:tcPr>
            <w:tcW w:w="1548" w:type="dxa"/>
            <w:tcBorders>
              <w:left w:val="single" w:sz="6" w:space="0" w:color="000000"/>
              <w:right w:val="single" w:sz="4" w:space="0" w:color="000000"/>
            </w:tcBorders>
          </w:tcPr>
          <w:p w14:paraId="5DCBF9DC" w14:textId="77777777" w:rsidR="00837E98" w:rsidRPr="00952C33" w:rsidRDefault="00837E98" w:rsidP="00FB6278">
            <w:pPr>
              <w:pStyle w:val="MEHArial"/>
              <w:rPr>
                <w:sz w:val="22"/>
              </w:rPr>
            </w:pPr>
          </w:p>
        </w:tc>
        <w:tc>
          <w:tcPr>
            <w:tcW w:w="2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3D5C0A" w14:textId="30E8B8EE" w:rsidR="00837E98" w:rsidRPr="00952C33" w:rsidRDefault="00837E98" w:rsidP="00FB6278">
            <w:pPr>
              <w:pStyle w:val="MEHArial"/>
              <w:rPr>
                <w:sz w:val="22"/>
              </w:rPr>
            </w:pPr>
            <w:r w:rsidRPr="00952C33">
              <w:rPr>
                <w:sz w:val="22"/>
              </w:rPr>
              <w:t>Public: SWL</w:t>
            </w:r>
          </w:p>
        </w:tc>
        <w:tc>
          <w:tcPr>
            <w:tcW w:w="19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00D3C8" w14:textId="3C59FF2C" w:rsidR="00837E98" w:rsidRPr="00952C33" w:rsidRDefault="00837E98" w:rsidP="00FB6278">
            <w:pPr>
              <w:pStyle w:val="MEHArial"/>
              <w:rPr>
                <w:sz w:val="22"/>
              </w:rPr>
            </w:pPr>
            <w:r w:rsidRPr="00952C33">
              <w:rPr>
                <w:sz w:val="22"/>
              </w:rPr>
              <w:t>2</w:t>
            </w:r>
          </w:p>
        </w:tc>
        <w:tc>
          <w:tcPr>
            <w:tcW w:w="3158"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14:paraId="10C98C15" w14:textId="42CB146E" w:rsidR="00837E98" w:rsidRPr="00952C33" w:rsidRDefault="0076615F" w:rsidP="00FB6278">
            <w:pPr>
              <w:pStyle w:val="MEHArial"/>
              <w:rPr>
                <w:sz w:val="22"/>
              </w:rPr>
            </w:pPr>
            <w:r w:rsidRPr="00952C33">
              <w:rPr>
                <w:sz w:val="22"/>
              </w:rPr>
              <w:t>2</w:t>
            </w:r>
          </w:p>
        </w:tc>
      </w:tr>
      <w:tr w:rsidR="00837E98" w:rsidRPr="00404F86" w14:paraId="357742AA" w14:textId="77777777" w:rsidTr="00C0031B">
        <w:trPr>
          <w:trHeight w:val="60"/>
        </w:trPr>
        <w:tc>
          <w:tcPr>
            <w:tcW w:w="1548" w:type="dxa"/>
            <w:tcBorders>
              <w:left w:val="single" w:sz="6" w:space="0" w:color="000000"/>
              <w:bottom w:val="single" w:sz="4" w:space="0" w:color="auto"/>
              <w:right w:val="single" w:sz="4" w:space="0" w:color="000000"/>
            </w:tcBorders>
          </w:tcPr>
          <w:p w14:paraId="47B0904D" w14:textId="77777777" w:rsidR="00837E98" w:rsidRPr="00952C33" w:rsidRDefault="00837E98" w:rsidP="00FB6278">
            <w:pPr>
              <w:pStyle w:val="MEHArial"/>
              <w:rPr>
                <w:sz w:val="22"/>
              </w:rPr>
            </w:pPr>
          </w:p>
        </w:tc>
        <w:tc>
          <w:tcPr>
            <w:tcW w:w="2438"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5B9CA38D" w14:textId="0F49E5F9" w:rsidR="00837E98" w:rsidRPr="00952C33" w:rsidRDefault="00837E98" w:rsidP="00FB6278">
            <w:pPr>
              <w:pStyle w:val="MEHArial"/>
              <w:rPr>
                <w:sz w:val="22"/>
              </w:rPr>
            </w:pPr>
            <w:r w:rsidRPr="00952C33">
              <w:rPr>
                <w:sz w:val="22"/>
              </w:rPr>
              <w:t xml:space="preserve">Public: Beds </w:t>
            </w:r>
            <w:r w:rsidR="00CA142B" w:rsidRPr="00952C33">
              <w:rPr>
                <w:sz w:val="22"/>
              </w:rPr>
              <w:t>and</w:t>
            </w:r>
            <w:r w:rsidRPr="00952C33">
              <w:rPr>
                <w:sz w:val="22"/>
              </w:rPr>
              <w:t xml:space="preserve"> Herts</w:t>
            </w:r>
          </w:p>
        </w:tc>
        <w:tc>
          <w:tcPr>
            <w:tcW w:w="1927"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233B404D" w14:textId="380FDB52" w:rsidR="00837E98" w:rsidRPr="00952C33" w:rsidRDefault="00837E98" w:rsidP="00FB6278">
            <w:pPr>
              <w:pStyle w:val="MEHArial"/>
              <w:rPr>
                <w:sz w:val="22"/>
              </w:rPr>
            </w:pPr>
            <w:r w:rsidRPr="00952C33">
              <w:rPr>
                <w:sz w:val="22"/>
              </w:rPr>
              <w:t>2</w:t>
            </w:r>
          </w:p>
        </w:tc>
        <w:tc>
          <w:tcPr>
            <w:tcW w:w="3158" w:type="dxa"/>
            <w:tcBorders>
              <w:top w:val="single" w:sz="4" w:space="0" w:color="000000"/>
              <w:left w:val="single" w:sz="4" w:space="0" w:color="000000"/>
              <w:bottom w:val="single" w:sz="4" w:space="0" w:color="auto"/>
              <w:right w:val="single" w:sz="6" w:space="0" w:color="000000"/>
            </w:tcBorders>
            <w:tcMar>
              <w:top w:w="80" w:type="dxa"/>
              <w:left w:w="80" w:type="dxa"/>
              <w:bottom w:w="80" w:type="dxa"/>
              <w:right w:w="80" w:type="dxa"/>
            </w:tcMar>
          </w:tcPr>
          <w:p w14:paraId="331E88EA" w14:textId="03DBA485" w:rsidR="00837E98" w:rsidRPr="00952C33" w:rsidRDefault="0076615F" w:rsidP="00FB6278">
            <w:pPr>
              <w:pStyle w:val="MEHArial"/>
              <w:rPr>
                <w:sz w:val="22"/>
              </w:rPr>
            </w:pPr>
            <w:r w:rsidRPr="00952C33">
              <w:rPr>
                <w:sz w:val="22"/>
              </w:rPr>
              <w:t>2</w:t>
            </w:r>
          </w:p>
        </w:tc>
      </w:tr>
    </w:tbl>
    <w:p w14:paraId="78542F83" w14:textId="1745C270" w:rsidR="00F34AFB" w:rsidRPr="00952C33" w:rsidRDefault="001A205D" w:rsidP="00FB6278">
      <w:pPr>
        <w:rPr>
          <w:rFonts w:ascii="Arial" w:hAnsi="Arial"/>
          <w:sz w:val="22"/>
        </w:rPr>
      </w:pPr>
      <w:r w:rsidRPr="00952C33">
        <w:rPr>
          <w:rFonts w:ascii="Arial" w:hAnsi="Arial"/>
          <w:sz w:val="22"/>
        </w:rPr>
        <w:br/>
      </w:r>
    </w:p>
    <w:p w14:paraId="059D18D5" w14:textId="77777777" w:rsidR="007A0F2F" w:rsidRDefault="007A0F2F" w:rsidP="00FB6278">
      <w:pPr>
        <w:pStyle w:val="MEHArial"/>
        <w:ind w:left="-284"/>
        <w:jc w:val="both"/>
        <w:rPr>
          <w:sz w:val="22"/>
        </w:rPr>
      </w:pPr>
    </w:p>
    <w:p w14:paraId="6A43D07B" w14:textId="77777777" w:rsidR="007A0F2F" w:rsidRDefault="007A0F2F" w:rsidP="00FB6278">
      <w:pPr>
        <w:pStyle w:val="MEHArial"/>
        <w:ind w:left="-284"/>
        <w:jc w:val="both"/>
        <w:rPr>
          <w:sz w:val="22"/>
        </w:rPr>
      </w:pPr>
    </w:p>
    <w:p w14:paraId="41AF28E9" w14:textId="77777777" w:rsidR="007A0F2F" w:rsidRDefault="007A0F2F" w:rsidP="00FB6278">
      <w:pPr>
        <w:pStyle w:val="MEHArial"/>
        <w:ind w:left="-284"/>
        <w:jc w:val="both"/>
        <w:rPr>
          <w:sz w:val="22"/>
        </w:rPr>
      </w:pPr>
    </w:p>
    <w:p w14:paraId="50FEAC54" w14:textId="77777777" w:rsidR="007A0F2F" w:rsidRDefault="007A0F2F" w:rsidP="00FB6278">
      <w:pPr>
        <w:pStyle w:val="MEHArial"/>
        <w:ind w:left="-284"/>
        <w:jc w:val="both"/>
        <w:rPr>
          <w:sz w:val="22"/>
        </w:rPr>
      </w:pPr>
    </w:p>
    <w:p w14:paraId="7BB2E5CE" w14:textId="77777777" w:rsidR="007A0F2F" w:rsidRDefault="007A0F2F" w:rsidP="00FB6278">
      <w:pPr>
        <w:pStyle w:val="MEHArial"/>
        <w:ind w:left="-284"/>
        <w:jc w:val="both"/>
        <w:rPr>
          <w:sz w:val="22"/>
        </w:rPr>
      </w:pPr>
    </w:p>
    <w:p w14:paraId="0C090710" w14:textId="77777777" w:rsidR="007A0F2F" w:rsidRDefault="007A0F2F" w:rsidP="00FB6278">
      <w:pPr>
        <w:pStyle w:val="MEHArial"/>
        <w:ind w:left="-284"/>
        <w:jc w:val="both"/>
        <w:rPr>
          <w:sz w:val="22"/>
        </w:rPr>
      </w:pPr>
    </w:p>
    <w:p w14:paraId="5DB1F611" w14:textId="77777777" w:rsidR="007A0F2F" w:rsidRDefault="007A0F2F" w:rsidP="00FB6278">
      <w:pPr>
        <w:pStyle w:val="MEHArial"/>
        <w:ind w:left="-284"/>
        <w:jc w:val="both"/>
        <w:rPr>
          <w:sz w:val="22"/>
        </w:rPr>
      </w:pPr>
    </w:p>
    <w:p w14:paraId="22C87C1C" w14:textId="77777777" w:rsidR="007A0F2F" w:rsidRDefault="007A0F2F" w:rsidP="00FB6278">
      <w:pPr>
        <w:pStyle w:val="MEHArial"/>
        <w:ind w:left="-284"/>
        <w:jc w:val="both"/>
        <w:rPr>
          <w:sz w:val="22"/>
        </w:rPr>
      </w:pPr>
    </w:p>
    <w:p w14:paraId="5BE9E339" w14:textId="77777777" w:rsidR="007A0F2F" w:rsidRDefault="007A0F2F" w:rsidP="00FB6278">
      <w:pPr>
        <w:pStyle w:val="MEHArial"/>
        <w:ind w:left="-284"/>
        <w:jc w:val="both"/>
        <w:rPr>
          <w:sz w:val="22"/>
        </w:rPr>
      </w:pPr>
    </w:p>
    <w:p w14:paraId="13231F69" w14:textId="77777777" w:rsidR="007A0F2F" w:rsidRDefault="007A0F2F" w:rsidP="00FB6278">
      <w:pPr>
        <w:pStyle w:val="MEHArial"/>
        <w:ind w:left="-284"/>
        <w:jc w:val="both"/>
        <w:rPr>
          <w:sz w:val="22"/>
        </w:rPr>
      </w:pPr>
    </w:p>
    <w:p w14:paraId="532D8F95" w14:textId="77777777" w:rsidR="007A0F2F" w:rsidRDefault="007A0F2F" w:rsidP="00FB6278">
      <w:pPr>
        <w:pStyle w:val="MEHArial"/>
        <w:ind w:left="-284"/>
        <w:jc w:val="both"/>
        <w:rPr>
          <w:sz w:val="22"/>
        </w:rPr>
      </w:pPr>
    </w:p>
    <w:p w14:paraId="53C17BD5" w14:textId="77777777" w:rsidR="007A0F2F" w:rsidRDefault="007A0F2F" w:rsidP="00FB6278">
      <w:pPr>
        <w:pStyle w:val="MEHArial"/>
        <w:ind w:left="-284"/>
        <w:jc w:val="both"/>
        <w:rPr>
          <w:sz w:val="22"/>
        </w:rPr>
      </w:pPr>
    </w:p>
    <w:p w14:paraId="233FD7CF" w14:textId="77777777" w:rsidR="007A0F2F" w:rsidRDefault="007A0F2F" w:rsidP="00FB6278">
      <w:pPr>
        <w:pStyle w:val="MEHArial"/>
        <w:ind w:left="-284"/>
        <w:jc w:val="both"/>
        <w:rPr>
          <w:sz w:val="22"/>
        </w:rPr>
      </w:pPr>
    </w:p>
    <w:p w14:paraId="16900A53" w14:textId="77777777" w:rsidR="007A0F2F" w:rsidRDefault="007A0F2F" w:rsidP="00FB6278">
      <w:pPr>
        <w:pStyle w:val="MEHArial"/>
        <w:ind w:left="-284"/>
        <w:jc w:val="both"/>
        <w:rPr>
          <w:sz w:val="22"/>
        </w:rPr>
      </w:pPr>
    </w:p>
    <w:p w14:paraId="2C6A873B" w14:textId="77777777" w:rsidR="007A0F2F" w:rsidRDefault="007A0F2F" w:rsidP="00FB6278">
      <w:pPr>
        <w:pStyle w:val="MEHArial"/>
        <w:ind w:left="-284"/>
        <w:jc w:val="both"/>
        <w:rPr>
          <w:sz w:val="22"/>
        </w:rPr>
      </w:pPr>
    </w:p>
    <w:p w14:paraId="5C743FEF" w14:textId="60941806" w:rsidR="00DB6AA0" w:rsidRPr="00952C33" w:rsidRDefault="00DB6AA0" w:rsidP="00FB6278">
      <w:pPr>
        <w:pStyle w:val="MEHArial"/>
        <w:ind w:left="-284"/>
        <w:jc w:val="both"/>
        <w:rPr>
          <w:sz w:val="22"/>
        </w:rPr>
      </w:pPr>
      <w:r w:rsidRPr="00952C33">
        <w:rPr>
          <w:sz w:val="22"/>
        </w:rPr>
        <w:t xml:space="preserve">If a successfully elected governor is unable or ineligible to take up their role at the start of their term of office, the vacancy is offered to the next placed candidate. </w:t>
      </w:r>
    </w:p>
    <w:p w14:paraId="45C0E910" w14:textId="5B0C1DB7" w:rsidR="00F34AFB" w:rsidRPr="00952C33" w:rsidRDefault="00F34AFB" w:rsidP="00FB6278">
      <w:pPr>
        <w:pStyle w:val="MEHArial"/>
        <w:ind w:left="-284"/>
        <w:jc w:val="both"/>
        <w:rPr>
          <w:sz w:val="22"/>
        </w:rPr>
      </w:pPr>
      <w:r w:rsidRPr="00952C33">
        <w:rPr>
          <w:sz w:val="22"/>
        </w:rPr>
        <w:t>Full details of the composition of the membership council from 1 April 20</w:t>
      </w:r>
      <w:r w:rsidR="00BE6388" w:rsidRPr="00952C33">
        <w:rPr>
          <w:sz w:val="22"/>
        </w:rPr>
        <w:t>2</w:t>
      </w:r>
      <w:r w:rsidR="00C93EF7" w:rsidRPr="00952C33">
        <w:rPr>
          <w:sz w:val="22"/>
        </w:rPr>
        <w:t>2</w:t>
      </w:r>
      <w:r w:rsidRPr="00952C33">
        <w:rPr>
          <w:sz w:val="22"/>
        </w:rPr>
        <w:t xml:space="preserve"> and of election results are posted on our website at </w:t>
      </w:r>
      <w:hyperlink r:id="rId26" w:history="1">
        <w:r w:rsidRPr="00952C33">
          <w:rPr>
            <w:rStyle w:val="Hyperlink"/>
            <w:sz w:val="22"/>
          </w:rPr>
          <w:t>www.moorfields.nhs.uk/membership</w:t>
        </w:r>
      </w:hyperlink>
      <w:r w:rsidRPr="00952C33">
        <w:rPr>
          <w:sz w:val="22"/>
        </w:rPr>
        <w:t xml:space="preserve">. </w:t>
      </w:r>
    </w:p>
    <w:p w14:paraId="14B9D764" w14:textId="20D34D1E" w:rsidR="00F34AFB" w:rsidRPr="00952C33" w:rsidRDefault="00F34AFB" w:rsidP="00FB6278">
      <w:pPr>
        <w:pStyle w:val="MEHArial"/>
        <w:ind w:left="-284"/>
        <w:jc w:val="both"/>
        <w:rPr>
          <w:sz w:val="22"/>
        </w:rPr>
      </w:pPr>
      <w:r w:rsidRPr="00952C33">
        <w:rPr>
          <w:sz w:val="22"/>
        </w:rPr>
        <w:lastRenderedPageBreak/>
        <w:t xml:space="preserve">All elections are held in accordance with the election rules set out in the constitution. This has been confirmed by the returning officer for the elections held during </w:t>
      </w:r>
      <w:r w:rsidR="00C93EF7" w:rsidRPr="00952C33">
        <w:rPr>
          <w:sz w:val="22"/>
        </w:rPr>
        <w:t>2021/22</w:t>
      </w:r>
      <w:r w:rsidRPr="00952C33">
        <w:rPr>
          <w:sz w:val="22"/>
        </w:rPr>
        <w:t>.</w:t>
      </w:r>
    </w:p>
    <w:p w14:paraId="3888E33B" w14:textId="6670A67F" w:rsidR="00F34AFB" w:rsidRPr="00952C33" w:rsidRDefault="00F34AFB" w:rsidP="00FB6278">
      <w:pPr>
        <w:pStyle w:val="Heading3"/>
        <w:ind w:left="-284"/>
        <w:rPr>
          <w:sz w:val="22"/>
        </w:rPr>
      </w:pPr>
      <w:r w:rsidRPr="00952C33">
        <w:rPr>
          <w:sz w:val="22"/>
        </w:rPr>
        <w:t xml:space="preserve">Compliance with the </w:t>
      </w:r>
      <w:r w:rsidR="00CA142B" w:rsidRPr="00952C33">
        <w:rPr>
          <w:rFonts w:cs="Arial"/>
          <w:sz w:val="22"/>
          <w:szCs w:val="22"/>
        </w:rPr>
        <w:t>F</w:t>
      </w:r>
      <w:r w:rsidRPr="00952C33">
        <w:rPr>
          <w:rFonts w:cs="Arial"/>
          <w:sz w:val="22"/>
          <w:szCs w:val="22"/>
        </w:rPr>
        <w:t xml:space="preserve">oundation </w:t>
      </w:r>
      <w:r w:rsidR="00CA142B" w:rsidRPr="00952C33">
        <w:rPr>
          <w:rFonts w:cs="Arial"/>
          <w:sz w:val="22"/>
          <w:szCs w:val="22"/>
        </w:rPr>
        <w:t>T</w:t>
      </w:r>
      <w:r w:rsidRPr="00952C33">
        <w:rPr>
          <w:rFonts w:cs="Arial"/>
          <w:sz w:val="22"/>
          <w:szCs w:val="22"/>
        </w:rPr>
        <w:t>rust</w:t>
      </w:r>
      <w:r w:rsidRPr="00952C33">
        <w:rPr>
          <w:sz w:val="22"/>
        </w:rPr>
        <w:t xml:space="preserve"> code of governance</w:t>
      </w:r>
    </w:p>
    <w:p w14:paraId="08FBA2D0" w14:textId="389CD1F9" w:rsidR="00F34AFB" w:rsidRDefault="00F34AFB" w:rsidP="00FB6278">
      <w:pPr>
        <w:ind w:left="-284"/>
        <w:jc w:val="both"/>
        <w:rPr>
          <w:rFonts w:ascii="Arial" w:hAnsi="Arial"/>
          <w:sz w:val="22"/>
        </w:rPr>
      </w:pPr>
      <w:r w:rsidRPr="00952C33">
        <w:rPr>
          <w:rFonts w:ascii="Arial" w:hAnsi="Arial"/>
          <w:sz w:val="22"/>
        </w:rPr>
        <w:t xml:space="preserve">Moorfields Eye Hospital NHS Foundation Trust has applied the principles of the NHS </w:t>
      </w:r>
      <w:r w:rsidR="00CA142B" w:rsidRPr="00952C33">
        <w:rPr>
          <w:rFonts w:ascii="Arial" w:hAnsi="Arial" w:cs="Arial"/>
          <w:bCs/>
          <w:iCs/>
          <w:sz w:val="22"/>
          <w:szCs w:val="22"/>
        </w:rPr>
        <w:t>F</w:t>
      </w:r>
      <w:r w:rsidRPr="00952C33">
        <w:rPr>
          <w:rFonts w:ascii="Arial" w:hAnsi="Arial" w:cs="Arial"/>
          <w:bCs/>
          <w:iCs/>
          <w:sz w:val="22"/>
          <w:szCs w:val="22"/>
        </w:rPr>
        <w:t xml:space="preserve">oundation </w:t>
      </w:r>
      <w:r w:rsidR="00CA142B" w:rsidRPr="00952C33">
        <w:rPr>
          <w:rFonts w:ascii="Arial" w:hAnsi="Arial" w:cs="Arial"/>
          <w:bCs/>
          <w:iCs/>
          <w:sz w:val="22"/>
          <w:szCs w:val="22"/>
        </w:rPr>
        <w:t>T</w:t>
      </w:r>
      <w:r w:rsidRPr="00952C33">
        <w:rPr>
          <w:rFonts w:ascii="Arial" w:hAnsi="Arial" w:cs="Arial"/>
          <w:bCs/>
          <w:iCs/>
          <w:sz w:val="22"/>
          <w:szCs w:val="22"/>
        </w:rPr>
        <w:t>rust</w:t>
      </w:r>
      <w:r w:rsidRPr="00952C33">
        <w:rPr>
          <w:rFonts w:ascii="Arial" w:hAnsi="Arial"/>
          <w:sz w:val="22"/>
        </w:rPr>
        <w:t xml:space="preserve"> code of governance on a ‘comply or explain’ basis. The NHS </w:t>
      </w:r>
      <w:r w:rsidR="00CA142B" w:rsidRPr="00952C33">
        <w:rPr>
          <w:rFonts w:ascii="Arial" w:hAnsi="Arial" w:cs="Arial"/>
          <w:bCs/>
          <w:iCs/>
          <w:sz w:val="22"/>
          <w:szCs w:val="22"/>
        </w:rPr>
        <w:t>F</w:t>
      </w:r>
      <w:r w:rsidRPr="00952C33">
        <w:rPr>
          <w:rFonts w:ascii="Arial" w:hAnsi="Arial" w:cs="Arial"/>
          <w:bCs/>
          <w:iCs/>
          <w:sz w:val="22"/>
          <w:szCs w:val="22"/>
        </w:rPr>
        <w:t xml:space="preserve">oundation </w:t>
      </w:r>
      <w:r w:rsidR="00CA142B" w:rsidRPr="00952C33">
        <w:rPr>
          <w:rFonts w:ascii="Arial" w:hAnsi="Arial" w:cs="Arial"/>
          <w:bCs/>
          <w:iCs/>
          <w:sz w:val="22"/>
          <w:szCs w:val="22"/>
        </w:rPr>
        <w:t>T</w:t>
      </w:r>
      <w:r w:rsidRPr="00952C33">
        <w:rPr>
          <w:rFonts w:ascii="Arial" w:hAnsi="Arial" w:cs="Arial"/>
          <w:bCs/>
          <w:iCs/>
          <w:sz w:val="22"/>
          <w:szCs w:val="22"/>
        </w:rPr>
        <w:t>rust</w:t>
      </w:r>
      <w:r w:rsidRPr="00952C33">
        <w:rPr>
          <w:rFonts w:ascii="Arial" w:hAnsi="Arial"/>
          <w:sz w:val="22"/>
        </w:rPr>
        <w:t xml:space="preserve"> code of governance was revised in July 2014 and is based on the principles of the UK corporate g</w:t>
      </w:r>
      <w:r w:rsidR="00C74F5E" w:rsidRPr="00952C33">
        <w:rPr>
          <w:rFonts w:ascii="Arial" w:hAnsi="Arial"/>
          <w:sz w:val="22"/>
        </w:rPr>
        <w:t xml:space="preserve">overnance code issued in 2012. </w:t>
      </w:r>
      <w:r w:rsidRPr="00952C33">
        <w:rPr>
          <w:rFonts w:ascii="Arial" w:hAnsi="Arial"/>
          <w:sz w:val="22"/>
        </w:rPr>
        <w:t>The Board of Directors support and agree with the principles set out in the NHS foundation trust code of governance. The following areas have been identified as non-compliant with the code, or are in the process of being implemented:</w:t>
      </w:r>
    </w:p>
    <w:p w14:paraId="733016B2" w14:textId="16E39152" w:rsidR="003F407E" w:rsidRDefault="003F407E" w:rsidP="00FB6278">
      <w:pPr>
        <w:ind w:left="-284"/>
        <w:jc w:val="both"/>
        <w:rPr>
          <w:rFonts w:ascii="Arial" w:hAnsi="Arial"/>
          <w:sz w:val="22"/>
        </w:rPr>
      </w:pPr>
    </w:p>
    <w:p w14:paraId="27E177B2" w14:textId="77777777" w:rsidR="003F407E" w:rsidRPr="00952C33" w:rsidRDefault="003F407E" w:rsidP="003F407E">
      <w:pPr>
        <w:ind w:left="-284"/>
        <w:jc w:val="both"/>
        <w:rPr>
          <w:rFonts w:ascii="Arial" w:hAnsi="Arial"/>
          <w:sz w:val="22"/>
        </w:rPr>
      </w:pPr>
      <w:r>
        <w:rPr>
          <w:rFonts w:ascii="Arial" w:hAnsi="Arial"/>
          <w:sz w:val="22"/>
        </w:rPr>
        <w:t xml:space="preserve">The procedure for resolving conflicts between the Board of Directors and the Membership Council is outlined at section 17 of the trust’s constitution. </w:t>
      </w:r>
    </w:p>
    <w:p w14:paraId="38A1BEE2" w14:textId="77777777" w:rsidR="00F34AFB" w:rsidRPr="00952C33" w:rsidRDefault="00F34AFB" w:rsidP="00FB6278">
      <w:pPr>
        <w:ind w:left="-284"/>
        <w:rPr>
          <w:rFonts w:ascii="Arial" w:hAnsi="Arial"/>
          <w:sz w:val="22"/>
        </w:rPr>
      </w:pPr>
    </w:p>
    <w:p w14:paraId="3024BC38" w14:textId="30313D63" w:rsidR="00F34AFB" w:rsidRPr="00952C33" w:rsidRDefault="00777F4F" w:rsidP="00FB6278">
      <w:pPr>
        <w:ind w:left="-284"/>
        <w:rPr>
          <w:rFonts w:ascii="Arial" w:hAnsi="Arial"/>
          <w:b/>
          <w:sz w:val="22"/>
        </w:rPr>
      </w:pPr>
      <w:r w:rsidRPr="00952C33">
        <w:rPr>
          <w:rFonts w:ascii="Arial" w:hAnsi="Arial"/>
          <w:b/>
          <w:sz w:val="22"/>
        </w:rPr>
        <w:t>Areas of non-compliance</w:t>
      </w:r>
    </w:p>
    <w:p w14:paraId="572226EE" w14:textId="5B7B46F4" w:rsidR="00A60CF6" w:rsidRDefault="00F34AFB" w:rsidP="00FB6278">
      <w:pPr>
        <w:ind w:left="-284"/>
        <w:jc w:val="both"/>
        <w:rPr>
          <w:rFonts w:ascii="Arial" w:hAnsi="Arial"/>
          <w:sz w:val="22"/>
        </w:rPr>
      </w:pPr>
      <w:r w:rsidRPr="00952C33">
        <w:rPr>
          <w:rFonts w:ascii="Arial" w:hAnsi="Arial"/>
          <w:sz w:val="22"/>
        </w:rPr>
        <w:t>The code refers to the appointment of executive directors that should be on fixed term arrangements and reviewed every five years. All executive directors have permanent contracts of employment which cannot be changed without agreement by both parties.</w:t>
      </w:r>
      <w:r w:rsidR="00BE6388" w:rsidRPr="00952C33">
        <w:rPr>
          <w:rFonts w:ascii="Arial" w:hAnsi="Arial"/>
          <w:sz w:val="22"/>
        </w:rPr>
        <w:t xml:space="preserve"> </w:t>
      </w:r>
    </w:p>
    <w:p w14:paraId="235DE059" w14:textId="63748AC6" w:rsidR="007A310A" w:rsidRDefault="007A310A" w:rsidP="00FB6278">
      <w:pPr>
        <w:ind w:left="-284"/>
        <w:jc w:val="both"/>
        <w:rPr>
          <w:rFonts w:ascii="Arial" w:hAnsi="Arial"/>
          <w:sz w:val="22"/>
        </w:rPr>
      </w:pPr>
    </w:p>
    <w:p w14:paraId="63D0734B" w14:textId="77777777" w:rsidR="007A310A" w:rsidRPr="00CF1FA1" w:rsidRDefault="007A310A" w:rsidP="00CF1FA1">
      <w:pPr>
        <w:ind w:left="-284"/>
        <w:rPr>
          <w:rFonts w:ascii="Arial" w:hAnsi="Arial"/>
          <w:b/>
          <w:sz w:val="22"/>
        </w:rPr>
      </w:pPr>
      <w:r w:rsidRPr="00CF1FA1">
        <w:rPr>
          <w:rFonts w:ascii="Arial" w:hAnsi="Arial"/>
          <w:b/>
          <w:sz w:val="22"/>
        </w:rPr>
        <w:t>NHS oversight framework</w:t>
      </w:r>
    </w:p>
    <w:p w14:paraId="4EE3DDDC" w14:textId="77777777" w:rsidR="007A310A" w:rsidRPr="00CF1FA1" w:rsidRDefault="007A310A" w:rsidP="00CF1FA1">
      <w:pPr>
        <w:ind w:left="-284"/>
        <w:rPr>
          <w:rFonts w:ascii="Arial" w:hAnsi="Arial"/>
          <w:bCs/>
          <w:sz w:val="22"/>
        </w:rPr>
      </w:pPr>
      <w:r w:rsidRPr="00CF1FA1">
        <w:rPr>
          <w:rFonts w:ascii="Arial" w:hAnsi="Arial"/>
          <w:bCs/>
          <w:sz w:val="22"/>
        </w:rPr>
        <w:t>NHS England and Improvement’s oversight framework provides the framework for overseeing providers and identifying potential support needs. The framework looks at five themes:</w:t>
      </w:r>
    </w:p>
    <w:p w14:paraId="16C3240E" w14:textId="77777777" w:rsidR="007A310A" w:rsidRPr="00CF1FA1" w:rsidRDefault="007A310A" w:rsidP="00CF1FA1">
      <w:pPr>
        <w:ind w:left="-284"/>
        <w:rPr>
          <w:rFonts w:ascii="Arial" w:hAnsi="Arial"/>
          <w:bCs/>
          <w:sz w:val="22"/>
        </w:rPr>
      </w:pPr>
    </w:p>
    <w:p w14:paraId="574AEC79" w14:textId="77777777" w:rsidR="007A310A" w:rsidRPr="00CF1FA1" w:rsidRDefault="007A310A" w:rsidP="00CF1FA1">
      <w:pPr>
        <w:pStyle w:val="ListParagraph"/>
        <w:numPr>
          <w:ilvl w:val="0"/>
          <w:numId w:val="46"/>
        </w:numPr>
        <w:rPr>
          <w:rFonts w:ascii="Arial" w:hAnsi="Arial"/>
          <w:bCs/>
          <w:sz w:val="22"/>
        </w:rPr>
      </w:pPr>
      <w:r w:rsidRPr="00CF1FA1">
        <w:rPr>
          <w:rFonts w:ascii="Arial" w:hAnsi="Arial"/>
          <w:bCs/>
          <w:sz w:val="22"/>
        </w:rPr>
        <w:t>quality of care</w:t>
      </w:r>
    </w:p>
    <w:p w14:paraId="705ED16B" w14:textId="77777777" w:rsidR="007A310A" w:rsidRPr="00CF1FA1" w:rsidRDefault="007A310A" w:rsidP="00CF1FA1">
      <w:pPr>
        <w:pStyle w:val="ListParagraph"/>
        <w:numPr>
          <w:ilvl w:val="0"/>
          <w:numId w:val="46"/>
        </w:numPr>
        <w:rPr>
          <w:rFonts w:ascii="Arial" w:hAnsi="Arial"/>
          <w:bCs/>
          <w:sz w:val="22"/>
        </w:rPr>
      </w:pPr>
      <w:r w:rsidRPr="00CF1FA1">
        <w:rPr>
          <w:rFonts w:ascii="Arial" w:hAnsi="Arial"/>
          <w:bCs/>
          <w:sz w:val="22"/>
        </w:rPr>
        <w:t>finance and use of resources</w:t>
      </w:r>
    </w:p>
    <w:p w14:paraId="0094F28E" w14:textId="77777777" w:rsidR="007A310A" w:rsidRPr="00CF1FA1" w:rsidRDefault="007A310A" w:rsidP="00CF1FA1">
      <w:pPr>
        <w:pStyle w:val="ListParagraph"/>
        <w:numPr>
          <w:ilvl w:val="0"/>
          <w:numId w:val="46"/>
        </w:numPr>
        <w:rPr>
          <w:rFonts w:ascii="Arial" w:hAnsi="Arial"/>
          <w:bCs/>
          <w:sz w:val="22"/>
        </w:rPr>
      </w:pPr>
      <w:r w:rsidRPr="00CF1FA1">
        <w:rPr>
          <w:rFonts w:ascii="Arial" w:hAnsi="Arial"/>
          <w:bCs/>
          <w:sz w:val="22"/>
        </w:rPr>
        <w:t>operational performance</w:t>
      </w:r>
    </w:p>
    <w:p w14:paraId="6D29EEA6" w14:textId="77777777" w:rsidR="007A310A" w:rsidRPr="00CF1FA1" w:rsidRDefault="007A310A" w:rsidP="00CF1FA1">
      <w:pPr>
        <w:pStyle w:val="ListParagraph"/>
        <w:numPr>
          <w:ilvl w:val="0"/>
          <w:numId w:val="46"/>
        </w:numPr>
        <w:rPr>
          <w:rFonts w:ascii="Arial" w:hAnsi="Arial"/>
          <w:bCs/>
          <w:sz w:val="22"/>
        </w:rPr>
      </w:pPr>
      <w:r w:rsidRPr="00CF1FA1">
        <w:rPr>
          <w:rFonts w:ascii="Arial" w:hAnsi="Arial"/>
          <w:bCs/>
          <w:sz w:val="22"/>
        </w:rPr>
        <w:t>strategic change</w:t>
      </w:r>
    </w:p>
    <w:p w14:paraId="7CB557EE" w14:textId="77777777" w:rsidR="007A310A" w:rsidRPr="00CF1FA1" w:rsidRDefault="007A310A" w:rsidP="00CF1FA1">
      <w:pPr>
        <w:pStyle w:val="ListParagraph"/>
        <w:numPr>
          <w:ilvl w:val="0"/>
          <w:numId w:val="46"/>
        </w:numPr>
        <w:rPr>
          <w:rFonts w:ascii="Arial" w:hAnsi="Arial"/>
          <w:bCs/>
          <w:sz w:val="22"/>
        </w:rPr>
      </w:pPr>
      <w:r w:rsidRPr="00CF1FA1">
        <w:rPr>
          <w:rFonts w:ascii="Arial" w:hAnsi="Arial"/>
          <w:bCs/>
          <w:sz w:val="22"/>
        </w:rPr>
        <w:t>leadership and improvement capability (well-led)</w:t>
      </w:r>
    </w:p>
    <w:p w14:paraId="53FB33FB" w14:textId="77777777" w:rsidR="007A310A" w:rsidRPr="00CF1FA1" w:rsidRDefault="007A310A" w:rsidP="00CF1FA1">
      <w:pPr>
        <w:ind w:left="-284"/>
        <w:rPr>
          <w:rFonts w:ascii="Arial" w:hAnsi="Arial"/>
          <w:bCs/>
          <w:sz w:val="22"/>
        </w:rPr>
      </w:pPr>
    </w:p>
    <w:p w14:paraId="3699E511" w14:textId="77777777" w:rsidR="00CF1FA1" w:rsidRDefault="007A310A" w:rsidP="00CF1FA1">
      <w:pPr>
        <w:ind w:left="-284"/>
        <w:rPr>
          <w:rFonts w:ascii="Arial" w:hAnsi="Arial"/>
          <w:bCs/>
          <w:sz w:val="22"/>
        </w:rPr>
      </w:pPr>
      <w:r w:rsidRPr="00CF1FA1">
        <w:rPr>
          <w:rFonts w:ascii="Arial" w:hAnsi="Arial"/>
          <w:bCs/>
          <w:sz w:val="22"/>
        </w:rPr>
        <w:t xml:space="preserve">Based on information from these themes, providers are segmented from 1 to 4, where 4 reflects providers receiving the most support, and 1 reflects providers with maximum autonomy. A foundation trust will only be in segments 3 or 4 where it has been found to be in breach, or suspected breach, of its licence. We are currently in segment 2. </w:t>
      </w:r>
    </w:p>
    <w:p w14:paraId="0E596107" w14:textId="77777777" w:rsidR="00CF1FA1" w:rsidRDefault="00CF1FA1" w:rsidP="00CF1FA1">
      <w:pPr>
        <w:ind w:left="-284"/>
        <w:rPr>
          <w:rFonts w:ascii="Arial" w:hAnsi="Arial"/>
          <w:bCs/>
          <w:sz w:val="22"/>
        </w:rPr>
      </w:pPr>
    </w:p>
    <w:p w14:paraId="53100384" w14:textId="006B65FF" w:rsidR="00C74F5E" w:rsidRPr="00CF1FA1" w:rsidRDefault="00C74F5E" w:rsidP="00CF1FA1">
      <w:pPr>
        <w:ind w:left="-284"/>
        <w:rPr>
          <w:rFonts w:ascii="Arial" w:hAnsi="Arial"/>
          <w:bCs/>
          <w:sz w:val="22"/>
        </w:rPr>
      </w:pPr>
    </w:p>
    <w:p w14:paraId="67239757" w14:textId="3F2840FC" w:rsidR="00104410" w:rsidRPr="00952C33" w:rsidRDefault="00AA5801" w:rsidP="00FB6278">
      <w:pPr>
        <w:ind w:left="-284"/>
        <w:rPr>
          <w:rFonts w:ascii="Arial" w:hAnsi="Arial"/>
          <w:b/>
          <w:sz w:val="22"/>
        </w:rPr>
      </w:pPr>
      <w:r>
        <w:rPr>
          <w:rFonts w:ascii="Arial" w:hAnsi="Arial"/>
          <w:b/>
          <w:sz w:val="22"/>
        </w:rPr>
        <w:t xml:space="preserve">Dr </w:t>
      </w:r>
      <w:r w:rsidR="00C93EF7" w:rsidRPr="00952C33">
        <w:rPr>
          <w:rFonts w:ascii="Arial" w:hAnsi="Arial"/>
          <w:b/>
          <w:sz w:val="22"/>
        </w:rPr>
        <w:t xml:space="preserve">Martin </w:t>
      </w:r>
      <w:proofErr w:type="spellStart"/>
      <w:r w:rsidR="00C93EF7" w:rsidRPr="00952C33">
        <w:rPr>
          <w:rFonts w:ascii="Arial" w:hAnsi="Arial"/>
          <w:b/>
          <w:sz w:val="22"/>
        </w:rPr>
        <w:t>Kuper</w:t>
      </w:r>
      <w:proofErr w:type="spellEnd"/>
    </w:p>
    <w:p w14:paraId="5B71CA95" w14:textId="2537AD16" w:rsidR="00104410" w:rsidRPr="00952C33" w:rsidRDefault="00104410" w:rsidP="00FB6278">
      <w:pPr>
        <w:ind w:left="-284"/>
        <w:rPr>
          <w:rFonts w:ascii="Arial" w:hAnsi="Arial"/>
          <w:b/>
          <w:sz w:val="22"/>
        </w:rPr>
      </w:pPr>
      <w:r w:rsidRPr="00952C33">
        <w:rPr>
          <w:rFonts w:ascii="Arial" w:hAnsi="Arial"/>
          <w:b/>
          <w:sz w:val="22"/>
        </w:rPr>
        <w:t xml:space="preserve">Chief </w:t>
      </w:r>
      <w:r w:rsidR="00C97C8F" w:rsidRPr="00952C33">
        <w:rPr>
          <w:rFonts w:ascii="Arial" w:hAnsi="Arial"/>
          <w:b/>
          <w:sz w:val="22"/>
        </w:rPr>
        <w:t>e</w:t>
      </w:r>
      <w:r w:rsidRPr="00952C33">
        <w:rPr>
          <w:rFonts w:ascii="Arial" w:hAnsi="Arial"/>
          <w:b/>
          <w:sz w:val="22"/>
        </w:rPr>
        <w:t>xecutive</w:t>
      </w:r>
    </w:p>
    <w:p w14:paraId="540FA102" w14:textId="5DD24FA6" w:rsidR="00970DF2" w:rsidRPr="00952C33" w:rsidRDefault="00ED39D8" w:rsidP="00FB6278">
      <w:pPr>
        <w:ind w:left="-284"/>
        <w:rPr>
          <w:rFonts w:ascii="Arial" w:hAnsi="Arial"/>
          <w:b/>
          <w:sz w:val="22"/>
        </w:rPr>
      </w:pPr>
      <w:r w:rsidRPr="00952C33">
        <w:rPr>
          <w:rFonts w:ascii="Arial" w:hAnsi="Arial"/>
          <w:b/>
          <w:sz w:val="22"/>
        </w:rPr>
        <w:t>2</w:t>
      </w:r>
      <w:r w:rsidR="00F32BD4">
        <w:rPr>
          <w:rFonts w:ascii="Arial" w:hAnsi="Arial"/>
          <w:b/>
          <w:sz w:val="22"/>
        </w:rPr>
        <w:t>1</w:t>
      </w:r>
      <w:r w:rsidRPr="00952C33">
        <w:rPr>
          <w:rFonts w:ascii="Arial" w:hAnsi="Arial"/>
          <w:b/>
          <w:sz w:val="22"/>
        </w:rPr>
        <w:t xml:space="preserve"> June</w:t>
      </w:r>
      <w:r w:rsidR="00C93EF7" w:rsidRPr="00952C33">
        <w:rPr>
          <w:rFonts w:ascii="Arial" w:hAnsi="Arial"/>
          <w:b/>
          <w:sz w:val="22"/>
        </w:rPr>
        <w:t xml:space="preserve"> 2022</w:t>
      </w:r>
    </w:p>
    <w:p w14:paraId="752681EB" w14:textId="77777777" w:rsidR="002C1240" w:rsidRPr="00952C33" w:rsidRDefault="002C1240" w:rsidP="00FB6278">
      <w:pPr>
        <w:ind w:left="-284"/>
        <w:rPr>
          <w:rFonts w:ascii="Arial" w:hAnsi="Arial"/>
          <w:sz w:val="22"/>
        </w:rPr>
        <w:sectPr w:rsidR="002C1240" w:rsidRPr="00952C33" w:rsidSect="00F34AFB">
          <w:pgSz w:w="11906" w:h="16838"/>
          <w:pgMar w:top="720" w:right="720" w:bottom="720" w:left="1134" w:header="720" w:footer="720" w:gutter="0"/>
          <w:cols w:space="720"/>
          <w:noEndnote/>
          <w:docGrid w:linePitch="326"/>
        </w:sectPr>
      </w:pPr>
    </w:p>
    <w:p w14:paraId="1A52030B" w14:textId="28062295" w:rsidR="00A36687" w:rsidRPr="008B2FEE" w:rsidRDefault="00AA5801" w:rsidP="00FB6278">
      <w:pPr>
        <w:pStyle w:val="Heading2"/>
        <w:ind w:left="-284"/>
        <w:rPr>
          <w:sz w:val="28"/>
          <w:szCs w:val="28"/>
        </w:rPr>
      </w:pPr>
      <w:r w:rsidRPr="008B2FEE">
        <w:rPr>
          <w:sz w:val="28"/>
          <w:szCs w:val="28"/>
        </w:rPr>
        <w:lastRenderedPageBreak/>
        <w:t xml:space="preserve">3.3 </w:t>
      </w:r>
      <w:r w:rsidR="00A36687" w:rsidRPr="008B2FEE">
        <w:rPr>
          <w:sz w:val="28"/>
          <w:szCs w:val="28"/>
        </w:rPr>
        <w:t>Remuneration report</w:t>
      </w:r>
    </w:p>
    <w:p w14:paraId="0E697DA2" w14:textId="77777777" w:rsidR="00AA5801" w:rsidRPr="00AA5801" w:rsidRDefault="00AA5801" w:rsidP="00FB6278"/>
    <w:p w14:paraId="0ED2EC1A" w14:textId="05508866" w:rsidR="00F30947" w:rsidRPr="00952C33" w:rsidRDefault="00F30947" w:rsidP="00FB6278">
      <w:pPr>
        <w:ind w:left="-284" w:right="554"/>
        <w:jc w:val="both"/>
        <w:rPr>
          <w:rFonts w:ascii="Arial" w:hAnsi="Arial"/>
          <w:sz w:val="22"/>
        </w:rPr>
      </w:pPr>
      <w:r w:rsidRPr="00952C33">
        <w:rPr>
          <w:rFonts w:ascii="Arial" w:hAnsi="Arial"/>
          <w:sz w:val="22"/>
        </w:rPr>
        <w:t xml:space="preserve">The trust’s remuneration committee makes decisions in relation to directors’ pay </w:t>
      </w:r>
      <w:proofErr w:type="gramStart"/>
      <w:r w:rsidRPr="00952C33">
        <w:rPr>
          <w:rFonts w:ascii="Arial" w:hAnsi="Arial"/>
          <w:sz w:val="22"/>
        </w:rPr>
        <w:t>in light of</w:t>
      </w:r>
      <w:proofErr w:type="gramEnd"/>
      <w:r w:rsidRPr="00952C33">
        <w:rPr>
          <w:rFonts w:ascii="Arial" w:hAnsi="Arial"/>
          <w:sz w:val="22"/>
        </w:rPr>
        <w:t xml:space="preserve"> benchmarking information derived from published research on reward, such as the NHS Providers remuneration survey, and surveys of other </w:t>
      </w:r>
      <w:r w:rsidRPr="00952C33">
        <w:rPr>
          <w:rFonts w:ascii="Arial" w:hAnsi="Arial" w:cs="Arial"/>
          <w:sz w:val="22"/>
          <w:szCs w:val="22"/>
        </w:rPr>
        <w:t>trusts</w:t>
      </w:r>
      <w:r w:rsidR="00CA142B" w:rsidRPr="00952C33">
        <w:rPr>
          <w:rFonts w:ascii="Arial" w:hAnsi="Arial" w:cs="Arial"/>
          <w:sz w:val="22"/>
          <w:szCs w:val="22"/>
        </w:rPr>
        <w:t>’</w:t>
      </w:r>
      <w:r w:rsidR="00CA142B">
        <w:rPr>
          <w:rFonts w:asciiTheme="majorHAnsi" w:hAnsiTheme="majorHAnsi" w:cstheme="majorHAnsi"/>
          <w:sz w:val="22"/>
          <w:szCs w:val="22"/>
        </w:rPr>
        <w:t>’</w:t>
      </w:r>
      <w:r w:rsidRPr="00952C33">
        <w:rPr>
          <w:rFonts w:ascii="Arial" w:hAnsi="Arial"/>
          <w:sz w:val="22"/>
        </w:rPr>
        <w:t xml:space="preserve"> remuneration for similar posts. In 202</w:t>
      </w:r>
      <w:r w:rsidR="00BC42E2" w:rsidRPr="00952C33">
        <w:rPr>
          <w:rFonts w:ascii="Arial" w:hAnsi="Arial"/>
          <w:sz w:val="22"/>
        </w:rPr>
        <w:t>1/22</w:t>
      </w:r>
      <w:r w:rsidRPr="00952C33">
        <w:rPr>
          <w:rFonts w:ascii="Arial" w:hAnsi="Arial"/>
          <w:sz w:val="22"/>
        </w:rPr>
        <w:t xml:space="preserve"> existing directors received a </w:t>
      </w:r>
      <w:proofErr w:type="gramStart"/>
      <w:r w:rsidRPr="00952C33">
        <w:rPr>
          <w:rFonts w:ascii="Arial" w:hAnsi="Arial"/>
          <w:sz w:val="22"/>
        </w:rPr>
        <w:t>cost of living</w:t>
      </w:r>
      <w:proofErr w:type="gramEnd"/>
      <w:r w:rsidRPr="00952C33">
        <w:rPr>
          <w:rFonts w:ascii="Arial" w:hAnsi="Arial"/>
          <w:sz w:val="22"/>
        </w:rPr>
        <w:t xml:space="preserve"> increase in line with guidance from NHS</w:t>
      </w:r>
      <w:r w:rsidR="00CA142B" w:rsidRPr="00952C33">
        <w:rPr>
          <w:rFonts w:ascii="Arial" w:hAnsi="Arial"/>
          <w:sz w:val="22"/>
        </w:rPr>
        <w:t xml:space="preserve"> </w:t>
      </w:r>
      <w:r w:rsidRPr="00952C33">
        <w:rPr>
          <w:rFonts w:ascii="Arial" w:hAnsi="Arial"/>
          <w:sz w:val="22"/>
        </w:rPr>
        <w:t>E</w:t>
      </w:r>
      <w:r w:rsidR="00CA142B" w:rsidRPr="00952C33">
        <w:rPr>
          <w:rFonts w:ascii="Arial" w:hAnsi="Arial"/>
          <w:sz w:val="22"/>
        </w:rPr>
        <w:t xml:space="preserve">ngland and </w:t>
      </w:r>
      <w:r w:rsidRPr="00952C33">
        <w:rPr>
          <w:rFonts w:ascii="Arial" w:hAnsi="Arial"/>
          <w:sz w:val="22"/>
        </w:rPr>
        <w:t>I</w:t>
      </w:r>
      <w:r w:rsidR="00CA142B" w:rsidRPr="00952C33">
        <w:rPr>
          <w:rFonts w:ascii="Arial" w:hAnsi="Arial"/>
          <w:sz w:val="22"/>
        </w:rPr>
        <w:t>mprovement</w:t>
      </w:r>
      <w:r w:rsidRPr="00952C33">
        <w:rPr>
          <w:rFonts w:ascii="Arial" w:hAnsi="Arial"/>
          <w:sz w:val="22"/>
        </w:rPr>
        <w:t xml:space="preserve">. No other uplifts were agreed, although performance and appraisals of all executives were discussed at the remuneration committee. Details of the remuneration committee can be found on page </w:t>
      </w:r>
      <w:r w:rsidR="00837E98" w:rsidRPr="00952C33">
        <w:rPr>
          <w:rFonts w:ascii="Arial" w:hAnsi="Arial"/>
          <w:sz w:val="22"/>
        </w:rPr>
        <w:t>26</w:t>
      </w:r>
      <w:r w:rsidRPr="00952C33">
        <w:rPr>
          <w:rFonts w:ascii="Arial" w:hAnsi="Arial"/>
          <w:sz w:val="22"/>
        </w:rPr>
        <w:t>.</w:t>
      </w:r>
    </w:p>
    <w:p w14:paraId="081A761C" w14:textId="77777777" w:rsidR="00A36687" w:rsidRPr="00952C33" w:rsidRDefault="00A36687" w:rsidP="00FB6278">
      <w:pPr>
        <w:ind w:left="-284" w:right="554"/>
        <w:jc w:val="both"/>
        <w:rPr>
          <w:rFonts w:ascii="Arial" w:hAnsi="Arial"/>
          <w:color w:val="FF0000"/>
          <w:sz w:val="22"/>
        </w:rPr>
      </w:pPr>
    </w:p>
    <w:p w14:paraId="7A31CA63" w14:textId="6E78FFC7" w:rsidR="00A36687" w:rsidRPr="00952C33" w:rsidRDefault="00A36687" w:rsidP="00FB6278">
      <w:pPr>
        <w:ind w:left="-284" w:right="554"/>
        <w:jc w:val="both"/>
        <w:rPr>
          <w:rFonts w:ascii="Arial" w:hAnsi="Arial"/>
          <w:sz w:val="22"/>
        </w:rPr>
      </w:pPr>
      <w:r w:rsidRPr="00952C33">
        <w:rPr>
          <w:rFonts w:ascii="Arial" w:hAnsi="Arial"/>
          <w:sz w:val="22"/>
        </w:rPr>
        <w:t xml:space="preserve">Remuneration is not split into different elements. The committee is always mindful of the national NHS pay uplift for staff and the system within which staff are remunerated, including restraints that apply to trusts and foundation trusts in special measures, when considering </w:t>
      </w:r>
      <w:proofErr w:type="gramStart"/>
      <w:r w:rsidRPr="00952C33">
        <w:rPr>
          <w:rFonts w:ascii="Arial" w:hAnsi="Arial"/>
          <w:sz w:val="22"/>
        </w:rPr>
        <w:t>each individual</w:t>
      </w:r>
      <w:proofErr w:type="gramEnd"/>
      <w:r w:rsidRPr="00952C33">
        <w:rPr>
          <w:rFonts w:ascii="Arial" w:hAnsi="Arial"/>
          <w:sz w:val="22"/>
        </w:rPr>
        <w:t xml:space="preserve">. The final determination of the pay level for any individual is based on an assessment of performance. All contracts are open ended. As </w:t>
      </w:r>
      <w:proofErr w:type="gramStart"/>
      <w:r w:rsidRPr="00952C33">
        <w:rPr>
          <w:rFonts w:ascii="Arial" w:hAnsi="Arial"/>
          <w:sz w:val="22"/>
        </w:rPr>
        <w:t>at</w:t>
      </w:r>
      <w:proofErr w:type="gramEnd"/>
      <w:r w:rsidRPr="00952C33">
        <w:rPr>
          <w:rFonts w:ascii="Arial" w:hAnsi="Arial"/>
          <w:sz w:val="22"/>
        </w:rPr>
        <w:t xml:space="preserve"> 31 March 202</w:t>
      </w:r>
      <w:r w:rsidR="00BC42E2" w:rsidRPr="00952C33">
        <w:rPr>
          <w:rFonts w:ascii="Arial" w:hAnsi="Arial"/>
          <w:sz w:val="22"/>
        </w:rPr>
        <w:t>2</w:t>
      </w:r>
      <w:r w:rsidRPr="00952C33">
        <w:rPr>
          <w:rFonts w:ascii="Arial" w:hAnsi="Arial"/>
          <w:sz w:val="22"/>
        </w:rPr>
        <w:t>, all trust e</w:t>
      </w:r>
      <w:r w:rsidR="00DB1E9C" w:rsidRPr="00952C33">
        <w:rPr>
          <w:rFonts w:ascii="Arial" w:hAnsi="Arial"/>
          <w:sz w:val="22"/>
        </w:rPr>
        <w:t>xecutive directors are on a six-</w:t>
      </w:r>
      <w:r w:rsidRPr="00952C33">
        <w:rPr>
          <w:rFonts w:ascii="Arial" w:hAnsi="Arial"/>
          <w:sz w:val="22"/>
        </w:rPr>
        <w:t>month notice period. There is no termination payment built into the contract and there are no contractual provisions for early retirement beyond that required by the law. In certain circumstances</w:t>
      </w:r>
      <w:r w:rsidR="00CA142B" w:rsidRPr="00952C33">
        <w:rPr>
          <w:rFonts w:ascii="Arial" w:hAnsi="Arial"/>
          <w:sz w:val="22"/>
        </w:rPr>
        <w:t>,</w:t>
      </w:r>
      <w:r w:rsidRPr="00952C33">
        <w:rPr>
          <w:rFonts w:ascii="Arial" w:hAnsi="Arial"/>
          <w:sz w:val="22"/>
        </w:rPr>
        <w:t xml:space="preserve"> an individual may benefit from the provisions of the NHS pension scheme. The trust does not provide any non-cash benefits within the remuneration package.</w:t>
      </w:r>
    </w:p>
    <w:p w14:paraId="632E3D56" w14:textId="77777777" w:rsidR="00A36687" w:rsidRPr="00952C33" w:rsidRDefault="00A36687" w:rsidP="00FB6278">
      <w:pPr>
        <w:ind w:left="-284" w:right="554"/>
        <w:rPr>
          <w:rFonts w:ascii="Arial" w:hAnsi="Arial"/>
          <w:sz w:val="22"/>
        </w:rPr>
      </w:pPr>
    </w:p>
    <w:p w14:paraId="5929ECCE" w14:textId="678893F2" w:rsidR="006230BF" w:rsidRDefault="00A36687" w:rsidP="00DE380E">
      <w:pPr>
        <w:ind w:left="-284" w:right="554"/>
        <w:jc w:val="both"/>
        <w:rPr>
          <w:rFonts w:ascii="Arial" w:hAnsi="Arial"/>
          <w:sz w:val="22"/>
        </w:rPr>
      </w:pPr>
      <w:r w:rsidRPr="00952C33">
        <w:rPr>
          <w:rFonts w:ascii="Arial" w:hAnsi="Arial"/>
          <w:sz w:val="22"/>
        </w:rPr>
        <w:t>Accounting policies for pensions and other ret</w:t>
      </w:r>
      <w:r w:rsidR="00BC42E2" w:rsidRPr="00952C33">
        <w:rPr>
          <w:rFonts w:ascii="Arial" w:hAnsi="Arial"/>
          <w:sz w:val="22"/>
        </w:rPr>
        <w:t>irement benefits are set out in note</w:t>
      </w:r>
      <w:r w:rsidR="00086C34" w:rsidRPr="00952C33">
        <w:rPr>
          <w:rFonts w:ascii="Arial" w:hAnsi="Arial"/>
          <w:sz w:val="22"/>
        </w:rPr>
        <w:t xml:space="preserve"> </w:t>
      </w:r>
      <w:r w:rsidR="00BC42E2" w:rsidRPr="00952C33">
        <w:rPr>
          <w:rFonts w:ascii="Arial" w:hAnsi="Arial"/>
          <w:sz w:val="22"/>
          <w:highlight w:val="yellow"/>
        </w:rPr>
        <w:t>XX</w:t>
      </w:r>
      <w:r w:rsidRPr="00952C33">
        <w:rPr>
          <w:rFonts w:ascii="Arial" w:hAnsi="Arial"/>
          <w:sz w:val="22"/>
        </w:rPr>
        <w:t xml:space="preserve">. Details of the board of directors’ remuneration can be found on </w:t>
      </w:r>
      <w:r w:rsidR="00086C34" w:rsidRPr="00952C33">
        <w:rPr>
          <w:rFonts w:ascii="Arial" w:hAnsi="Arial"/>
          <w:sz w:val="22"/>
        </w:rPr>
        <w:t xml:space="preserve">page </w:t>
      </w:r>
      <w:r w:rsidR="00BC42E2" w:rsidRPr="00952C33">
        <w:rPr>
          <w:rFonts w:ascii="Arial" w:hAnsi="Arial"/>
          <w:sz w:val="22"/>
          <w:highlight w:val="yellow"/>
        </w:rPr>
        <w:t>XX</w:t>
      </w:r>
      <w:r w:rsidRPr="00952C33">
        <w:rPr>
          <w:rFonts w:ascii="Arial" w:hAnsi="Arial"/>
          <w:sz w:val="22"/>
        </w:rPr>
        <w:t>, and details of empl</w:t>
      </w:r>
      <w:r w:rsidR="00BC42E2" w:rsidRPr="00952C33">
        <w:rPr>
          <w:rFonts w:ascii="Arial" w:hAnsi="Arial"/>
          <w:sz w:val="22"/>
        </w:rPr>
        <w:t xml:space="preserve">oyee costs can be found in note </w:t>
      </w:r>
      <w:r w:rsidR="00BC42E2" w:rsidRPr="00952C33">
        <w:rPr>
          <w:rFonts w:ascii="Arial" w:hAnsi="Arial"/>
          <w:sz w:val="22"/>
          <w:highlight w:val="yellow"/>
        </w:rPr>
        <w:t>XX</w:t>
      </w:r>
      <w:r w:rsidRPr="00952C33">
        <w:rPr>
          <w:rFonts w:ascii="Arial" w:hAnsi="Arial"/>
          <w:sz w:val="22"/>
        </w:rPr>
        <w:t xml:space="preserve"> in the annual accounts. Information relating to off-payroll arrangements is included in the staff report.</w:t>
      </w:r>
    </w:p>
    <w:p w14:paraId="7DA09BD4" w14:textId="158709F5" w:rsidR="00DE380E" w:rsidRDefault="00DE380E" w:rsidP="00DE380E">
      <w:pPr>
        <w:ind w:left="-284" w:right="554"/>
        <w:jc w:val="both"/>
        <w:rPr>
          <w:rFonts w:ascii="Arial" w:hAnsi="Arial"/>
          <w:sz w:val="22"/>
        </w:rPr>
      </w:pPr>
    </w:p>
    <w:p w14:paraId="20EFD991" w14:textId="77777777" w:rsidR="00DE380E" w:rsidRPr="00DE380E" w:rsidRDefault="00DE380E" w:rsidP="00DE380E">
      <w:pPr>
        <w:ind w:left="-284" w:right="554"/>
        <w:jc w:val="both"/>
        <w:rPr>
          <w:rFonts w:ascii="Arial" w:hAnsi="Arial"/>
          <w:sz w:val="22"/>
        </w:rPr>
      </w:pPr>
      <w:r w:rsidRPr="00DE380E">
        <w:rPr>
          <w:rFonts w:ascii="Arial" w:hAnsi="Arial"/>
          <w:sz w:val="22"/>
        </w:rPr>
        <w:t>Acting on the recommendations of the Hutton review of fair pay and the reporting requirements of HM Treasury, the trust makes the following declarations [these declarations are subject to audit]:</w:t>
      </w:r>
    </w:p>
    <w:p w14:paraId="2C7A48D9" w14:textId="77777777" w:rsidR="00DE380E" w:rsidRPr="00DE380E" w:rsidRDefault="00DE380E" w:rsidP="00DE380E">
      <w:pPr>
        <w:ind w:left="-284" w:right="554"/>
        <w:jc w:val="both"/>
        <w:rPr>
          <w:rFonts w:ascii="Arial" w:hAnsi="Arial"/>
          <w:sz w:val="22"/>
        </w:rPr>
      </w:pPr>
    </w:p>
    <w:p w14:paraId="6A497702" w14:textId="77777777" w:rsidR="00DE380E" w:rsidRPr="00DE380E" w:rsidRDefault="00DE380E" w:rsidP="00DE380E">
      <w:pPr>
        <w:pStyle w:val="ListParagraph"/>
        <w:numPr>
          <w:ilvl w:val="0"/>
          <w:numId w:val="44"/>
        </w:numPr>
        <w:ind w:right="554"/>
        <w:jc w:val="both"/>
        <w:rPr>
          <w:rFonts w:ascii="Arial" w:hAnsi="Arial"/>
          <w:sz w:val="22"/>
        </w:rPr>
      </w:pPr>
      <w:r w:rsidRPr="00DE380E">
        <w:rPr>
          <w:rFonts w:ascii="Arial" w:hAnsi="Arial"/>
          <w:sz w:val="22"/>
        </w:rPr>
        <w:t xml:space="preserve">For employees of the Trust as a whole, the range of remuneration in 2021/22 was from £23,154 to £220.000 (2020/21 £21,606 to £212,200). The percentage change in average employee remuneration (based on total for all employees on an annualised basis divided by full time equivalent number of employees) between years is 3%. No employees received remuneration </w:t>
      </w:r>
      <w:proofErr w:type="gramStart"/>
      <w:r w:rsidRPr="00DE380E">
        <w:rPr>
          <w:rFonts w:ascii="Arial" w:hAnsi="Arial"/>
          <w:sz w:val="22"/>
        </w:rPr>
        <w:t>in excess of</w:t>
      </w:r>
      <w:proofErr w:type="gramEnd"/>
      <w:r w:rsidRPr="00DE380E">
        <w:rPr>
          <w:rFonts w:ascii="Arial" w:hAnsi="Arial"/>
          <w:sz w:val="22"/>
        </w:rPr>
        <w:t xml:space="preserve"> the highest-paid director in 2021-2022</w:t>
      </w:r>
    </w:p>
    <w:p w14:paraId="1F678130" w14:textId="77777777" w:rsidR="00DE380E" w:rsidRPr="00DE380E" w:rsidRDefault="00DE380E" w:rsidP="00DE380E">
      <w:pPr>
        <w:pStyle w:val="ListParagraph"/>
        <w:numPr>
          <w:ilvl w:val="0"/>
          <w:numId w:val="44"/>
        </w:numPr>
        <w:ind w:right="554"/>
        <w:jc w:val="both"/>
        <w:rPr>
          <w:rFonts w:ascii="Arial" w:hAnsi="Arial"/>
          <w:sz w:val="22"/>
        </w:rPr>
      </w:pPr>
      <w:r w:rsidRPr="00DE380E">
        <w:rPr>
          <w:rFonts w:ascii="Arial" w:hAnsi="Arial"/>
          <w:sz w:val="22"/>
        </w:rPr>
        <w:t>The banded remuneration of the highest-paid director in the organisation in the financial year 2021-22 was £220,000 (2020-21, £212,200). This is a change between years of 3.68%.</w:t>
      </w:r>
    </w:p>
    <w:p w14:paraId="60D3D2C5" w14:textId="77777777" w:rsidR="00DE380E" w:rsidRPr="00DE380E" w:rsidRDefault="00DE380E" w:rsidP="00DE380E">
      <w:pPr>
        <w:pStyle w:val="ListParagraph"/>
        <w:numPr>
          <w:ilvl w:val="0"/>
          <w:numId w:val="44"/>
        </w:numPr>
        <w:ind w:right="554"/>
        <w:jc w:val="both"/>
        <w:rPr>
          <w:rFonts w:ascii="Arial" w:hAnsi="Arial"/>
          <w:sz w:val="22"/>
        </w:rPr>
      </w:pPr>
      <w:r w:rsidRPr="00DE380E">
        <w:rPr>
          <w:rFonts w:ascii="Arial" w:hAnsi="Arial"/>
          <w:sz w:val="22"/>
        </w:rPr>
        <w:t>The median remuneration of staff employed at the trust during the 2021/22 financial year was £37,841 (2021/22: £36,738). The calculation is based on full-time equivalent staff of the reporting entity at the reporting period end date on an annualised basis.</w:t>
      </w:r>
    </w:p>
    <w:p w14:paraId="3949C295" w14:textId="77777777" w:rsidR="00DE380E" w:rsidRPr="00DE380E" w:rsidRDefault="00DE380E" w:rsidP="00DE380E">
      <w:pPr>
        <w:pStyle w:val="ListParagraph"/>
        <w:numPr>
          <w:ilvl w:val="0"/>
          <w:numId w:val="44"/>
        </w:numPr>
        <w:ind w:right="554"/>
        <w:jc w:val="both"/>
        <w:rPr>
          <w:rFonts w:ascii="Arial" w:hAnsi="Arial"/>
          <w:sz w:val="22"/>
        </w:rPr>
      </w:pPr>
      <w:r w:rsidRPr="00DE380E">
        <w:rPr>
          <w:rFonts w:ascii="Arial" w:hAnsi="Arial"/>
          <w:sz w:val="22"/>
        </w:rPr>
        <w:t>The mid-point of the banded remuneration of the highest paid director of the trust for the sample period 2021/22 was £220,000 (2020/21: £212,500) – only those directors whose remuneration the trust is directly able to determine are included in this calculation.</w:t>
      </w:r>
    </w:p>
    <w:p w14:paraId="5DBAA100" w14:textId="77777777" w:rsidR="00DE380E" w:rsidRPr="00DE380E" w:rsidRDefault="00DE380E" w:rsidP="00DE380E">
      <w:pPr>
        <w:pStyle w:val="ListParagraph"/>
        <w:numPr>
          <w:ilvl w:val="0"/>
          <w:numId w:val="44"/>
        </w:numPr>
        <w:ind w:right="554"/>
        <w:jc w:val="both"/>
        <w:rPr>
          <w:rFonts w:ascii="Arial" w:hAnsi="Arial"/>
          <w:sz w:val="22"/>
        </w:rPr>
      </w:pPr>
      <w:r w:rsidRPr="00DE380E">
        <w:rPr>
          <w:rFonts w:ascii="Arial" w:hAnsi="Arial"/>
          <w:sz w:val="22"/>
        </w:rPr>
        <w:t>The ratio of the two amounts was 5.81:1 in 2021/22 (2020/21: 5.78:1) – that is, the mid-point of the banded remuneration of the highest paid director of the trust was 5.81 times that of the median remuneration for all staff employed at the trust.</w:t>
      </w:r>
    </w:p>
    <w:p w14:paraId="5BBF52CB" w14:textId="77777777" w:rsidR="00DE380E" w:rsidRPr="00DE380E" w:rsidRDefault="00DE380E" w:rsidP="00DE380E">
      <w:pPr>
        <w:pStyle w:val="ListParagraph"/>
        <w:numPr>
          <w:ilvl w:val="0"/>
          <w:numId w:val="44"/>
        </w:numPr>
        <w:ind w:right="554"/>
        <w:jc w:val="both"/>
        <w:rPr>
          <w:rFonts w:ascii="Arial" w:hAnsi="Arial"/>
          <w:sz w:val="22"/>
        </w:rPr>
      </w:pPr>
      <w:r w:rsidRPr="00DE380E">
        <w:rPr>
          <w:rFonts w:ascii="Arial" w:hAnsi="Arial"/>
          <w:sz w:val="22"/>
        </w:rPr>
        <w:t>The ratio for the 25th Percentile in 2021/ 22 is 8.10 (2020/21 8.28) and the 75th Percentile in 2021/22 is 4.47 (2020/21 4.63).</w:t>
      </w:r>
    </w:p>
    <w:p w14:paraId="55D80EC3" w14:textId="77777777" w:rsidR="00DE380E" w:rsidRPr="00DE380E" w:rsidRDefault="00DE380E" w:rsidP="00DE380E">
      <w:pPr>
        <w:pStyle w:val="ListParagraph"/>
        <w:numPr>
          <w:ilvl w:val="0"/>
          <w:numId w:val="44"/>
        </w:numPr>
        <w:ind w:right="554"/>
        <w:jc w:val="both"/>
        <w:rPr>
          <w:rFonts w:ascii="Arial" w:hAnsi="Arial"/>
          <w:sz w:val="22"/>
        </w:rPr>
      </w:pPr>
      <w:r w:rsidRPr="00DE380E">
        <w:rPr>
          <w:rFonts w:ascii="Arial" w:hAnsi="Arial"/>
          <w:sz w:val="22"/>
        </w:rPr>
        <w:t xml:space="preserve">No payments for compensation for loss of office were made during 2021/22. </w:t>
      </w:r>
    </w:p>
    <w:p w14:paraId="5CBB2096" w14:textId="77777777" w:rsidR="00DE380E" w:rsidRPr="00DE380E" w:rsidRDefault="00DE380E" w:rsidP="00DE380E">
      <w:pPr>
        <w:ind w:left="-284" w:right="554"/>
        <w:jc w:val="both"/>
        <w:rPr>
          <w:rFonts w:ascii="Arial" w:hAnsi="Arial"/>
          <w:sz w:val="22"/>
        </w:rPr>
      </w:pPr>
    </w:p>
    <w:p w14:paraId="11DDFADA" w14:textId="77777777" w:rsidR="00DE380E" w:rsidRPr="00DE380E" w:rsidRDefault="00DE380E" w:rsidP="00DE380E">
      <w:pPr>
        <w:ind w:left="-284" w:right="554"/>
        <w:jc w:val="both"/>
        <w:rPr>
          <w:rFonts w:ascii="Arial" w:hAnsi="Arial"/>
          <w:sz w:val="22"/>
        </w:rPr>
      </w:pPr>
      <w:r w:rsidRPr="00DE380E">
        <w:rPr>
          <w:rFonts w:ascii="Arial" w:hAnsi="Arial"/>
          <w:sz w:val="22"/>
        </w:rPr>
        <w:t>Total remuneration includes salary, non-consolidated performance-related pay, benefits-in-kind, but not severance payments. It does not include employer pension contributions and the cash equivalent transfer value of pensions.</w:t>
      </w:r>
    </w:p>
    <w:p w14:paraId="0BED474E" w14:textId="77777777" w:rsidR="00DE380E" w:rsidRPr="00DE380E" w:rsidRDefault="00DE380E" w:rsidP="00DE380E">
      <w:pPr>
        <w:ind w:left="-284" w:right="554"/>
        <w:jc w:val="both"/>
        <w:rPr>
          <w:rFonts w:ascii="Arial" w:hAnsi="Arial"/>
          <w:sz w:val="22"/>
        </w:rPr>
      </w:pPr>
    </w:p>
    <w:p w14:paraId="28D5211A" w14:textId="60683836" w:rsidR="00DE380E" w:rsidRDefault="00DE380E" w:rsidP="00DE380E">
      <w:pPr>
        <w:ind w:left="-284" w:right="554"/>
        <w:jc w:val="both"/>
        <w:rPr>
          <w:rFonts w:ascii="Arial" w:hAnsi="Arial"/>
          <w:sz w:val="22"/>
        </w:rPr>
      </w:pPr>
      <w:r w:rsidRPr="00DE380E">
        <w:rPr>
          <w:rFonts w:ascii="Arial" w:hAnsi="Arial"/>
          <w:sz w:val="22"/>
        </w:rPr>
        <w:t xml:space="preserve">As required by section 156(1) of the Health and Social Care Act 2012, I declare that the total out-of-pocket expenses paid to governors of the trust in 2021/22 was nil (2020/21: £49), and </w:t>
      </w:r>
      <w:proofErr w:type="gramStart"/>
      <w:r w:rsidRPr="00DE380E">
        <w:rPr>
          <w:rFonts w:ascii="Arial" w:hAnsi="Arial"/>
          <w:sz w:val="22"/>
        </w:rPr>
        <w:t>that total out-of-pocket expenses</w:t>
      </w:r>
      <w:proofErr w:type="gramEnd"/>
      <w:r w:rsidRPr="00DE380E">
        <w:rPr>
          <w:rFonts w:ascii="Arial" w:hAnsi="Arial"/>
          <w:sz w:val="22"/>
        </w:rPr>
        <w:t xml:space="preserve"> paid in 2021/22 to the directors was £873 (2020/21 £322).</w:t>
      </w:r>
    </w:p>
    <w:p w14:paraId="1941572C" w14:textId="7AB9E781" w:rsidR="00CF1FA1" w:rsidRDefault="00CF1FA1" w:rsidP="00DE380E">
      <w:pPr>
        <w:ind w:left="-284" w:right="554"/>
        <w:jc w:val="both"/>
        <w:rPr>
          <w:rFonts w:ascii="Arial" w:hAnsi="Arial"/>
          <w:sz w:val="22"/>
        </w:rPr>
      </w:pPr>
    </w:p>
    <w:p w14:paraId="7895ABE1" w14:textId="3334A6A7" w:rsidR="00DE380E" w:rsidRPr="00DE380E" w:rsidRDefault="00DE380E" w:rsidP="00CF1FA1">
      <w:pPr>
        <w:ind w:left="-284" w:right="554"/>
        <w:jc w:val="both"/>
        <w:rPr>
          <w:rFonts w:ascii="Arial" w:hAnsi="Arial"/>
          <w:sz w:val="22"/>
        </w:rPr>
      </w:pPr>
    </w:p>
    <w:p w14:paraId="65D18319" w14:textId="4FA74743" w:rsidR="00344E2F" w:rsidRPr="00952C33" w:rsidRDefault="002E0D62" w:rsidP="00FB6278">
      <w:pPr>
        <w:pStyle w:val="MEHArial"/>
        <w:spacing w:after="0"/>
        <w:ind w:left="-284"/>
        <w:rPr>
          <w:b/>
          <w:color w:val="FF0000"/>
          <w:sz w:val="22"/>
        </w:rPr>
      </w:pPr>
      <w:r>
        <w:rPr>
          <w:b/>
          <w:sz w:val="22"/>
        </w:rPr>
        <w:t xml:space="preserve">Dr </w:t>
      </w:r>
      <w:r w:rsidR="00BC42E2" w:rsidRPr="00952C33">
        <w:rPr>
          <w:b/>
          <w:sz w:val="22"/>
        </w:rPr>
        <w:t xml:space="preserve">Martin </w:t>
      </w:r>
      <w:proofErr w:type="spellStart"/>
      <w:r w:rsidR="00BC42E2" w:rsidRPr="00952C33">
        <w:rPr>
          <w:b/>
          <w:sz w:val="22"/>
        </w:rPr>
        <w:t>Kuper</w:t>
      </w:r>
      <w:proofErr w:type="spellEnd"/>
    </w:p>
    <w:p w14:paraId="319F3D42" w14:textId="77777777" w:rsidR="00344E2F" w:rsidRPr="00952C33" w:rsidRDefault="00344E2F" w:rsidP="00FB6278">
      <w:pPr>
        <w:pStyle w:val="MEHArial"/>
        <w:spacing w:before="0" w:after="0"/>
        <w:ind w:left="-284"/>
        <w:rPr>
          <w:b/>
          <w:sz w:val="22"/>
        </w:rPr>
      </w:pPr>
      <w:r w:rsidRPr="00952C33">
        <w:rPr>
          <w:b/>
          <w:sz w:val="22"/>
        </w:rPr>
        <w:t>Chief executive</w:t>
      </w:r>
    </w:p>
    <w:p w14:paraId="2C8D014E" w14:textId="5EC9A96B" w:rsidR="009959C7" w:rsidRPr="00952C33" w:rsidRDefault="00ED39D8" w:rsidP="00FB6278">
      <w:pPr>
        <w:pStyle w:val="MEHArial"/>
        <w:spacing w:before="0" w:after="0"/>
        <w:ind w:left="-284"/>
        <w:rPr>
          <w:b/>
          <w:sz w:val="22"/>
        </w:rPr>
      </w:pPr>
      <w:r w:rsidRPr="00952C33">
        <w:rPr>
          <w:b/>
          <w:sz w:val="22"/>
        </w:rPr>
        <w:t>2</w:t>
      </w:r>
      <w:r w:rsidR="00F32BD4">
        <w:rPr>
          <w:b/>
          <w:sz w:val="22"/>
        </w:rPr>
        <w:t xml:space="preserve">1 </w:t>
      </w:r>
      <w:r w:rsidRPr="00952C33">
        <w:rPr>
          <w:b/>
          <w:sz w:val="22"/>
        </w:rPr>
        <w:t>June</w:t>
      </w:r>
      <w:r w:rsidR="00BC42E2" w:rsidRPr="00952C33">
        <w:rPr>
          <w:b/>
          <w:sz w:val="22"/>
        </w:rPr>
        <w:t xml:space="preserve"> 2022</w:t>
      </w:r>
    </w:p>
    <w:p w14:paraId="677BE81E" w14:textId="31C6B204" w:rsidR="008A0EB8" w:rsidRPr="00952C33" w:rsidRDefault="008A0EB8" w:rsidP="00FB6278">
      <w:pPr>
        <w:pStyle w:val="MEHArial"/>
        <w:rPr>
          <w:b/>
          <w:color w:val="FF0000"/>
          <w:sz w:val="22"/>
        </w:rPr>
      </w:pPr>
    </w:p>
    <w:p w14:paraId="3583E6C7" w14:textId="704F0D1E" w:rsidR="00943A63" w:rsidRPr="00952C33" w:rsidRDefault="00943A63" w:rsidP="00FB6278">
      <w:pPr>
        <w:pStyle w:val="MEHArial"/>
        <w:rPr>
          <w:color w:val="FF0000"/>
          <w:sz w:val="22"/>
        </w:rPr>
        <w:sectPr w:rsidR="00943A63" w:rsidRPr="00952C33" w:rsidSect="00F34AFB">
          <w:pgSz w:w="11906" w:h="16838"/>
          <w:pgMar w:top="720" w:right="720" w:bottom="720" w:left="1134" w:header="720" w:footer="720" w:gutter="0"/>
          <w:cols w:space="720"/>
          <w:noEndnote/>
          <w:docGrid w:linePitch="326"/>
        </w:sectPr>
      </w:pPr>
    </w:p>
    <w:p w14:paraId="2A60AE1B" w14:textId="3573B701" w:rsidR="00943A63" w:rsidRPr="00952C33" w:rsidRDefault="00943A63" w:rsidP="00FB6278">
      <w:pPr>
        <w:pStyle w:val="MEHBoldheading1"/>
        <w:rPr>
          <w:sz w:val="22"/>
        </w:rPr>
      </w:pPr>
    </w:p>
    <w:p w14:paraId="5B8B08D5" w14:textId="77777777" w:rsidR="00343781" w:rsidRPr="00952C33" w:rsidRDefault="00343781" w:rsidP="00FB6278">
      <w:pPr>
        <w:pStyle w:val="MEHBoldheading1"/>
        <w:rPr>
          <w:sz w:val="22"/>
        </w:rPr>
      </w:pPr>
      <w:r w:rsidRPr="00952C33">
        <w:rPr>
          <w:sz w:val="22"/>
        </w:rPr>
        <w:tab/>
      </w:r>
    </w:p>
    <w:p w14:paraId="68D0F60E" w14:textId="07C2087D" w:rsidR="00943A63" w:rsidRPr="00952C33" w:rsidRDefault="00343781" w:rsidP="00FB6278">
      <w:pPr>
        <w:pStyle w:val="MEHBoldheading1"/>
        <w:rPr>
          <w:sz w:val="22"/>
        </w:rPr>
      </w:pPr>
      <w:r w:rsidRPr="00952C33">
        <w:rPr>
          <w:sz w:val="22"/>
        </w:rPr>
        <w:tab/>
      </w:r>
      <w:r w:rsidR="00B07996" w:rsidRPr="00952C33">
        <w:rPr>
          <w:sz w:val="22"/>
        </w:rPr>
        <w:t>Salary entitlements of the board of directors</w:t>
      </w:r>
      <w:r w:rsidR="00CF198F" w:rsidRPr="00952C33">
        <w:rPr>
          <w:sz w:val="22"/>
        </w:rPr>
        <w:t xml:space="preserve"> [the following table is subject to audit]</w:t>
      </w:r>
    </w:p>
    <w:tbl>
      <w:tblPr>
        <w:tblStyle w:val="TableGrid"/>
        <w:tblW w:w="0" w:type="auto"/>
        <w:tblLook w:val="04A0" w:firstRow="1" w:lastRow="0" w:firstColumn="1" w:lastColumn="0" w:noHBand="0" w:noVBand="1"/>
      </w:tblPr>
      <w:tblGrid>
        <w:gridCol w:w="9164"/>
        <w:gridCol w:w="1556"/>
        <w:gridCol w:w="1556"/>
        <w:gridCol w:w="1556"/>
        <w:gridCol w:w="1556"/>
      </w:tblGrid>
      <w:tr w:rsidR="00CC034B" w:rsidRPr="00CC034B" w14:paraId="09DC132C" w14:textId="77777777" w:rsidTr="00017EA2">
        <w:trPr>
          <w:trHeight w:val="260"/>
        </w:trPr>
        <w:tc>
          <w:tcPr>
            <w:tcW w:w="9164" w:type="dxa"/>
            <w:noWrap/>
            <w:hideMark/>
          </w:tcPr>
          <w:p w14:paraId="4BCB5B69" w14:textId="77777777" w:rsidR="00CC034B" w:rsidRPr="00CC034B" w:rsidRDefault="00CC034B" w:rsidP="00FB6278">
            <w:pPr>
              <w:rPr>
                <w:rFonts w:ascii="Arial" w:hAnsi="Arial"/>
                <w:b/>
                <w:bCs/>
                <w:sz w:val="22"/>
              </w:rPr>
            </w:pPr>
            <w:r w:rsidRPr="00CC034B">
              <w:rPr>
                <w:rFonts w:ascii="Arial" w:hAnsi="Arial"/>
                <w:b/>
                <w:bCs/>
                <w:sz w:val="22"/>
              </w:rPr>
              <w:t>2021/22</w:t>
            </w:r>
          </w:p>
        </w:tc>
        <w:tc>
          <w:tcPr>
            <w:tcW w:w="1556" w:type="dxa"/>
            <w:noWrap/>
            <w:hideMark/>
          </w:tcPr>
          <w:p w14:paraId="537EA522" w14:textId="77777777" w:rsidR="00CC034B" w:rsidRPr="00CC034B" w:rsidRDefault="00CC034B" w:rsidP="00FB6278">
            <w:pPr>
              <w:rPr>
                <w:rFonts w:ascii="Arial" w:hAnsi="Arial"/>
                <w:b/>
                <w:bCs/>
                <w:sz w:val="22"/>
              </w:rPr>
            </w:pPr>
            <w:r w:rsidRPr="00CC034B">
              <w:rPr>
                <w:rFonts w:ascii="Arial" w:hAnsi="Arial"/>
                <w:b/>
                <w:bCs/>
                <w:sz w:val="22"/>
              </w:rPr>
              <w:t> </w:t>
            </w:r>
          </w:p>
        </w:tc>
        <w:tc>
          <w:tcPr>
            <w:tcW w:w="1556" w:type="dxa"/>
            <w:noWrap/>
            <w:hideMark/>
          </w:tcPr>
          <w:p w14:paraId="3C91E8F6" w14:textId="77777777" w:rsidR="00CC034B" w:rsidRPr="00CC034B" w:rsidRDefault="00CC034B" w:rsidP="00FB6278">
            <w:pPr>
              <w:rPr>
                <w:rFonts w:ascii="Arial" w:hAnsi="Arial"/>
                <w:b/>
                <w:bCs/>
                <w:sz w:val="22"/>
              </w:rPr>
            </w:pPr>
            <w:r w:rsidRPr="00CC034B">
              <w:rPr>
                <w:rFonts w:ascii="Arial" w:hAnsi="Arial"/>
                <w:b/>
                <w:bCs/>
                <w:sz w:val="22"/>
              </w:rPr>
              <w:t> </w:t>
            </w:r>
          </w:p>
        </w:tc>
        <w:tc>
          <w:tcPr>
            <w:tcW w:w="1556" w:type="dxa"/>
            <w:hideMark/>
          </w:tcPr>
          <w:p w14:paraId="44A2F684" w14:textId="77777777" w:rsidR="00CC034B" w:rsidRPr="00CC034B" w:rsidRDefault="00CC034B" w:rsidP="00FB6278">
            <w:pPr>
              <w:rPr>
                <w:rFonts w:ascii="Arial" w:hAnsi="Arial"/>
                <w:b/>
                <w:bCs/>
                <w:sz w:val="22"/>
              </w:rPr>
            </w:pPr>
            <w:r w:rsidRPr="00CC034B">
              <w:rPr>
                <w:rFonts w:ascii="Arial" w:hAnsi="Arial"/>
                <w:b/>
                <w:bCs/>
                <w:sz w:val="22"/>
              </w:rPr>
              <w:t> </w:t>
            </w:r>
          </w:p>
        </w:tc>
        <w:tc>
          <w:tcPr>
            <w:tcW w:w="1556" w:type="dxa"/>
            <w:hideMark/>
          </w:tcPr>
          <w:p w14:paraId="3AD7F4EE" w14:textId="77777777" w:rsidR="00CC034B" w:rsidRPr="00CC034B" w:rsidRDefault="00CC034B" w:rsidP="00FB6278">
            <w:pPr>
              <w:rPr>
                <w:rFonts w:ascii="Arial" w:hAnsi="Arial"/>
                <w:b/>
                <w:bCs/>
                <w:sz w:val="22"/>
              </w:rPr>
            </w:pPr>
            <w:r w:rsidRPr="00CC034B">
              <w:rPr>
                <w:rFonts w:ascii="Arial" w:hAnsi="Arial"/>
                <w:b/>
                <w:bCs/>
                <w:sz w:val="22"/>
              </w:rPr>
              <w:t> </w:t>
            </w:r>
          </w:p>
        </w:tc>
      </w:tr>
      <w:tr w:rsidR="00CC034B" w:rsidRPr="00CC034B" w14:paraId="3A36DC35" w14:textId="77777777" w:rsidTr="00017EA2">
        <w:trPr>
          <w:trHeight w:val="1310"/>
        </w:trPr>
        <w:tc>
          <w:tcPr>
            <w:tcW w:w="9164" w:type="dxa"/>
            <w:noWrap/>
            <w:hideMark/>
          </w:tcPr>
          <w:p w14:paraId="5AD8481D" w14:textId="77777777" w:rsidR="00CC034B" w:rsidRPr="00CC034B" w:rsidRDefault="00CC034B" w:rsidP="00FB6278">
            <w:pPr>
              <w:rPr>
                <w:rFonts w:ascii="Arial" w:hAnsi="Arial"/>
                <w:b/>
                <w:bCs/>
                <w:sz w:val="22"/>
              </w:rPr>
            </w:pPr>
            <w:r w:rsidRPr="00CC034B">
              <w:rPr>
                <w:rFonts w:ascii="Arial" w:hAnsi="Arial"/>
                <w:b/>
                <w:bCs/>
                <w:sz w:val="22"/>
              </w:rPr>
              <w:t>Name and Title</w:t>
            </w:r>
          </w:p>
        </w:tc>
        <w:tc>
          <w:tcPr>
            <w:tcW w:w="1556" w:type="dxa"/>
            <w:hideMark/>
          </w:tcPr>
          <w:p w14:paraId="3653652A" w14:textId="77777777" w:rsidR="00CC034B" w:rsidRPr="00CC034B" w:rsidRDefault="00CC034B" w:rsidP="00FB6278">
            <w:pPr>
              <w:rPr>
                <w:rFonts w:ascii="Arial" w:hAnsi="Arial"/>
                <w:b/>
                <w:bCs/>
                <w:sz w:val="22"/>
              </w:rPr>
            </w:pPr>
            <w:r w:rsidRPr="00CC034B">
              <w:rPr>
                <w:rFonts w:ascii="Arial" w:hAnsi="Arial"/>
                <w:b/>
                <w:bCs/>
                <w:sz w:val="22"/>
              </w:rPr>
              <w:t>Executive Salary</w:t>
            </w:r>
            <w:r w:rsidRPr="00CC034B">
              <w:rPr>
                <w:rFonts w:ascii="Arial" w:hAnsi="Arial"/>
                <w:b/>
                <w:bCs/>
                <w:sz w:val="22"/>
              </w:rPr>
              <w:br/>
              <w:t>(bands of £5,000)</w:t>
            </w:r>
            <w:r w:rsidRPr="00CC034B">
              <w:rPr>
                <w:rFonts w:ascii="Arial" w:hAnsi="Arial"/>
                <w:b/>
                <w:bCs/>
                <w:sz w:val="22"/>
              </w:rPr>
              <w:br/>
              <w:t>£'000s</w:t>
            </w:r>
          </w:p>
        </w:tc>
        <w:tc>
          <w:tcPr>
            <w:tcW w:w="1556" w:type="dxa"/>
            <w:hideMark/>
          </w:tcPr>
          <w:p w14:paraId="385CD3ED" w14:textId="77777777" w:rsidR="00CC034B" w:rsidRPr="00CC034B" w:rsidRDefault="00CC034B" w:rsidP="00FB6278">
            <w:pPr>
              <w:rPr>
                <w:rFonts w:ascii="Arial" w:hAnsi="Arial"/>
                <w:b/>
                <w:bCs/>
                <w:sz w:val="22"/>
              </w:rPr>
            </w:pPr>
            <w:r w:rsidRPr="00CC034B">
              <w:rPr>
                <w:rFonts w:ascii="Arial" w:hAnsi="Arial"/>
                <w:b/>
                <w:bCs/>
                <w:sz w:val="22"/>
              </w:rPr>
              <w:t>Clinical / Research Salary</w:t>
            </w:r>
            <w:r w:rsidRPr="00CC034B">
              <w:rPr>
                <w:rFonts w:ascii="Arial" w:hAnsi="Arial"/>
                <w:b/>
                <w:bCs/>
                <w:sz w:val="22"/>
              </w:rPr>
              <w:br/>
              <w:t>(bands of £5,000)</w:t>
            </w:r>
            <w:r w:rsidRPr="00CC034B">
              <w:rPr>
                <w:rFonts w:ascii="Arial" w:hAnsi="Arial"/>
                <w:b/>
                <w:bCs/>
                <w:sz w:val="22"/>
              </w:rPr>
              <w:br/>
              <w:t>£'000s</w:t>
            </w:r>
          </w:p>
        </w:tc>
        <w:tc>
          <w:tcPr>
            <w:tcW w:w="1556" w:type="dxa"/>
            <w:hideMark/>
          </w:tcPr>
          <w:p w14:paraId="5C3AF281" w14:textId="77777777" w:rsidR="00CC034B" w:rsidRPr="00CC034B" w:rsidRDefault="00CC034B" w:rsidP="00FB6278">
            <w:pPr>
              <w:rPr>
                <w:rFonts w:ascii="Arial" w:hAnsi="Arial"/>
                <w:b/>
                <w:bCs/>
                <w:sz w:val="22"/>
              </w:rPr>
            </w:pPr>
            <w:r w:rsidRPr="00CC034B">
              <w:rPr>
                <w:rFonts w:ascii="Arial" w:hAnsi="Arial"/>
                <w:b/>
                <w:bCs/>
                <w:sz w:val="22"/>
              </w:rPr>
              <w:t>Pension-Related Benefits</w:t>
            </w:r>
            <w:r w:rsidRPr="00CC034B">
              <w:rPr>
                <w:rFonts w:ascii="Arial" w:hAnsi="Arial"/>
                <w:b/>
                <w:bCs/>
                <w:sz w:val="22"/>
              </w:rPr>
              <w:br/>
              <w:t>(bands of £2,500)</w:t>
            </w:r>
            <w:r w:rsidRPr="00CC034B">
              <w:rPr>
                <w:rFonts w:ascii="Arial" w:hAnsi="Arial"/>
                <w:b/>
                <w:bCs/>
                <w:sz w:val="22"/>
              </w:rPr>
              <w:br/>
              <w:t>£'000s</w:t>
            </w:r>
          </w:p>
        </w:tc>
        <w:tc>
          <w:tcPr>
            <w:tcW w:w="1556" w:type="dxa"/>
            <w:hideMark/>
          </w:tcPr>
          <w:p w14:paraId="5C761CAC" w14:textId="77777777" w:rsidR="00CC034B" w:rsidRPr="00CC034B" w:rsidRDefault="00CC034B" w:rsidP="00FB6278">
            <w:pPr>
              <w:rPr>
                <w:rFonts w:ascii="Arial" w:hAnsi="Arial"/>
                <w:b/>
                <w:bCs/>
                <w:sz w:val="22"/>
              </w:rPr>
            </w:pPr>
            <w:r w:rsidRPr="00CC034B">
              <w:rPr>
                <w:rFonts w:ascii="Arial" w:hAnsi="Arial"/>
                <w:b/>
                <w:bCs/>
                <w:sz w:val="22"/>
              </w:rPr>
              <w:t>Total Entitlement</w:t>
            </w:r>
            <w:r w:rsidRPr="00CC034B">
              <w:rPr>
                <w:rFonts w:ascii="Arial" w:hAnsi="Arial"/>
                <w:b/>
                <w:bCs/>
                <w:sz w:val="22"/>
              </w:rPr>
              <w:br/>
              <w:t>(bands of £5,000)</w:t>
            </w:r>
            <w:r w:rsidRPr="00CC034B">
              <w:rPr>
                <w:rFonts w:ascii="Arial" w:hAnsi="Arial"/>
                <w:b/>
                <w:bCs/>
                <w:sz w:val="22"/>
              </w:rPr>
              <w:br/>
              <w:t>£'000s</w:t>
            </w:r>
          </w:p>
        </w:tc>
      </w:tr>
      <w:tr w:rsidR="00CC034B" w:rsidRPr="00CC034B" w14:paraId="197E8D19" w14:textId="77777777" w:rsidTr="00017EA2">
        <w:trPr>
          <w:trHeight w:val="260"/>
        </w:trPr>
        <w:tc>
          <w:tcPr>
            <w:tcW w:w="9164" w:type="dxa"/>
            <w:noWrap/>
            <w:hideMark/>
          </w:tcPr>
          <w:p w14:paraId="65AAC268" w14:textId="77777777" w:rsidR="00CC034B" w:rsidRPr="00CC034B" w:rsidRDefault="00CC034B" w:rsidP="00FB6278">
            <w:pPr>
              <w:rPr>
                <w:rFonts w:ascii="Arial" w:hAnsi="Arial"/>
                <w:sz w:val="22"/>
              </w:rPr>
            </w:pPr>
            <w:r w:rsidRPr="00CC034B">
              <w:rPr>
                <w:rFonts w:ascii="Arial" w:hAnsi="Arial"/>
                <w:sz w:val="22"/>
              </w:rPr>
              <w:t xml:space="preserve">Mr Martin </w:t>
            </w:r>
            <w:proofErr w:type="spellStart"/>
            <w:r w:rsidRPr="00CC034B">
              <w:rPr>
                <w:rFonts w:ascii="Arial" w:hAnsi="Arial"/>
                <w:sz w:val="22"/>
              </w:rPr>
              <w:t>Kuper</w:t>
            </w:r>
            <w:proofErr w:type="spellEnd"/>
            <w:r w:rsidRPr="00CC034B">
              <w:rPr>
                <w:rFonts w:ascii="Arial" w:hAnsi="Arial"/>
                <w:sz w:val="22"/>
              </w:rPr>
              <w:t xml:space="preserve"> - Chief Executive (start date 01.09.2021)</w:t>
            </w:r>
          </w:p>
        </w:tc>
        <w:tc>
          <w:tcPr>
            <w:tcW w:w="1556" w:type="dxa"/>
            <w:hideMark/>
          </w:tcPr>
          <w:p w14:paraId="62F0F1DC" w14:textId="77777777" w:rsidR="00CC034B" w:rsidRPr="00CC034B" w:rsidRDefault="00CC034B" w:rsidP="00FB6278">
            <w:pPr>
              <w:rPr>
                <w:rFonts w:ascii="Arial" w:hAnsi="Arial"/>
                <w:sz w:val="22"/>
              </w:rPr>
            </w:pPr>
            <w:r w:rsidRPr="00CC034B">
              <w:rPr>
                <w:rFonts w:ascii="Arial" w:hAnsi="Arial"/>
                <w:sz w:val="22"/>
              </w:rPr>
              <w:t>125 - 130</w:t>
            </w:r>
          </w:p>
        </w:tc>
        <w:tc>
          <w:tcPr>
            <w:tcW w:w="1556" w:type="dxa"/>
            <w:hideMark/>
          </w:tcPr>
          <w:p w14:paraId="507B7C35" w14:textId="77777777" w:rsidR="00CC034B" w:rsidRPr="00CC034B" w:rsidRDefault="00CC034B" w:rsidP="00FB6278">
            <w:pPr>
              <w:rPr>
                <w:rFonts w:ascii="Arial" w:hAnsi="Arial"/>
                <w:sz w:val="22"/>
              </w:rPr>
            </w:pPr>
            <w:r w:rsidRPr="00CC034B">
              <w:rPr>
                <w:rFonts w:ascii="Arial" w:hAnsi="Arial"/>
                <w:sz w:val="22"/>
              </w:rPr>
              <w:t>-</w:t>
            </w:r>
          </w:p>
        </w:tc>
        <w:tc>
          <w:tcPr>
            <w:tcW w:w="1556" w:type="dxa"/>
            <w:hideMark/>
          </w:tcPr>
          <w:p w14:paraId="2C58DDB0" w14:textId="77777777" w:rsidR="00CC034B" w:rsidRPr="00CC034B" w:rsidRDefault="00CC034B" w:rsidP="00FB6278">
            <w:pPr>
              <w:rPr>
                <w:rFonts w:ascii="Arial" w:hAnsi="Arial"/>
                <w:sz w:val="22"/>
              </w:rPr>
            </w:pPr>
            <w:r w:rsidRPr="00CC034B">
              <w:rPr>
                <w:rFonts w:ascii="Arial" w:hAnsi="Arial"/>
                <w:sz w:val="22"/>
              </w:rPr>
              <w:t>37.5 - 40.0</w:t>
            </w:r>
          </w:p>
        </w:tc>
        <w:tc>
          <w:tcPr>
            <w:tcW w:w="1556" w:type="dxa"/>
            <w:hideMark/>
          </w:tcPr>
          <w:p w14:paraId="683D7A02" w14:textId="77777777" w:rsidR="00CC034B" w:rsidRPr="00CC034B" w:rsidRDefault="00CC034B" w:rsidP="00FB6278">
            <w:pPr>
              <w:rPr>
                <w:rFonts w:ascii="Arial" w:hAnsi="Arial"/>
                <w:sz w:val="22"/>
              </w:rPr>
            </w:pPr>
            <w:r w:rsidRPr="00CC034B">
              <w:rPr>
                <w:rFonts w:ascii="Arial" w:hAnsi="Arial"/>
                <w:sz w:val="22"/>
              </w:rPr>
              <w:t>165.0 - 170.0</w:t>
            </w:r>
          </w:p>
        </w:tc>
      </w:tr>
      <w:tr w:rsidR="00CC034B" w:rsidRPr="00CC034B" w14:paraId="56AD48BA" w14:textId="77777777" w:rsidTr="00017EA2">
        <w:trPr>
          <w:trHeight w:val="260"/>
        </w:trPr>
        <w:tc>
          <w:tcPr>
            <w:tcW w:w="9164" w:type="dxa"/>
            <w:noWrap/>
            <w:hideMark/>
          </w:tcPr>
          <w:p w14:paraId="26F7C0EA" w14:textId="77777777" w:rsidR="00CC034B" w:rsidRPr="00CC034B" w:rsidRDefault="00CC034B" w:rsidP="00FB6278">
            <w:pPr>
              <w:rPr>
                <w:rFonts w:ascii="Arial" w:hAnsi="Arial"/>
                <w:sz w:val="22"/>
              </w:rPr>
            </w:pPr>
            <w:r w:rsidRPr="00CC034B">
              <w:rPr>
                <w:rFonts w:ascii="Arial" w:hAnsi="Arial"/>
                <w:sz w:val="22"/>
              </w:rPr>
              <w:t xml:space="preserve">Mr D Probert - Chief Executive </w:t>
            </w:r>
            <w:proofErr w:type="gramStart"/>
            <w:r w:rsidRPr="00CC034B">
              <w:rPr>
                <w:rFonts w:ascii="Arial" w:hAnsi="Arial"/>
                <w:sz w:val="22"/>
              </w:rPr>
              <w:t>( end</w:t>
            </w:r>
            <w:proofErr w:type="gramEnd"/>
            <w:r w:rsidRPr="00CC034B">
              <w:rPr>
                <w:rFonts w:ascii="Arial" w:hAnsi="Arial"/>
                <w:sz w:val="22"/>
              </w:rPr>
              <w:t xml:space="preserve"> date 30.08.2021)</w:t>
            </w:r>
          </w:p>
        </w:tc>
        <w:tc>
          <w:tcPr>
            <w:tcW w:w="1556" w:type="dxa"/>
            <w:noWrap/>
            <w:hideMark/>
          </w:tcPr>
          <w:p w14:paraId="09B099C4" w14:textId="77777777" w:rsidR="00CC034B" w:rsidRPr="00CC034B" w:rsidRDefault="00CC034B" w:rsidP="00FB6278">
            <w:pPr>
              <w:rPr>
                <w:rFonts w:ascii="Arial" w:hAnsi="Arial"/>
                <w:sz w:val="22"/>
              </w:rPr>
            </w:pPr>
            <w:r w:rsidRPr="00CC034B">
              <w:rPr>
                <w:rFonts w:ascii="Arial" w:hAnsi="Arial"/>
                <w:sz w:val="22"/>
              </w:rPr>
              <w:t>85 - 90</w:t>
            </w:r>
          </w:p>
        </w:tc>
        <w:tc>
          <w:tcPr>
            <w:tcW w:w="1556" w:type="dxa"/>
            <w:noWrap/>
            <w:hideMark/>
          </w:tcPr>
          <w:p w14:paraId="5707B5FD" w14:textId="77777777" w:rsidR="00CC034B" w:rsidRPr="00CC034B" w:rsidRDefault="00CC034B" w:rsidP="00FB6278">
            <w:pPr>
              <w:rPr>
                <w:rFonts w:ascii="Arial" w:hAnsi="Arial"/>
                <w:sz w:val="22"/>
              </w:rPr>
            </w:pPr>
            <w:r w:rsidRPr="00CC034B">
              <w:rPr>
                <w:rFonts w:ascii="Arial" w:hAnsi="Arial"/>
                <w:sz w:val="22"/>
              </w:rPr>
              <w:t>-</w:t>
            </w:r>
          </w:p>
        </w:tc>
        <w:tc>
          <w:tcPr>
            <w:tcW w:w="1556" w:type="dxa"/>
            <w:noWrap/>
            <w:hideMark/>
          </w:tcPr>
          <w:p w14:paraId="5DDD972E" w14:textId="77777777" w:rsidR="00CC034B" w:rsidRPr="00CC034B" w:rsidRDefault="00CC034B" w:rsidP="00FB6278">
            <w:pPr>
              <w:rPr>
                <w:rFonts w:ascii="Arial" w:hAnsi="Arial"/>
                <w:sz w:val="22"/>
              </w:rPr>
            </w:pPr>
            <w:r w:rsidRPr="00CC034B">
              <w:rPr>
                <w:rFonts w:ascii="Arial" w:hAnsi="Arial"/>
                <w:sz w:val="22"/>
              </w:rPr>
              <w:t>32.5 - 35.0</w:t>
            </w:r>
          </w:p>
        </w:tc>
        <w:tc>
          <w:tcPr>
            <w:tcW w:w="1556" w:type="dxa"/>
            <w:noWrap/>
            <w:hideMark/>
          </w:tcPr>
          <w:p w14:paraId="18FDAB9C" w14:textId="77777777" w:rsidR="00CC034B" w:rsidRPr="00CC034B" w:rsidRDefault="00CC034B" w:rsidP="00FB6278">
            <w:pPr>
              <w:rPr>
                <w:rFonts w:ascii="Arial" w:hAnsi="Arial"/>
                <w:sz w:val="22"/>
              </w:rPr>
            </w:pPr>
            <w:r w:rsidRPr="00CC034B">
              <w:rPr>
                <w:rFonts w:ascii="Arial" w:hAnsi="Arial"/>
                <w:sz w:val="22"/>
              </w:rPr>
              <w:t>120.0 -125.0</w:t>
            </w:r>
          </w:p>
        </w:tc>
      </w:tr>
      <w:tr w:rsidR="00CC034B" w:rsidRPr="00CC034B" w14:paraId="2E64F350" w14:textId="77777777" w:rsidTr="00017EA2">
        <w:trPr>
          <w:trHeight w:val="260"/>
        </w:trPr>
        <w:tc>
          <w:tcPr>
            <w:tcW w:w="9164" w:type="dxa"/>
            <w:noWrap/>
            <w:hideMark/>
          </w:tcPr>
          <w:p w14:paraId="50CBE53B" w14:textId="77777777" w:rsidR="00CC034B" w:rsidRPr="00CC034B" w:rsidRDefault="00CC034B" w:rsidP="00FB6278">
            <w:pPr>
              <w:rPr>
                <w:rFonts w:ascii="Arial" w:hAnsi="Arial"/>
                <w:sz w:val="22"/>
              </w:rPr>
            </w:pPr>
            <w:r w:rsidRPr="00CC034B">
              <w:rPr>
                <w:rFonts w:ascii="Arial" w:hAnsi="Arial"/>
                <w:sz w:val="22"/>
              </w:rPr>
              <w:t>Mr J Wilson - Chief Financial Officer and Deputy Chief Executive</w:t>
            </w:r>
          </w:p>
        </w:tc>
        <w:tc>
          <w:tcPr>
            <w:tcW w:w="1556" w:type="dxa"/>
            <w:noWrap/>
            <w:hideMark/>
          </w:tcPr>
          <w:p w14:paraId="3925E439" w14:textId="77777777" w:rsidR="00CC034B" w:rsidRPr="00CC034B" w:rsidRDefault="00CC034B" w:rsidP="00FB6278">
            <w:pPr>
              <w:rPr>
                <w:rFonts w:ascii="Arial" w:hAnsi="Arial"/>
                <w:sz w:val="22"/>
              </w:rPr>
            </w:pPr>
            <w:r w:rsidRPr="00CC034B">
              <w:rPr>
                <w:rFonts w:ascii="Arial" w:hAnsi="Arial"/>
                <w:sz w:val="22"/>
              </w:rPr>
              <w:t>155 - 160</w:t>
            </w:r>
          </w:p>
        </w:tc>
        <w:tc>
          <w:tcPr>
            <w:tcW w:w="1556" w:type="dxa"/>
            <w:noWrap/>
            <w:hideMark/>
          </w:tcPr>
          <w:p w14:paraId="7DB125BC" w14:textId="77777777" w:rsidR="00CC034B" w:rsidRPr="00CC034B" w:rsidRDefault="00CC034B" w:rsidP="00FB6278">
            <w:pPr>
              <w:rPr>
                <w:rFonts w:ascii="Arial" w:hAnsi="Arial"/>
                <w:sz w:val="22"/>
              </w:rPr>
            </w:pPr>
            <w:r w:rsidRPr="00CC034B">
              <w:rPr>
                <w:rFonts w:ascii="Arial" w:hAnsi="Arial"/>
                <w:sz w:val="22"/>
              </w:rPr>
              <w:t>-</w:t>
            </w:r>
          </w:p>
        </w:tc>
        <w:tc>
          <w:tcPr>
            <w:tcW w:w="1556" w:type="dxa"/>
            <w:noWrap/>
            <w:hideMark/>
          </w:tcPr>
          <w:p w14:paraId="1001A4FF" w14:textId="77777777" w:rsidR="00CC034B" w:rsidRPr="00CC034B" w:rsidRDefault="00CC034B" w:rsidP="00FB6278">
            <w:pPr>
              <w:rPr>
                <w:rFonts w:ascii="Arial" w:hAnsi="Arial"/>
                <w:sz w:val="22"/>
              </w:rPr>
            </w:pPr>
            <w:r w:rsidRPr="00CC034B">
              <w:rPr>
                <w:rFonts w:ascii="Arial" w:hAnsi="Arial"/>
                <w:sz w:val="22"/>
              </w:rPr>
              <w:t>0.0 - 2.5</w:t>
            </w:r>
          </w:p>
        </w:tc>
        <w:tc>
          <w:tcPr>
            <w:tcW w:w="1556" w:type="dxa"/>
            <w:noWrap/>
            <w:hideMark/>
          </w:tcPr>
          <w:p w14:paraId="2A237C51" w14:textId="77777777" w:rsidR="00CC034B" w:rsidRPr="00CC034B" w:rsidRDefault="00CC034B" w:rsidP="00FB6278">
            <w:pPr>
              <w:rPr>
                <w:rFonts w:ascii="Arial" w:hAnsi="Arial"/>
                <w:sz w:val="22"/>
              </w:rPr>
            </w:pPr>
            <w:r w:rsidRPr="00CC034B">
              <w:rPr>
                <w:rFonts w:ascii="Arial" w:hAnsi="Arial"/>
                <w:sz w:val="22"/>
              </w:rPr>
              <w:t>155.0 -160.0</w:t>
            </w:r>
          </w:p>
        </w:tc>
      </w:tr>
      <w:tr w:rsidR="00CC034B" w:rsidRPr="00CC034B" w14:paraId="6CCC42A1" w14:textId="77777777" w:rsidTr="00017EA2">
        <w:trPr>
          <w:trHeight w:val="260"/>
        </w:trPr>
        <w:tc>
          <w:tcPr>
            <w:tcW w:w="9164" w:type="dxa"/>
            <w:noWrap/>
            <w:hideMark/>
          </w:tcPr>
          <w:p w14:paraId="71D70D44" w14:textId="77777777" w:rsidR="00CC034B" w:rsidRPr="00CC034B" w:rsidRDefault="00CC034B" w:rsidP="00FB6278">
            <w:pPr>
              <w:rPr>
                <w:rFonts w:ascii="Arial" w:hAnsi="Arial"/>
                <w:sz w:val="22"/>
              </w:rPr>
            </w:pPr>
            <w:r w:rsidRPr="00CC034B">
              <w:rPr>
                <w:rFonts w:ascii="Arial" w:hAnsi="Arial"/>
                <w:sz w:val="22"/>
              </w:rPr>
              <w:t>Prof P Khaw - Research Director</w:t>
            </w:r>
          </w:p>
        </w:tc>
        <w:tc>
          <w:tcPr>
            <w:tcW w:w="1556" w:type="dxa"/>
            <w:noWrap/>
            <w:hideMark/>
          </w:tcPr>
          <w:p w14:paraId="6224D54C" w14:textId="77777777" w:rsidR="00CC034B" w:rsidRPr="00CC034B" w:rsidRDefault="00CC034B" w:rsidP="00FB6278">
            <w:pPr>
              <w:rPr>
                <w:rFonts w:ascii="Arial" w:hAnsi="Arial"/>
                <w:sz w:val="22"/>
              </w:rPr>
            </w:pPr>
            <w:r w:rsidRPr="00CC034B">
              <w:rPr>
                <w:rFonts w:ascii="Arial" w:hAnsi="Arial"/>
                <w:sz w:val="22"/>
              </w:rPr>
              <w:t>30 - 35</w:t>
            </w:r>
          </w:p>
        </w:tc>
        <w:tc>
          <w:tcPr>
            <w:tcW w:w="1556" w:type="dxa"/>
            <w:noWrap/>
            <w:hideMark/>
          </w:tcPr>
          <w:p w14:paraId="3A17BE85" w14:textId="77777777" w:rsidR="00CC034B" w:rsidRPr="00CC034B" w:rsidRDefault="00CC034B" w:rsidP="00FB6278">
            <w:pPr>
              <w:rPr>
                <w:rFonts w:ascii="Arial" w:hAnsi="Arial"/>
                <w:sz w:val="22"/>
              </w:rPr>
            </w:pPr>
            <w:r w:rsidRPr="00CC034B">
              <w:rPr>
                <w:rFonts w:ascii="Arial" w:hAnsi="Arial"/>
                <w:sz w:val="22"/>
              </w:rPr>
              <w:t>205 - 210</w:t>
            </w:r>
          </w:p>
        </w:tc>
        <w:tc>
          <w:tcPr>
            <w:tcW w:w="1556" w:type="dxa"/>
            <w:noWrap/>
            <w:hideMark/>
          </w:tcPr>
          <w:p w14:paraId="3BF4BC19" w14:textId="77777777" w:rsidR="00CC034B" w:rsidRPr="00CC034B" w:rsidRDefault="00CC034B" w:rsidP="00FB6278">
            <w:pPr>
              <w:rPr>
                <w:rFonts w:ascii="Arial" w:hAnsi="Arial"/>
                <w:sz w:val="22"/>
              </w:rPr>
            </w:pPr>
            <w:r w:rsidRPr="00CC034B">
              <w:rPr>
                <w:rFonts w:ascii="Arial" w:hAnsi="Arial"/>
                <w:sz w:val="22"/>
              </w:rPr>
              <w:t>0.0 -2.5</w:t>
            </w:r>
          </w:p>
        </w:tc>
        <w:tc>
          <w:tcPr>
            <w:tcW w:w="1556" w:type="dxa"/>
            <w:noWrap/>
            <w:hideMark/>
          </w:tcPr>
          <w:p w14:paraId="36E0E55F" w14:textId="77777777" w:rsidR="00CC034B" w:rsidRPr="00CC034B" w:rsidRDefault="00CC034B" w:rsidP="00FB6278">
            <w:pPr>
              <w:rPr>
                <w:rFonts w:ascii="Arial" w:hAnsi="Arial"/>
                <w:sz w:val="22"/>
              </w:rPr>
            </w:pPr>
            <w:r w:rsidRPr="00CC034B">
              <w:rPr>
                <w:rFonts w:ascii="Arial" w:hAnsi="Arial"/>
                <w:sz w:val="22"/>
              </w:rPr>
              <w:t>240.0 -245.0</w:t>
            </w:r>
          </w:p>
        </w:tc>
      </w:tr>
      <w:tr w:rsidR="00CC034B" w:rsidRPr="00CC034B" w14:paraId="3D9967EB" w14:textId="77777777" w:rsidTr="00017EA2">
        <w:trPr>
          <w:trHeight w:val="260"/>
        </w:trPr>
        <w:tc>
          <w:tcPr>
            <w:tcW w:w="9164" w:type="dxa"/>
            <w:noWrap/>
            <w:hideMark/>
          </w:tcPr>
          <w:p w14:paraId="73250183" w14:textId="77777777" w:rsidR="00CC034B" w:rsidRPr="00CC034B" w:rsidRDefault="00CC034B" w:rsidP="00FB6278">
            <w:pPr>
              <w:rPr>
                <w:rFonts w:ascii="Arial" w:hAnsi="Arial"/>
                <w:sz w:val="22"/>
              </w:rPr>
            </w:pPr>
            <w:r w:rsidRPr="00CC034B">
              <w:rPr>
                <w:rFonts w:ascii="Arial" w:hAnsi="Arial"/>
                <w:sz w:val="22"/>
              </w:rPr>
              <w:t>Ms T Luckett - Director of Nursing &amp; Allied Health Professions (end date 31.01.2022)</w:t>
            </w:r>
          </w:p>
        </w:tc>
        <w:tc>
          <w:tcPr>
            <w:tcW w:w="1556" w:type="dxa"/>
            <w:noWrap/>
            <w:hideMark/>
          </w:tcPr>
          <w:p w14:paraId="6DB7F580" w14:textId="77777777" w:rsidR="00CC034B" w:rsidRPr="00CC034B" w:rsidRDefault="00CC034B" w:rsidP="00FB6278">
            <w:pPr>
              <w:rPr>
                <w:rFonts w:ascii="Arial" w:hAnsi="Arial"/>
                <w:sz w:val="22"/>
              </w:rPr>
            </w:pPr>
            <w:r w:rsidRPr="00CC034B">
              <w:rPr>
                <w:rFonts w:ascii="Arial" w:hAnsi="Arial"/>
                <w:sz w:val="22"/>
              </w:rPr>
              <w:t>100 -105</w:t>
            </w:r>
          </w:p>
        </w:tc>
        <w:tc>
          <w:tcPr>
            <w:tcW w:w="1556" w:type="dxa"/>
            <w:noWrap/>
            <w:hideMark/>
          </w:tcPr>
          <w:p w14:paraId="45521387" w14:textId="77777777" w:rsidR="00CC034B" w:rsidRPr="00CC034B" w:rsidRDefault="00CC034B" w:rsidP="00FB6278">
            <w:pPr>
              <w:rPr>
                <w:rFonts w:ascii="Arial" w:hAnsi="Arial"/>
                <w:sz w:val="22"/>
              </w:rPr>
            </w:pPr>
            <w:r w:rsidRPr="00CC034B">
              <w:rPr>
                <w:rFonts w:ascii="Arial" w:hAnsi="Arial"/>
                <w:sz w:val="22"/>
              </w:rPr>
              <w:t>-</w:t>
            </w:r>
          </w:p>
        </w:tc>
        <w:tc>
          <w:tcPr>
            <w:tcW w:w="1556" w:type="dxa"/>
            <w:noWrap/>
            <w:hideMark/>
          </w:tcPr>
          <w:p w14:paraId="78C40EC3" w14:textId="77777777" w:rsidR="00CC034B" w:rsidRPr="00CC034B" w:rsidRDefault="00CC034B" w:rsidP="00FB6278">
            <w:pPr>
              <w:rPr>
                <w:rFonts w:ascii="Arial" w:hAnsi="Arial"/>
                <w:sz w:val="22"/>
              </w:rPr>
            </w:pPr>
            <w:r w:rsidRPr="00CC034B">
              <w:rPr>
                <w:rFonts w:ascii="Arial" w:hAnsi="Arial"/>
                <w:sz w:val="22"/>
              </w:rPr>
              <w:t>0.0 - 2.5</w:t>
            </w:r>
          </w:p>
        </w:tc>
        <w:tc>
          <w:tcPr>
            <w:tcW w:w="1556" w:type="dxa"/>
            <w:noWrap/>
            <w:hideMark/>
          </w:tcPr>
          <w:p w14:paraId="14773E30" w14:textId="77777777" w:rsidR="00CC034B" w:rsidRPr="00CC034B" w:rsidRDefault="00CC034B" w:rsidP="00FB6278">
            <w:pPr>
              <w:rPr>
                <w:rFonts w:ascii="Arial" w:hAnsi="Arial"/>
                <w:sz w:val="22"/>
              </w:rPr>
            </w:pPr>
            <w:r w:rsidRPr="00CC034B">
              <w:rPr>
                <w:rFonts w:ascii="Arial" w:hAnsi="Arial"/>
                <w:sz w:val="22"/>
              </w:rPr>
              <w:t>100.0 - 105.0</w:t>
            </w:r>
          </w:p>
        </w:tc>
      </w:tr>
      <w:tr w:rsidR="00CC034B" w:rsidRPr="00CC034B" w14:paraId="1F0372CB" w14:textId="77777777" w:rsidTr="00017EA2">
        <w:trPr>
          <w:trHeight w:val="260"/>
        </w:trPr>
        <w:tc>
          <w:tcPr>
            <w:tcW w:w="9164" w:type="dxa"/>
            <w:noWrap/>
            <w:hideMark/>
          </w:tcPr>
          <w:p w14:paraId="413469DA" w14:textId="77777777" w:rsidR="00CC034B" w:rsidRPr="00CC034B" w:rsidRDefault="00CC034B" w:rsidP="00FB6278">
            <w:pPr>
              <w:rPr>
                <w:rFonts w:ascii="Arial" w:hAnsi="Arial"/>
                <w:sz w:val="22"/>
              </w:rPr>
            </w:pPr>
            <w:r w:rsidRPr="00CC034B">
              <w:rPr>
                <w:rFonts w:ascii="Arial" w:hAnsi="Arial"/>
                <w:sz w:val="22"/>
              </w:rPr>
              <w:t>Ms S Needham - Director of Nursing &amp; Allied Health Professions (start date 01.01.2022, end date 31.03.2022)</w:t>
            </w:r>
          </w:p>
        </w:tc>
        <w:tc>
          <w:tcPr>
            <w:tcW w:w="1556" w:type="dxa"/>
            <w:noWrap/>
            <w:hideMark/>
          </w:tcPr>
          <w:p w14:paraId="12CDB4FA" w14:textId="77777777" w:rsidR="00CC034B" w:rsidRPr="00CC034B" w:rsidRDefault="00CC034B" w:rsidP="00FB6278">
            <w:pPr>
              <w:rPr>
                <w:rFonts w:ascii="Arial" w:hAnsi="Arial"/>
                <w:sz w:val="22"/>
              </w:rPr>
            </w:pPr>
            <w:r w:rsidRPr="00CC034B">
              <w:rPr>
                <w:rFonts w:ascii="Arial" w:hAnsi="Arial"/>
                <w:sz w:val="22"/>
              </w:rPr>
              <w:t>25-30</w:t>
            </w:r>
          </w:p>
        </w:tc>
        <w:tc>
          <w:tcPr>
            <w:tcW w:w="1556" w:type="dxa"/>
            <w:noWrap/>
            <w:hideMark/>
          </w:tcPr>
          <w:p w14:paraId="78A49A0F" w14:textId="77777777" w:rsidR="00CC034B" w:rsidRPr="00CC034B" w:rsidRDefault="00CC034B" w:rsidP="00FB6278">
            <w:pPr>
              <w:rPr>
                <w:rFonts w:ascii="Arial" w:hAnsi="Arial"/>
                <w:sz w:val="22"/>
              </w:rPr>
            </w:pPr>
            <w:r w:rsidRPr="00CC034B">
              <w:rPr>
                <w:rFonts w:ascii="Arial" w:hAnsi="Arial"/>
                <w:sz w:val="22"/>
              </w:rPr>
              <w:t>-</w:t>
            </w:r>
          </w:p>
        </w:tc>
        <w:tc>
          <w:tcPr>
            <w:tcW w:w="1556" w:type="dxa"/>
            <w:noWrap/>
            <w:hideMark/>
          </w:tcPr>
          <w:p w14:paraId="5DB716FA" w14:textId="77777777" w:rsidR="00CC034B" w:rsidRPr="00CC034B" w:rsidRDefault="00CC034B" w:rsidP="00FB6278">
            <w:pPr>
              <w:rPr>
                <w:rFonts w:ascii="Arial" w:hAnsi="Arial"/>
                <w:sz w:val="22"/>
              </w:rPr>
            </w:pPr>
            <w:r w:rsidRPr="00CC034B">
              <w:rPr>
                <w:rFonts w:ascii="Arial" w:hAnsi="Arial"/>
                <w:sz w:val="22"/>
              </w:rPr>
              <w:t>7.0 - 7.5</w:t>
            </w:r>
          </w:p>
        </w:tc>
        <w:tc>
          <w:tcPr>
            <w:tcW w:w="1556" w:type="dxa"/>
            <w:noWrap/>
            <w:hideMark/>
          </w:tcPr>
          <w:p w14:paraId="53F95374" w14:textId="77777777" w:rsidR="00CC034B" w:rsidRPr="00CC034B" w:rsidRDefault="00CC034B" w:rsidP="00FB6278">
            <w:pPr>
              <w:rPr>
                <w:rFonts w:ascii="Arial" w:hAnsi="Arial"/>
                <w:sz w:val="22"/>
              </w:rPr>
            </w:pPr>
            <w:r w:rsidRPr="00CC034B">
              <w:rPr>
                <w:rFonts w:ascii="Arial" w:hAnsi="Arial"/>
                <w:sz w:val="22"/>
              </w:rPr>
              <w:t>30.0 - 35.0</w:t>
            </w:r>
          </w:p>
        </w:tc>
      </w:tr>
      <w:tr w:rsidR="00CC034B" w:rsidRPr="00CC034B" w14:paraId="56150359" w14:textId="77777777" w:rsidTr="00017EA2">
        <w:trPr>
          <w:trHeight w:val="260"/>
        </w:trPr>
        <w:tc>
          <w:tcPr>
            <w:tcW w:w="9164" w:type="dxa"/>
            <w:noWrap/>
            <w:hideMark/>
          </w:tcPr>
          <w:p w14:paraId="62578D91" w14:textId="77777777" w:rsidR="00CC034B" w:rsidRPr="00CC034B" w:rsidRDefault="00CC034B" w:rsidP="00FB6278">
            <w:pPr>
              <w:rPr>
                <w:rFonts w:ascii="Arial" w:hAnsi="Arial"/>
                <w:sz w:val="22"/>
              </w:rPr>
            </w:pPr>
            <w:r w:rsidRPr="00CC034B">
              <w:rPr>
                <w:rFonts w:ascii="Arial" w:hAnsi="Arial"/>
                <w:sz w:val="22"/>
              </w:rPr>
              <w:t xml:space="preserve">Ms L Wickham - Medical Director </w:t>
            </w:r>
          </w:p>
        </w:tc>
        <w:tc>
          <w:tcPr>
            <w:tcW w:w="1556" w:type="dxa"/>
            <w:noWrap/>
            <w:hideMark/>
          </w:tcPr>
          <w:p w14:paraId="53DED9E1" w14:textId="77777777" w:rsidR="00CC034B" w:rsidRPr="00CC034B" w:rsidRDefault="00CC034B" w:rsidP="00FB6278">
            <w:pPr>
              <w:rPr>
                <w:rFonts w:ascii="Arial" w:hAnsi="Arial"/>
                <w:sz w:val="22"/>
              </w:rPr>
            </w:pPr>
            <w:r w:rsidRPr="00CC034B">
              <w:rPr>
                <w:rFonts w:ascii="Arial" w:hAnsi="Arial"/>
                <w:sz w:val="22"/>
              </w:rPr>
              <w:t>55 -60</w:t>
            </w:r>
          </w:p>
        </w:tc>
        <w:tc>
          <w:tcPr>
            <w:tcW w:w="1556" w:type="dxa"/>
            <w:noWrap/>
            <w:hideMark/>
          </w:tcPr>
          <w:p w14:paraId="27595D4A" w14:textId="77777777" w:rsidR="00CC034B" w:rsidRPr="00CC034B" w:rsidRDefault="00CC034B" w:rsidP="00FB6278">
            <w:pPr>
              <w:rPr>
                <w:rFonts w:ascii="Arial" w:hAnsi="Arial"/>
                <w:sz w:val="22"/>
              </w:rPr>
            </w:pPr>
            <w:r w:rsidRPr="00CC034B">
              <w:rPr>
                <w:rFonts w:ascii="Arial" w:hAnsi="Arial"/>
                <w:sz w:val="22"/>
              </w:rPr>
              <w:t>120 -125</w:t>
            </w:r>
          </w:p>
        </w:tc>
        <w:tc>
          <w:tcPr>
            <w:tcW w:w="1556" w:type="dxa"/>
            <w:noWrap/>
            <w:hideMark/>
          </w:tcPr>
          <w:p w14:paraId="2A5C9D7A" w14:textId="77777777" w:rsidR="00CC034B" w:rsidRPr="00CC034B" w:rsidRDefault="00CC034B" w:rsidP="00FB6278">
            <w:pPr>
              <w:rPr>
                <w:rFonts w:ascii="Arial" w:hAnsi="Arial"/>
                <w:sz w:val="22"/>
              </w:rPr>
            </w:pPr>
            <w:r w:rsidRPr="00CC034B">
              <w:rPr>
                <w:rFonts w:ascii="Arial" w:hAnsi="Arial"/>
                <w:sz w:val="22"/>
              </w:rPr>
              <w:t>20.0 - 22.5</w:t>
            </w:r>
          </w:p>
        </w:tc>
        <w:tc>
          <w:tcPr>
            <w:tcW w:w="1556" w:type="dxa"/>
            <w:noWrap/>
            <w:hideMark/>
          </w:tcPr>
          <w:p w14:paraId="3E1210A3" w14:textId="77777777" w:rsidR="00CC034B" w:rsidRPr="00CC034B" w:rsidRDefault="00CC034B" w:rsidP="00FB6278">
            <w:pPr>
              <w:rPr>
                <w:rFonts w:ascii="Arial" w:hAnsi="Arial"/>
                <w:sz w:val="22"/>
              </w:rPr>
            </w:pPr>
            <w:r w:rsidRPr="00CC034B">
              <w:rPr>
                <w:rFonts w:ascii="Arial" w:hAnsi="Arial"/>
                <w:sz w:val="22"/>
              </w:rPr>
              <w:t>195.0 - 200.0</w:t>
            </w:r>
          </w:p>
        </w:tc>
      </w:tr>
      <w:tr w:rsidR="00CC034B" w:rsidRPr="00CC034B" w14:paraId="6D2AE065" w14:textId="77777777" w:rsidTr="00017EA2">
        <w:trPr>
          <w:trHeight w:val="260"/>
        </w:trPr>
        <w:tc>
          <w:tcPr>
            <w:tcW w:w="9164" w:type="dxa"/>
            <w:noWrap/>
            <w:hideMark/>
          </w:tcPr>
          <w:p w14:paraId="7F2E47C4" w14:textId="77777777" w:rsidR="00CC034B" w:rsidRPr="00CC034B" w:rsidRDefault="00CC034B" w:rsidP="00FB6278">
            <w:pPr>
              <w:rPr>
                <w:rFonts w:ascii="Arial" w:hAnsi="Arial"/>
                <w:sz w:val="22"/>
              </w:rPr>
            </w:pPr>
            <w:r w:rsidRPr="00CC034B">
              <w:rPr>
                <w:rFonts w:ascii="Arial" w:hAnsi="Arial"/>
                <w:sz w:val="22"/>
              </w:rPr>
              <w:t xml:space="preserve">Ms J Moss Director of Strategy &amp; </w:t>
            </w:r>
            <w:proofErr w:type="spellStart"/>
            <w:r w:rsidRPr="00CC034B">
              <w:rPr>
                <w:rFonts w:ascii="Arial" w:hAnsi="Arial"/>
                <w:sz w:val="22"/>
              </w:rPr>
              <w:t>Buisness</w:t>
            </w:r>
            <w:proofErr w:type="spellEnd"/>
            <w:r w:rsidRPr="00CC034B">
              <w:rPr>
                <w:rFonts w:ascii="Arial" w:hAnsi="Arial"/>
                <w:sz w:val="22"/>
              </w:rPr>
              <w:t xml:space="preserve"> Development </w:t>
            </w:r>
          </w:p>
        </w:tc>
        <w:tc>
          <w:tcPr>
            <w:tcW w:w="1556" w:type="dxa"/>
            <w:noWrap/>
            <w:hideMark/>
          </w:tcPr>
          <w:p w14:paraId="2D8433A0" w14:textId="77777777" w:rsidR="00CC034B" w:rsidRPr="00CC034B" w:rsidRDefault="00CC034B" w:rsidP="00FB6278">
            <w:pPr>
              <w:rPr>
                <w:rFonts w:ascii="Arial" w:hAnsi="Arial"/>
                <w:sz w:val="22"/>
              </w:rPr>
            </w:pPr>
            <w:r w:rsidRPr="00CC034B">
              <w:rPr>
                <w:rFonts w:ascii="Arial" w:hAnsi="Arial"/>
                <w:sz w:val="22"/>
              </w:rPr>
              <w:t>135 - 140</w:t>
            </w:r>
          </w:p>
        </w:tc>
        <w:tc>
          <w:tcPr>
            <w:tcW w:w="1556" w:type="dxa"/>
            <w:noWrap/>
            <w:hideMark/>
          </w:tcPr>
          <w:p w14:paraId="43BD39B2" w14:textId="77777777" w:rsidR="00CC034B" w:rsidRPr="00CC034B" w:rsidRDefault="00CC034B" w:rsidP="00FB6278">
            <w:pPr>
              <w:rPr>
                <w:rFonts w:ascii="Arial" w:hAnsi="Arial"/>
                <w:sz w:val="22"/>
              </w:rPr>
            </w:pPr>
            <w:r w:rsidRPr="00CC034B">
              <w:rPr>
                <w:rFonts w:ascii="Arial" w:hAnsi="Arial"/>
                <w:sz w:val="22"/>
              </w:rPr>
              <w:t>-</w:t>
            </w:r>
          </w:p>
        </w:tc>
        <w:tc>
          <w:tcPr>
            <w:tcW w:w="1556" w:type="dxa"/>
            <w:noWrap/>
            <w:hideMark/>
          </w:tcPr>
          <w:p w14:paraId="4D5B40D3" w14:textId="77777777" w:rsidR="00CC034B" w:rsidRPr="00CC034B" w:rsidRDefault="00CC034B" w:rsidP="00FB6278">
            <w:pPr>
              <w:rPr>
                <w:rFonts w:ascii="Arial" w:hAnsi="Arial"/>
                <w:sz w:val="22"/>
              </w:rPr>
            </w:pPr>
            <w:r w:rsidRPr="00CC034B">
              <w:rPr>
                <w:rFonts w:ascii="Arial" w:hAnsi="Arial"/>
                <w:sz w:val="22"/>
              </w:rPr>
              <w:t>52.5 - 55.0</w:t>
            </w:r>
          </w:p>
        </w:tc>
        <w:tc>
          <w:tcPr>
            <w:tcW w:w="1556" w:type="dxa"/>
            <w:noWrap/>
            <w:hideMark/>
          </w:tcPr>
          <w:p w14:paraId="40D2AC5A" w14:textId="77777777" w:rsidR="00CC034B" w:rsidRPr="00CC034B" w:rsidRDefault="00CC034B" w:rsidP="00FB6278">
            <w:pPr>
              <w:rPr>
                <w:rFonts w:ascii="Arial" w:hAnsi="Arial"/>
                <w:sz w:val="22"/>
              </w:rPr>
            </w:pPr>
            <w:r w:rsidRPr="00CC034B">
              <w:rPr>
                <w:rFonts w:ascii="Arial" w:hAnsi="Arial"/>
                <w:sz w:val="22"/>
              </w:rPr>
              <w:t>190.0 - 195.0</w:t>
            </w:r>
          </w:p>
        </w:tc>
      </w:tr>
      <w:tr w:rsidR="00CC034B" w:rsidRPr="00CC034B" w14:paraId="25DD9B92" w14:textId="77777777" w:rsidTr="00017EA2">
        <w:trPr>
          <w:trHeight w:val="260"/>
        </w:trPr>
        <w:tc>
          <w:tcPr>
            <w:tcW w:w="9164" w:type="dxa"/>
            <w:noWrap/>
            <w:hideMark/>
          </w:tcPr>
          <w:p w14:paraId="20EF6B85" w14:textId="77777777" w:rsidR="00CC034B" w:rsidRPr="00CC034B" w:rsidRDefault="00CC034B" w:rsidP="00FB6278">
            <w:pPr>
              <w:rPr>
                <w:rFonts w:ascii="Arial" w:hAnsi="Arial"/>
                <w:sz w:val="22"/>
              </w:rPr>
            </w:pPr>
            <w:r w:rsidRPr="00CC034B">
              <w:rPr>
                <w:rFonts w:ascii="Arial" w:hAnsi="Arial"/>
                <w:sz w:val="22"/>
              </w:rPr>
              <w:t>Mr J Spencer - Chief Operating Officer</w:t>
            </w:r>
          </w:p>
        </w:tc>
        <w:tc>
          <w:tcPr>
            <w:tcW w:w="1556" w:type="dxa"/>
            <w:noWrap/>
            <w:hideMark/>
          </w:tcPr>
          <w:p w14:paraId="1BFC854A" w14:textId="77777777" w:rsidR="00CC034B" w:rsidRPr="00CC034B" w:rsidRDefault="00CC034B" w:rsidP="00FB6278">
            <w:pPr>
              <w:rPr>
                <w:rFonts w:ascii="Arial" w:hAnsi="Arial"/>
                <w:sz w:val="22"/>
              </w:rPr>
            </w:pPr>
            <w:r w:rsidRPr="00CC034B">
              <w:rPr>
                <w:rFonts w:ascii="Arial" w:hAnsi="Arial"/>
                <w:sz w:val="22"/>
              </w:rPr>
              <w:t>135 - 140</w:t>
            </w:r>
          </w:p>
        </w:tc>
        <w:tc>
          <w:tcPr>
            <w:tcW w:w="1556" w:type="dxa"/>
            <w:noWrap/>
            <w:hideMark/>
          </w:tcPr>
          <w:p w14:paraId="419235A9" w14:textId="77777777" w:rsidR="00CC034B" w:rsidRPr="00CC034B" w:rsidRDefault="00CC034B" w:rsidP="00FB6278">
            <w:pPr>
              <w:rPr>
                <w:rFonts w:ascii="Arial" w:hAnsi="Arial"/>
                <w:sz w:val="22"/>
              </w:rPr>
            </w:pPr>
            <w:r w:rsidRPr="00CC034B">
              <w:rPr>
                <w:rFonts w:ascii="Arial" w:hAnsi="Arial"/>
                <w:sz w:val="22"/>
              </w:rPr>
              <w:t>-</w:t>
            </w:r>
          </w:p>
        </w:tc>
        <w:tc>
          <w:tcPr>
            <w:tcW w:w="1556" w:type="dxa"/>
            <w:noWrap/>
            <w:hideMark/>
          </w:tcPr>
          <w:p w14:paraId="21215CB4" w14:textId="77777777" w:rsidR="00CC034B" w:rsidRPr="00CC034B" w:rsidRDefault="00CC034B" w:rsidP="00FB6278">
            <w:pPr>
              <w:rPr>
                <w:rFonts w:ascii="Arial" w:hAnsi="Arial"/>
                <w:sz w:val="22"/>
              </w:rPr>
            </w:pPr>
            <w:r w:rsidRPr="00CC034B">
              <w:rPr>
                <w:rFonts w:ascii="Arial" w:hAnsi="Arial"/>
                <w:sz w:val="22"/>
              </w:rPr>
              <w:t>42.5 - 45.0</w:t>
            </w:r>
          </w:p>
        </w:tc>
        <w:tc>
          <w:tcPr>
            <w:tcW w:w="1556" w:type="dxa"/>
            <w:noWrap/>
            <w:hideMark/>
          </w:tcPr>
          <w:p w14:paraId="17EE23BC" w14:textId="77777777" w:rsidR="00CC034B" w:rsidRPr="00CC034B" w:rsidRDefault="00CC034B" w:rsidP="00FB6278">
            <w:pPr>
              <w:rPr>
                <w:rFonts w:ascii="Arial" w:hAnsi="Arial"/>
                <w:sz w:val="22"/>
              </w:rPr>
            </w:pPr>
            <w:r w:rsidRPr="00CC034B">
              <w:rPr>
                <w:rFonts w:ascii="Arial" w:hAnsi="Arial"/>
                <w:sz w:val="22"/>
              </w:rPr>
              <w:t>175.0 - 180.0</w:t>
            </w:r>
          </w:p>
        </w:tc>
      </w:tr>
      <w:tr w:rsidR="00CC034B" w:rsidRPr="00CC034B" w14:paraId="4B05AB77" w14:textId="77777777" w:rsidTr="00017EA2">
        <w:trPr>
          <w:trHeight w:val="260"/>
        </w:trPr>
        <w:tc>
          <w:tcPr>
            <w:tcW w:w="9164" w:type="dxa"/>
            <w:noWrap/>
            <w:hideMark/>
          </w:tcPr>
          <w:p w14:paraId="41A5F353" w14:textId="77777777" w:rsidR="00CC034B" w:rsidRPr="00CC034B" w:rsidRDefault="00CC034B" w:rsidP="00FB6278">
            <w:pPr>
              <w:rPr>
                <w:rFonts w:ascii="Arial" w:hAnsi="Arial"/>
                <w:sz w:val="22"/>
              </w:rPr>
            </w:pPr>
            <w:r w:rsidRPr="00CC034B">
              <w:rPr>
                <w:rFonts w:ascii="Arial" w:hAnsi="Arial"/>
                <w:sz w:val="22"/>
              </w:rPr>
              <w:t>Ms T Green - Chairman</w:t>
            </w:r>
          </w:p>
        </w:tc>
        <w:tc>
          <w:tcPr>
            <w:tcW w:w="1556" w:type="dxa"/>
            <w:noWrap/>
            <w:hideMark/>
          </w:tcPr>
          <w:p w14:paraId="16749557" w14:textId="77777777" w:rsidR="00CC034B" w:rsidRPr="00CC034B" w:rsidRDefault="00CC034B" w:rsidP="00FB6278">
            <w:pPr>
              <w:rPr>
                <w:rFonts w:ascii="Arial" w:hAnsi="Arial"/>
                <w:sz w:val="22"/>
              </w:rPr>
            </w:pPr>
            <w:r w:rsidRPr="00CC034B">
              <w:rPr>
                <w:rFonts w:ascii="Arial" w:hAnsi="Arial"/>
                <w:sz w:val="22"/>
              </w:rPr>
              <w:t>45 -50</w:t>
            </w:r>
          </w:p>
        </w:tc>
        <w:tc>
          <w:tcPr>
            <w:tcW w:w="1556" w:type="dxa"/>
            <w:noWrap/>
            <w:hideMark/>
          </w:tcPr>
          <w:p w14:paraId="1191EA73" w14:textId="77777777" w:rsidR="00CC034B" w:rsidRPr="00CC034B" w:rsidRDefault="00CC034B" w:rsidP="00FB6278">
            <w:pPr>
              <w:rPr>
                <w:rFonts w:ascii="Arial" w:hAnsi="Arial"/>
                <w:sz w:val="22"/>
              </w:rPr>
            </w:pPr>
            <w:r w:rsidRPr="00CC034B">
              <w:rPr>
                <w:rFonts w:ascii="Arial" w:hAnsi="Arial"/>
                <w:sz w:val="22"/>
              </w:rPr>
              <w:t>-</w:t>
            </w:r>
          </w:p>
        </w:tc>
        <w:tc>
          <w:tcPr>
            <w:tcW w:w="1556" w:type="dxa"/>
            <w:noWrap/>
            <w:hideMark/>
          </w:tcPr>
          <w:p w14:paraId="25DBE7F7" w14:textId="77777777" w:rsidR="00CC034B" w:rsidRPr="00CC034B" w:rsidRDefault="00CC034B" w:rsidP="00FB6278">
            <w:pPr>
              <w:rPr>
                <w:rFonts w:ascii="Arial" w:hAnsi="Arial"/>
                <w:sz w:val="22"/>
              </w:rPr>
            </w:pPr>
            <w:r w:rsidRPr="00CC034B">
              <w:rPr>
                <w:rFonts w:ascii="Arial" w:hAnsi="Arial"/>
                <w:sz w:val="22"/>
              </w:rPr>
              <w:t>-</w:t>
            </w:r>
          </w:p>
        </w:tc>
        <w:tc>
          <w:tcPr>
            <w:tcW w:w="1556" w:type="dxa"/>
            <w:noWrap/>
            <w:hideMark/>
          </w:tcPr>
          <w:p w14:paraId="005EAC53" w14:textId="77777777" w:rsidR="00CC034B" w:rsidRPr="00CC034B" w:rsidRDefault="00CC034B" w:rsidP="00FB6278">
            <w:pPr>
              <w:rPr>
                <w:rFonts w:ascii="Arial" w:hAnsi="Arial"/>
                <w:sz w:val="22"/>
              </w:rPr>
            </w:pPr>
            <w:r w:rsidRPr="00CC034B">
              <w:rPr>
                <w:rFonts w:ascii="Arial" w:hAnsi="Arial"/>
                <w:sz w:val="22"/>
              </w:rPr>
              <w:t>45 -50</w:t>
            </w:r>
          </w:p>
        </w:tc>
      </w:tr>
      <w:tr w:rsidR="00CC034B" w:rsidRPr="00CC034B" w14:paraId="3B278E38" w14:textId="77777777" w:rsidTr="00017EA2">
        <w:trPr>
          <w:trHeight w:val="260"/>
        </w:trPr>
        <w:tc>
          <w:tcPr>
            <w:tcW w:w="9164" w:type="dxa"/>
            <w:noWrap/>
            <w:hideMark/>
          </w:tcPr>
          <w:p w14:paraId="338FE0BB" w14:textId="77777777" w:rsidR="00CC034B" w:rsidRPr="00CC034B" w:rsidRDefault="00CC034B" w:rsidP="00FB6278">
            <w:pPr>
              <w:rPr>
                <w:rFonts w:ascii="Arial" w:hAnsi="Arial"/>
                <w:sz w:val="22"/>
              </w:rPr>
            </w:pPr>
            <w:r w:rsidRPr="00CC034B">
              <w:rPr>
                <w:rFonts w:ascii="Arial" w:hAnsi="Arial"/>
                <w:sz w:val="22"/>
              </w:rPr>
              <w:t>Ms R Given-Wilson - Non-Executive Director</w:t>
            </w:r>
          </w:p>
        </w:tc>
        <w:tc>
          <w:tcPr>
            <w:tcW w:w="1556" w:type="dxa"/>
            <w:noWrap/>
            <w:hideMark/>
          </w:tcPr>
          <w:p w14:paraId="31AD2865" w14:textId="77777777" w:rsidR="00CC034B" w:rsidRPr="00CC034B" w:rsidRDefault="00CC034B" w:rsidP="00FB6278">
            <w:pPr>
              <w:rPr>
                <w:rFonts w:ascii="Arial" w:hAnsi="Arial"/>
                <w:sz w:val="22"/>
              </w:rPr>
            </w:pPr>
            <w:r w:rsidRPr="00CC034B">
              <w:rPr>
                <w:rFonts w:ascii="Arial" w:hAnsi="Arial"/>
                <w:sz w:val="22"/>
              </w:rPr>
              <w:t>15 -20</w:t>
            </w:r>
          </w:p>
        </w:tc>
        <w:tc>
          <w:tcPr>
            <w:tcW w:w="1556" w:type="dxa"/>
            <w:noWrap/>
            <w:hideMark/>
          </w:tcPr>
          <w:p w14:paraId="5AF388F3" w14:textId="77777777" w:rsidR="00CC034B" w:rsidRPr="00CC034B" w:rsidRDefault="00CC034B" w:rsidP="00FB6278">
            <w:pPr>
              <w:rPr>
                <w:rFonts w:ascii="Arial" w:hAnsi="Arial"/>
                <w:sz w:val="22"/>
              </w:rPr>
            </w:pPr>
            <w:r w:rsidRPr="00CC034B">
              <w:rPr>
                <w:rFonts w:ascii="Arial" w:hAnsi="Arial"/>
                <w:sz w:val="22"/>
              </w:rPr>
              <w:t>-</w:t>
            </w:r>
          </w:p>
        </w:tc>
        <w:tc>
          <w:tcPr>
            <w:tcW w:w="1556" w:type="dxa"/>
            <w:noWrap/>
            <w:hideMark/>
          </w:tcPr>
          <w:p w14:paraId="4BD9BF73" w14:textId="77777777" w:rsidR="00CC034B" w:rsidRPr="00CC034B" w:rsidRDefault="00CC034B" w:rsidP="00FB6278">
            <w:pPr>
              <w:rPr>
                <w:rFonts w:ascii="Arial" w:hAnsi="Arial"/>
                <w:sz w:val="22"/>
              </w:rPr>
            </w:pPr>
            <w:r w:rsidRPr="00CC034B">
              <w:rPr>
                <w:rFonts w:ascii="Arial" w:hAnsi="Arial"/>
                <w:sz w:val="22"/>
              </w:rPr>
              <w:t>-</w:t>
            </w:r>
          </w:p>
        </w:tc>
        <w:tc>
          <w:tcPr>
            <w:tcW w:w="1556" w:type="dxa"/>
            <w:noWrap/>
            <w:hideMark/>
          </w:tcPr>
          <w:p w14:paraId="7B926B33" w14:textId="77777777" w:rsidR="00CC034B" w:rsidRPr="00CC034B" w:rsidRDefault="00CC034B" w:rsidP="00FB6278">
            <w:pPr>
              <w:rPr>
                <w:rFonts w:ascii="Arial" w:hAnsi="Arial"/>
                <w:sz w:val="22"/>
              </w:rPr>
            </w:pPr>
            <w:r w:rsidRPr="00CC034B">
              <w:rPr>
                <w:rFonts w:ascii="Arial" w:hAnsi="Arial"/>
                <w:sz w:val="22"/>
              </w:rPr>
              <w:t>15 -20</w:t>
            </w:r>
          </w:p>
        </w:tc>
      </w:tr>
      <w:tr w:rsidR="00CC034B" w:rsidRPr="00CC034B" w14:paraId="203B8E30" w14:textId="77777777" w:rsidTr="00017EA2">
        <w:trPr>
          <w:trHeight w:val="260"/>
        </w:trPr>
        <w:tc>
          <w:tcPr>
            <w:tcW w:w="9164" w:type="dxa"/>
            <w:noWrap/>
            <w:hideMark/>
          </w:tcPr>
          <w:p w14:paraId="7787DC92" w14:textId="77777777" w:rsidR="00CC034B" w:rsidRPr="00CC034B" w:rsidRDefault="00CC034B" w:rsidP="00FB6278">
            <w:pPr>
              <w:rPr>
                <w:rFonts w:ascii="Arial" w:hAnsi="Arial"/>
                <w:sz w:val="22"/>
              </w:rPr>
            </w:pPr>
            <w:r w:rsidRPr="00CC034B">
              <w:rPr>
                <w:rFonts w:ascii="Arial" w:hAnsi="Arial"/>
                <w:sz w:val="22"/>
              </w:rPr>
              <w:t>Ms S Singha - Non-Executive Director</w:t>
            </w:r>
          </w:p>
        </w:tc>
        <w:tc>
          <w:tcPr>
            <w:tcW w:w="1556" w:type="dxa"/>
            <w:noWrap/>
            <w:hideMark/>
          </w:tcPr>
          <w:p w14:paraId="3225D243" w14:textId="77777777" w:rsidR="00CC034B" w:rsidRPr="00CC034B" w:rsidRDefault="00CC034B" w:rsidP="00FB6278">
            <w:pPr>
              <w:rPr>
                <w:rFonts w:ascii="Arial" w:hAnsi="Arial"/>
                <w:sz w:val="22"/>
              </w:rPr>
            </w:pPr>
            <w:r w:rsidRPr="00CC034B">
              <w:rPr>
                <w:rFonts w:ascii="Arial" w:hAnsi="Arial"/>
                <w:sz w:val="22"/>
              </w:rPr>
              <w:t>15 -20</w:t>
            </w:r>
          </w:p>
        </w:tc>
        <w:tc>
          <w:tcPr>
            <w:tcW w:w="1556" w:type="dxa"/>
            <w:noWrap/>
            <w:hideMark/>
          </w:tcPr>
          <w:p w14:paraId="70002CAD" w14:textId="77777777" w:rsidR="00CC034B" w:rsidRPr="00CC034B" w:rsidRDefault="00CC034B" w:rsidP="00FB6278">
            <w:pPr>
              <w:rPr>
                <w:rFonts w:ascii="Arial" w:hAnsi="Arial"/>
                <w:sz w:val="22"/>
              </w:rPr>
            </w:pPr>
            <w:r w:rsidRPr="00CC034B">
              <w:rPr>
                <w:rFonts w:ascii="Arial" w:hAnsi="Arial"/>
                <w:sz w:val="22"/>
              </w:rPr>
              <w:t>-</w:t>
            </w:r>
          </w:p>
        </w:tc>
        <w:tc>
          <w:tcPr>
            <w:tcW w:w="1556" w:type="dxa"/>
            <w:noWrap/>
            <w:hideMark/>
          </w:tcPr>
          <w:p w14:paraId="51BEEEF8" w14:textId="77777777" w:rsidR="00CC034B" w:rsidRPr="00CC034B" w:rsidRDefault="00CC034B" w:rsidP="00FB6278">
            <w:pPr>
              <w:rPr>
                <w:rFonts w:ascii="Arial" w:hAnsi="Arial"/>
                <w:sz w:val="22"/>
              </w:rPr>
            </w:pPr>
            <w:r w:rsidRPr="00CC034B">
              <w:rPr>
                <w:rFonts w:ascii="Arial" w:hAnsi="Arial"/>
                <w:sz w:val="22"/>
              </w:rPr>
              <w:t>-</w:t>
            </w:r>
          </w:p>
        </w:tc>
        <w:tc>
          <w:tcPr>
            <w:tcW w:w="1556" w:type="dxa"/>
            <w:noWrap/>
            <w:hideMark/>
          </w:tcPr>
          <w:p w14:paraId="24E27F54" w14:textId="77777777" w:rsidR="00CC034B" w:rsidRPr="00CC034B" w:rsidRDefault="00CC034B" w:rsidP="00FB6278">
            <w:pPr>
              <w:rPr>
                <w:rFonts w:ascii="Arial" w:hAnsi="Arial"/>
                <w:sz w:val="22"/>
              </w:rPr>
            </w:pPr>
            <w:r w:rsidRPr="00CC034B">
              <w:rPr>
                <w:rFonts w:ascii="Arial" w:hAnsi="Arial"/>
                <w:sz w:val="22"/>
              </w:rPr>
              <w:t>15 -20</w:t>
            </w:r>
          </w:p>
        </w:tc>
      </w:tr>
      <w:tr w:rsidR="00CC034B" w:rsidRPr="00CC034B" w14:paraId="1F0D917A" w14:textId="77777777" w:rsidTr="00017EA2">
        <w:trPr>
          <w:trHeight w:val="260"/>
        </w:trPr>
        <w:tc>
          <w:tcPr>
            <w:tcW w:w="9164" w:type="dxa"/>
            <w:noWrap/>
            <w:hideMark/>
          </w:tcPr>
          <w:p w14:paraId="27CA84A8" w14:textId="77777777" w:rsidR="00CC034B" w:rsidRPr="00CC034B" w:rsidRDefault="00CC034B" w:rsidP="00FB6278">
            <w:pPr>
              <w:rPr>
                <w:rFonts w:ascii="Arial" w:hAnsi="Arial"/>
                <w:sz w:val="22"/>
              </w:rPr>
            </w:pPr>
            <w:r w:rsidRPr="00CC034B">
              <w:rPr>
                <w:rFonts w:ascii="Arial" w:hAnsi="Arial"/>
                <w:sz w:val="22"/>
              </w:rPr>
              <w:t xml:space="preserve">Mr A Dick - Non-Executive Director </w:t>
            </w:r>
          </w:p>
        </w:tc>
        <w:tc>
          <w:tcPr>
            <w:tcW w:w="1556" w:type="dxa"/>
            <w:noWrap/>
            <w:hideMark/>
          </w:tcPr>
          <w:p w14:paraId="1F4FE3DF" w14:textId="77777777" w:rsidR="00CC034B" w:rsidRPr="00CC034B" w:rsidRDefault="00CC034B" w:rsidP="00FB6278">
            <w:pPr>
              <w:rPr>
                <w:rFonts w:ascii="Arial" w:hAnsi="Arial"/>
                <w:sz w:val="22"/>
              </w:rPr>
            </w:pPr>
            <w:r w:rsidRPr="00CC034B">
              <w:rPr>
                <w:rFonts w:ascii="Arial" w:hAnsi="Arial"/>
                <w:sz w:val="22"/>
              </w:rPr>
              <w:t>10- 15</w:t>
            </w:r>
          </w:p>
        </w:tc>
        <w:tc>
          <w:tcPr>
            <w:tcW w:w="1556" w:type="dxa"/>
            <w:noWrap/>
            <w:hideMark/>
          </w:tcPr>
          <w:p w14:paraId="56E59663" w14:textId="77777777" w:rsidR="00CC034B" w:rsidRPr="00CC034B" w:rsidRDefault="00CC034B" w:rsidP="00FB6278">
            <w:pPr>
              <w:rPr>
                <w:rFonts w:ascii="Arial" w:hAnsi="Arial"/>
                <w:sz w:val="22"/>
              </w:rPr>
            </w:pPr>
            <w:r w:rsidRPr="00CC034B">
              <w:rPr>
                <w:rFonts w:ascii="Arial" w:hAnsi="Arial"/>
                <w:sz w:val="22"/>
              </w:rPr>
              <w:t>-</w:t>
            </w:r>
          </w:p>
        </w:tc>
        <w:tc>
          <w:tcPr>
            <w:tcW w:w="1556" w:type="dxa"/>
            <w:noWrap/>
            <w:hideMark/>
          </w:tcPr>
          <w:p w14:paraId="40C72C88" w14:textId="77777777" w:rsidR="00CC034B" w:rsidRPr="00CC034B" w:rsidRDefault="00CC034B" w:rsidP="00FB6278">
            <w:pPr>
              <w:rPr>
                <w:rFonts w:ascii="Arial" w:hAnsi="Arial"/>
                <w:sz w:val="22"/>
              </w:rPr>
            </w:pPr>
            <w:r w:rsidRPr="00CC034B">
              <w:rPr>
                <w:rFonts w:ascii="Arial" w:hAnsi="Arial"/>
                <w:sz w:val="22"/>
              </w:rPr>
              <w:t>-</w:t>
            </w:r>
          </w:p>
        </w:tc>
        <w:tc>
          <w:tcPr>
            <w:tcW w:w="1556" w:type="dxa"/>
            <w:noWrap/>
            <w:hideMark/>
          </w:tcPr>
          <w:p w14:paraId="34042BB5" w14:textId="77777777" w:rsidR="00CC034B" w:rsidRPr="00CC034B" w:rsidRDefault="00CC034B" w:rsidP="00FB6278">
            <w:pPr>
              <w:rPr>
                <w:rFonts w:ascii="Arial" w:hAnsi="Arial"/>
                <w:sz w:val="22"/>
              </w:rPr>
            </w:pPr>
            <w:r w:rsidRPr="00CC034B">
              <w:rPr>
                <w:rFonts w:ascii="Arial" w:hAnsi="Arial"/>
                <w:sz w:val="22"/>
              </w:rPr>
              <w:t>10- 15</w:t>
            </w:r>
          </w:p>
        </w:tc>
      </w:tr>
      <w:tr w:rsidR="00CC034B" w:rsidRPr="00CC034B" w14:paraId="7A67206A" w14:textId="77777777" w:rsidTr="00017EA2">
        <w:trPr>
          <w:trHeight w:val="260"/>
        </w:trPr>
        <w:tc>
          <w:tcPr>
            <w:tcW w:w="9164" w:type="dxa"/>
            <w:noWrap/>
            <w:hideMark/>
          </w:tcPr>
          <w:p w14:paraId="6692BD2D" w14:textId="77777777" w:rsidR="00CC034B" w:rsidRPr="00CC034B" w:rsidRDefault="00CC034B" w:rsidP="00FB6278">
            <w:pPr>
              <w:rPr>
                <w:rFonts w:ascii="Arial" w:hAnsi="Arial"/>
                <w:sz w:val="22"/>
              </w:rPr>
            </w:pPr>
            <w:r w:rsidRPr="00CC034B">
              <w:rPr>
                <w:rFonts w:ascii="Arial" w:hAnsi="Arial"/>
                <w:sz w:val="22"/>
              </w:rPr>
              <w:t>Mr A Morris - Non-</w:t>
            </w:r>
            <w:proofErr w:type="spellStart"/>
            <w:r w:rsidRPr="00CC034B">
              <w:rPr>
                <w:rFonts w:ascii="Arial" w:hAnsi="Arial"/>
                <w:sz w:val="22"/>
              </w:rPr>
              <w:t>Eexecutive</w:t>
            </w:r>
            <w:proofErr w:type="spellEnd"/>
            <w:r w:rsidRPr="00CC034B">
              <w:rPr>
                <w:rFonts w:ascii="Arial" w:hAnsi="Arial"/>
                <w:sz w:val="22"/>
              </w:rPr>
              <w:t xml:space="preserve"> Director</w:t>
            </w:r>
          </w:p>
        </w:tc>
        <w:tc>
          <w:tcPr>
            <w:tcW w:w="1556" w:type="dxa"/>
            <w:noWrap/>
            <w:hideMark/>
          </w:tcPr>
          <w:p w14:paraId="2670489B" w14:textId="77777777" w:rsidR="00CC034B" w:rsidRPr="00CC034B" w:rsidRDefault="00CC034B" w:rsidP="00FB6278">
            <w:pPr>
              <w:rPr>
                <w:rFonts w:ascii="Arial" w:hAnsi="Arial"/>
                <w:sz w:val="22"/>
              </w:rPr>
            </w:pPr>
            <w:r w:rsidRPr="00CC034B">
              <w:rPr>
                <w:rFonts w:ascii="Arial" w:hAnsi="Arial"/>
                <w:sz w:val="22"/>
              </w:rPr>
              <w:t>10-15</w:t>
            </w:r>
          </w:p>
        </w:tc>
        <w:tc>
          <w:tcPr>
            <w:tcW w:w="1556" w:type="dxa"/>
            <w:noWrap/>
            <w:hideMark/>
          </w:tcPr>
          <w:p w14:paraId="3C9E334E" w14:textId="77777777" w:rsidR="00CC034B" w:rsidRPr="00CC034B" w:rsidRDefault="00CC034B" w:rsidP="00FB6278">
            <w:pPr>
              <w:rPr>
                <w:rFonts w:ascii="Arial" w:hAnsi="Arial"/>
                <w:sz w:val="22"/>
              </w:rPr>
            </w:pPr>
            <w:r w:rsidRPr="00CC034B">
              <w:rPr>
                <w:rFonts w:ascii="Arial" w:hAnsi="Arial"/>
                <w:sz w:val="22"/>
              </w:rPr>
              <w:t>-</w:t>
            </w:r>
          </w:p>
        </w:tc>
        <w:tc>
          <w:tcPr>
            <w:tcW w:w="1556" w:type="dxa"/>
            <w:noWrap/>
            <w:hideMark/>
          </w:tcPr>
          <w:p w14:paraId="1C231EBD" w14:textId="77777777" w:rsidR="00CC034B" w:rsidRPr="00CC034B" w:rsidRDefault="00CC034B" w:rsidP="00FB6278">
            <w:pPr>
              <w:rPr>
                <w:rFonts w:ascii="Arial" w:hAnsi="Arial"/>
                <w:sz w:val="22"/>
              </w:rPr>
            </w:pPr>
            <w:r w:rsidRPr="00CC034B">
              <w:rPr>
                <w:rFonts w:ascii="Arial" w:hAnsi="Arial"/>
                <w:sz w:val="22"/>
              </w:rPr>
              <w:t>-</w:t>
            </w:r>
          </w:p>
        </w:tc>
        <w:tc>
          <w:tcPr>
            <w:tcW w:w="1556" w:type="dxa"/>
            <w:noWrap/>
            <w:hideMark/>
          </w:tcPr>
          <w:p w14:paraId="0A5F059D" w14:textId="77777777" w:rsidR="00CC034B" w:rsidRPr="00CC034B" w:rsidRDefault="00CC034B" w:rsidP="00FB6278">
            <w:pPr>
              <w:rPr>
                <w:rFonts w:ascii="Arial" w:hAnsi="Arial"/>
                <w:sz w:val="22"/>
              </w:rPr>
            </w:pPr>
            <w:r w:rsidRPr="00CC034B">
              <w:rPr>
                <w:rFonts w:ascii="Arial" w:hAnsi="Arial"/>
                <w:sz w:val="22"/>
              </w:rPr>
              <w:t>10-15</w:t>
            </w:r>
          </w:p>
        </w:tc>
      </w:tr>
      <w:tr w:rsidR="00CC034B" w:rsidRPr="00CC034B" w14:paraId="628DBA5F" w14:textId="77777777" w:rsidTr="00017EA2">
        <w:trPr>
          <w:trHeight w:val="260"/>
        </w:trPr>
        <w:tc>
          <w:tcPr>
            <w:tcW w:w="9164" w:type="dxa"/>
            <w:noWrap/>
            <w:hideMark/>
          </w:tcPr>
          <w:p w14:paraId="61536E2E" w14:textId="77777777" w:rsidR="00CC034B" w:rsidRPr="00CC034B" w:rsidRDefault="00CC034B" w:rsidP="00FB6278">
            <w:pPr>
              <w:rPr>
                <w:rFonts w:ascii="Arial" w:hAnsi="Arial"/>
                <w:sz w:val="22"/>
              </w:rPr>
            </w:pPr>
            <w:r w:rsidRPr="00CC034B">
              <w:rPr>
                <w:rFonts w:ascii="Arial" w:hAnsi="Arial"/>
                <w:sz w:val="22"/>
              </w:rPr>
              <w:t xml:space="preserve">Mr N Hardie - Non-Executive Director </w:t>
            </w:r>
          </w:p>
        </w:tc>
        <w:tc>
          <w:tcPr>
            <w:tcW w:w="1556" w:type="dxa"/>
            <w:noWrap/>
            <w:hideMark/>
          </w:tcPr>
          <w:p w14:paraId="58B6B54C" w14:textId="77777777" w:rsidR="00CC034B" w:rsidRPr="00CC034B" w:rsidRDefault="00CC034B" w:rsidP="00FB6278">
            <w:pPr>
              <w:rPr>
                <w:rFonts w:ascii="Arial" w:hAnsi="Arial"/>
                <w:sz w:val="22"/>
              </w:rPr>
            </w:pPr>
            <w:r w:rsidRPr="00CC034B">
              <w:rPr>
                <w:rFonts w:ascii="Arial" w:hAnsi="Arial"/>
                <w:sz w:val="22"/>
              </w:rPr>
              <w:t>15 -20</w:t>
            </w:r>
          </w:p>
        </w:tc>
        <w:tc>
          <w:tcPr>
            <w:tcW w:w="1556" w:type="dxa"/>
            <w:noWrap/>
            <w:hideMark/>
          </w:tcPr>
          <w:p w14:paraId="74561599" w14:textId="77777777" w:rsidR="00CC034B" w:rsidRPr="00CC034B" w:rsidRDefault="00CC034B" w:rsidP="00FB6278">
            <w:pPr>
              <w:rPr>
                <w:rFonts w:ascii="Arial" w:hAnsi="Arial"/>
                <w:sz w:val="22"/>
              </w:rPr>
            </w:pPr>
            <w:r w:rsidRPr="00CC034B">
              <w:rPr>
                <w:rFonts w:ascii="Arial" w:hAnsi="Arial"/>
                <w:sz w:val="22"/>
              </w:rPr>
              <w:t>-</w:t>
            </w:r>
          </w:p>
        </w:tc>
        <w:tc>
          <w:tcPr>
            <w:tcW w:w="1556" w:type="dxa"/>
            <w:noWrap/>
            <w:hideMark/>
          </w:tcPr>
          <w:p w14:paraId="25878B7D" w14:textId="77777777" w:rsidR="00CC034B" w:rsidRPr="00CC034B" w:rsidRDefault="00CC034B" w:rsidP="00FB6278">
            <w:pPr>
              <w:rPr>
                <w:rFonts w:ascii="Arial" w:hAnsi="Arial"/>
                <w:sz w:val="22"/>
              </w:rPr>
            </w:pPr>
            <w:r w:rsidRPr="00CC034B">
              <w:rPr>
                <w:rFonts w:ascii="Arial" w:hAnsi="Arial"/>
                <w:sz w:val="22"/>
              </w:rPr>
              <w:t>-</w:t>
            </w:r>
          </w:p>
        </w:tc>
        <w:tc>
          <w:tcPr>
            <w:tcW w:w="1556" w:type="dxa"/>
            <w:noWrap/>
            <w:hideMark/>
          </w:tcPr>
          <w:p w14:paraId="5BFF0C75" w14:textId="77777777" w:rsidR="00CC034B" w:rsidRPr="00CC034B" w:rsidRDefault="00CC034B" w:rsidP="00FB6278">
            <w:pPr>
              <w:rPr>
                <w:rFonts w:ascii="Arial" w:hAnsi="Arial"/>
                <w:sz w:val="22"/>
              </w:rPr>
            </w:pPr>
            <w:r w:rsidRPr="00CC034B">
              <w:rPr>
                <w:rFonts w:ascii="Arial" w:hAnsi="Arial"/>
                <w:sz w:val="22"/>
              </w:rPr>
              <w:t>15 -20</w:t>
            </w:r>
          </w:p>
        </w:tc>
      </w:tr>
      <w:tr w:rsidR="00CC034B" w:rsidRPr="00CC034B" w14:paraId="7EBE56B9" w14:textId="77777777" w:rsidTr="00017EA2">
        <w:trPr>
          <w:trHeight w:val="260"/>
        </w:trPr>
        <w:tc>
          <w:tcPr>
            <w:tcW w:w="9164" w:type="dxa"/>
            <w:noWrap/>
            <w:hideMark/>
          </w:tcPr>
          <w:p w14:paraId="7233AE7E" w14:textId="77777777" w:rsidR="00CC034B" w:rsidRPr="00CC034B" w:rsidRDefault="00CC034B" w:rsidP="00FB6278">
            <w:pPr>
              <w:rPr>
                <w:rFonts w:ascii="Arial" w:hAnsi="Arial"/>
                <w:sz w:val="22"/>
              </w:rPr>
            </w:pPr>
            <w:r w:rsidRPr="00CC034B">
              <w:rPr>
                <w:rFonts w:ascii="Arial" w:hAnsi="Arial"/>
                <w:sz w:val="22"/>
              </w:rPr>
              <w:t xml:space="preserve">Mr D Hills - Non-Executive Director </w:t>
            </w:r>
          </w:p>
        </w:tc>
        <w:tc>
          <w:tcPr>
            <w:tcW w:w="1556" w:type="dxa"/>
            <w:noWrap/>
            <w:hideMark/>
          </w:tcPr>
          <w:p w14:paraId="43BA0BC3" w14:textId="77777777" w:rsidR="00CC034B" w:rsidRPr="00CC034B" w:rsidRDefault="00CC034B" w:rsidP="00FB6278">
            <w:pPr>
              <w:rPr>
                <w:rFonts w:ascii="Arial" w:hAnsi="Arial"/>
                <w:sz w:val="22"/>
              </w:rPr>
            </w:pPr>
            <w:r w:rsidRPr="00CC034B">
              <w:rPr>
                <w:rFonts w:ascii="Arial" w:hAnsi="Arial"/>
                <w:sz w:val="22"/>
              </w:rPr>
              <w:t>15 -20</w:t>
            </w:r>
          </w:p>
        </w:tc>
        <w:tc>
          <w:tcPr>
            <w:tcW w:w="1556" w:type="dxa"/>
            <w:noWrap/>
            <w:hideMark/>
          </w:tcPr>
          <w:p w14:paraId="53621892" w14:textId="77777777" w:rsidR="00CC034B" w:rsidRPr="00CC034B" w:rsidRDefault="00CC034B" w:rsidP="00FB6278">
            <w:pPr>
              <w:rPr>
                <w:rFonts w:ascii="Arial" w:hAnsi="Arial"/>
                <w:sz w:val="22"/>
              </w:rPr>
            </w:pPr>
            <w:r w:rsidRPr="00CC034B">
              <w:rPr>
                <w:rFonts w:ascii="Arial" w:hAnsi="Arial"/>
                <w:sz w:val="22"/>
              </w:rPr>
              <w:t>-</w:t>
            </w:r>
          </w:p>
        </w:tc>
        <w:tc>
          <w:tcPr>
            <w:tcW w:w="1556" w:type="dxa"/>
            <w:noWrap/>
            <w:hideMark/>
          </w:tcPr>
          <w:p w14:paraId="755585FB" w14:textId="77777777" w:rsidR="00CC034B" w:rsidRPr="00CC034B" w:rsidRDefault="00CC034B" w:rsidP="00FB6278">
            <w:pPr>
              <w:rPr>
                <w:rFonts w:ascii="Arial" w:hAnsi="Arial"/>
                <w:sz w:val="22"/>
              </w:rPr>
            </w:pPr>
            <w:r w:rsidRPr="00CC034B">
              <w:rPr>
                <w:rFonts w:ascii="Arial" w:hAnsi="Arial"/>
                <w:sz w:val="22"/>
              </w:rPr>
              <w:t>-</w:t>
            </w:r>
          </w:p>
        </w:tc>
        <w:tc>
          <w:tcPr>
            <w:tcW w:w="1556" w:type="dxa"/>
            <w:noWrap/>
            <w:hideMark/>
          </w:tcPr>
          <w:p w14:paraId="6D01F26E" w14:textId="77777777" w:rsidR="00CC034B" w:rsidRPr="00CC034B" w:rsidRDefault="00CC034B" w:rsidP="00FB6278">
            <w:pPr>
              <w:rPr>
                <w:rFonts w:ascii="Arial" w:hAnsi="Arial"/>
                <w:sz w:val="22"/>
              </w:rPr>
            </w:pPr>
            <w:r w:rsidRPr="00CC034B">
              <w:rPr>
                <w:rFonts w:ascii="Arial" w:hAnsi="Arial"/>
                <w:sz w:val="22"/>
              </w:rPr>
              <w:t>15 -20</w:t>
            </w:r>
          </w:p>
        </w:tc>
      </w:tr>
      <w:tr w:rsidR="00CC034B" w:rsidRPr="00CC034B" w14:paraId="0F93B3D0" w14:textId="77777777" w:rsidTr="00017EA2">
        <w:trPr>
          <w:trHeight w:val="260"/>
        </w:trPr>
        <w:tc>
          <w:tcPr>
            <w:tcW w:w="9164" w:type="dxa"/>
            <w:noWrap/>
            <w:hideMark/>
          </w:tcPr>
          <w:p w14:paraId="671205A5" w14:textId="77777777" w:rsidR="00CC034B" w:rsidRPr="00CC034B" w:rsidRDefault="00CC034B" w:rsidP="00FB6278">
            <w:pPr>
              <w:rPr>
                <w:rFonts w:ascii="Arial" w:hAnsi="Arial"/>
                <w:sz w:val="22"/>
              </w:rPr>
            </w:pPr>
            <w:r w:rsidRPr="00CC034B">
              <w:rPr>
                <w:rFonts w:ascii="Arial" w:hAnsi="Arial"/>
                <w:sz w:val="22"/>
              </w:rPr>
              <w:t>Mr V Bhalla - Non-Executive Director</w:t>
            </w:r>
          </w:p>
        </w:tc>
        <w:tc>
          <w:tcPr>
            <w:tcW w:w="1556" w:type="dxa"/>
            <w:noWrap/>
            <w:hideMark/>
          </w:tcPr>
          <w:p w14:paraId="396F7052" w14:textId="77777777" w:rsidR="00CC034B" w:rsidRPr="00CC034B" w:rsidRDefault="00CC034B" w:rsidP="00FB6278">
            <w:pPr>
              <w:rPr>
                <w:rFonts w:ascii="Arial" w:hAnsi="Arial"/>
                <w:sz w:val="22"/>
              </w:rPr>
            </w:pPr>
            <w:r w:rsidRPr="00CC034B">
              <w:rPr>
                <w:rFonts w:ascii="Arial" w:hAnsi="Arial"/>
                <w:sz w:val="22"/>
              </w:rPr>
              <w:t>10- 15</w:t>
            </w:r>
          </w:p>
        </w:tc>
        <w:tc>
          <w:tcPr>
            <w:tcW w:w="1556" w:type="dxa"/>
            <w:noWrap/>
            <w:hideMark/>
          </w:tcPr>
          <w:p w14:paraId="0334CA6A" w14:textId="77777777" w:rsidR="00CC034B" w:rsidRPr="00CC034B" w:rsidRDefault="00CC034B" w:rsidP="00FB6278">
            <w:pPr>
              <w:rPr>
                <w:rFonts w:ascii="Arial" w:hAnsi="Arial"/>
                <w:sz w:val="22"/>
              </w:rPr>
            </w:pPr>
            <w:r w:rsidRPr="00CC034B">
              <w:rPr>
                <w:rFonts w:ascii="Arial" w:hAnsi="Arial"/>
                <w:sz w:val="22"/>
              </w:rPr>
              <w:t>-</w:t>
            </w:r>
          </w:p>
        </w:tc>
        <w:tc>
          <w:tcPr>
            <w:tcW w:w="1556" w:type="dxa"/>
            <w:noWrap/>
            <w:hideMark/>
          </w:tcPr>
          <w:p w14:paraId="1B460912" w14:textId="77777777" w:rsidR="00CC034B" w:rsidRPr="00CC034B" w:rsidRDefault="00CC034B" w:rsidP="00FB6278">
            <w:pPr>
              <w:rPr>
                <w:rFonts w:ascii="Arial" w:hAnsi="Arial"/>
                <w:sz w:val="22"/>
              </w:rPr>
            </w:pPr>
            <w:r w:rsidRPr="00CC034B">
              <w:rPr>
                <w:rFonts w:ascii="Arial" w:hAnsi="Arial"/>
                <w:sz w:val="22"/>
              </w:rPr>
              <w:t>-</w:t>
            </w:r>
          </w:p>
        </w:tc>
        <w:tc>
          <w:tcPr>
            <w:tcW w:w="1556" w:type="dxa"/>
            <w:noWrap/>
            <w:hideMark/>
          </w:tcPr>
          <w:p w14:paraId="68D6B2BC" w14:textId="77777777" w:rsidR="00CC034B" w:rsidRPr="00CC034B" w:rsidRDefault="00CC034B" w:rsidP="00FB6278">
            <w:pPr>
              <w:rPr>
                <w:rFonts w:ascii="Arial" w:hAnsi="Arial"/>
                <w:sz w:val="22"/>
              </w:rPr>
            </w:pPr>
            <w:r w:rsidRPr="00CC034B">
              <w:rPr>
                <w:rFonts w:ascii="Arial" w:hAnsi="Arial"/>
                <w:sz w:val="22"/>
              </w:rPr>
              <w:t>10- 15</w:t>
            </w:r>
          </w:p>
        </w:tc>
      </w:tr>
      <w:tr w:rsidR="00CC034B" w:rsidRPr="00CC034B" w14:paraId="2583733C" w14:textId="77777777" w:rsidTr="00017EA2">
        <w:trPr>
          <w:trHeight w:val="270"/>
        </w:trPr>
        <w:tc>
          <w:tcPr>
            <w:tcW w:w="9164" w:type="dxa"/>
            <w:noWrap/>
            <w:hideMark/>
          </w:tcPr>
          <w:p w14:paraId="3065DA0D" w14:textId="77777777" w:rsidR="00CC034B" w:rsidRPr="00CC034B" w:rsidRDefault="00CC034B" w:rsidP="00FB6278">
            <w:pPr>
              <w:rPr>
                <w:rFonts w:ascii="Arial" w:hAnsi="Arial"/>
                <w:sz w:val="22"/>
              </w:rPr>
            </w:pPr>
            <w:r w:rsidRPr="00CC034B">
              <w:rPr>
                <w:rFonts w:ascii="Arial" w:hAnsi="Arial"/>
                <w:sz w:val="22"/>
              </w:rPr>
              <w:t>Mr R Holmes - Non-Executive Director</w:t>
            </w:r>
          </w:p>
        </w:tc>
        <w:tc>
          <w:tcPr>
            <w:tcW w:w="1556" w:type="dxa"/>
            <w:noWrap/>
            <w:hideMark/>
          </w:tcPr>
          <w:p w14:paraId="4E6AF3FF" w14:textId="77777777" w:rsidR="00CC034B" w:rsidRPr="00CC034B" w:rsidRDefault="00CC034B" w:rsidP="00FB6278">
            <w:pPr>
              <w:rPr>
                <w:rFonts w:ascii="Arial" w:hAnsi="Arial"/>
                <w:sz w:val="22"/>
              </w:rPr>
            </w:pPr>
            <w:r w:rsidRPr="00CC034B">
              <w:rPr>
                <w:rFonts w:ascii="Arial" w:hAnsi="Arial"/>
                <w:sz w:val="22"/>
              </w:rPr>
              <w:t>10- 15</w:t>
            </w:r>
          </w:p>
        </w:tc>
        <w:tc>
          <w:tcPr>
            <w:tcW w:w="1556" w:type="dxa"/>
            <w:noWrap/>
            <w:hideMark/>
          </w:tcPr>
          <w:p w14:paraId="781F5E37" w14:textId="77777777" w:rsidR="00CC034B" w:rsidRPr="00CC034B" w:rsidRDefault="00CC034B" w:rsidP="00FB6278">
            <w:pPr>
              <w:rPr>
                <w:rFonts w:ascii="Arial" w:hAnsi="Arial"/>
                <w:sz w:val="22"/>
              </w:rPr>
            </w:pPr>
            <w:r w:rsidRPr="00CC034B">
              <w:rPr>
                <w:rFonts w:ascii="Arial" w:hAnsi="Arial"/>
                <w:sz w:val="22"/>
              </w:rPr>
              <w:t>-</w:t>
            </w:r>
          </w:p>
        </w:tc>
        <w:tc>
          <w:tcPr>
            <w:tcW w:w="1556" w:type="dxa"/>
            <w:noWrap/>
            <w:hideMark/>
          </w:tcPr>
          <w:p w14:paraId="666E695A" w14:textId="77777777" w:rsidR="00CC034B" w:rsidRPr="00CC034B" w:rsidRDefault="00CC034B" w:rsidP="00FB6278">
            <w:pPr>
              <w:rPr>
                <w:rFonts w:ascii="Arial" w:hAnsi="Arial"/>
                <w:sz w:val="22"/>
              </w:rPr>
            </w:pPr>
            <w:r w:rsidRPr="00CC034B">
              <w:rPr>
                <w:rFonts w:ascii="Arial" w:hAnsi="Arial"/>
                <w:sz w:val="22"/>
              </w:rPr>
              <w:t>-</w:t>
            </w:r>
          </w:p>
        </w:tc>
        <w:tc>
          <w:tcPr>
            <w:tcW w:w="1556" w:type="dxa"/>
            <w:noWrap/>
            <w:hideMark/>
          </w:tcPr>
          <w:p w14:paraId="34CC87D3" w14:textId="77777777" w:rsidR="00CC034B" w:rsidRPr="00CC034B" w:rsidRDefault="00CC034B" w:rsidP="00FB6278">
            <w:pPr>
              <w:rPr>
                <w:rFonts w:ascii="Arial" w:hAnsi="Arial"/>
                <w:sz w:val="22"/>
              </w:rPr>
            </w:pPr>
            <w:r w:rsidRPr="00CC034B">
              <w:rPr>
                <w:rFonts w:ascii="Arial" w:hAnsi="Arial"/>
                <w:sz w:val="22"/>
              </w:rPr>
              <w:t>10- 15</w:t>
            </w:r>
          </w:p>
        </w:tc>
      </w:tr>
    </w:tbl>
    <w:p w14:paraId="49C079B7" w14:textId="22D75B20" w:rsidR="00CD4F89" w:rsidRDefault="00CD4F89" w:rsidP="00FB6278">
      <w:pPr>
        <w:tabs>
          <w:tab w:val="left" w:pos="12830"/>
        </w:tabs>
        <w:rPr>
          <w:rFonts w:ascii="Arial" w:hAnsi="Arial"/>
          <w:b/>
          <w:sz w:val="22"/>
        </w:rPr>
      </w:pPr>
    </w:p>
    <w:p w14:paraId="3ACFAB2D" w14:textId="4BE6B1F1" w:rsidR="00017EA2" w:rsidRDefault="00017EA2" w:rsidP="00FB6278">
      <w:pPr>
        <w:tabs>
          <w:tab w:val="left" w:pos="12830"/>
        </w:tabs>
        <w:rPr>
          <w:rFonts w:ascii="Arial" w:hAnsi="Arial"/>
          <w:b/>
          <w:sz w:val="22"/>
        </w:rPr>
      </w:pPr>
    </w:p>
    <w:p w14:paraId="6C454729" w14:textId="38C7DD37" w:rsidR="00017EA2" w:rsidRDefault="00017EA2" w:rsidP="00FB6278">
      <w:pPr>
        <w:tabs>
          <w:tab w:val="left" w:pos="12830"/>
        </w:tabs>
        <w:rPr>
          <w:rFonts w:ascii="Arial" w:hAnsi="Arial"/>
          <w:b/>
          <w:sz w:val="22"/>
        </w:rPr>
      </w:pPr>
    </w:p>
    <w:p w14:paraId="667E616B" w14:textId="196C28EE" w:rsidR="00017EA2" w:rsidRDefault="00017EA2" w:rsidP="00FB6278">
      <w:pPr>
        <w:tabs>
          <w:tab w:val="left" w:pos="12830"/>
        </w:tabs>
        <w:rPr>
          <w:rFonts w:ascii="Arial" w:hAnsi="Arial"/>
          <w:b/>
          <w:sz w:val="22"/>
        </w:rPr>
      </w:pPr>
    </w:p>
    <w:p w14:paraId="656AEAE1" w14:textId="51C1B153" w:rsidR="00017EA2" w:rsidRDefault="00017EA2" w:rsidP="00FB6278">
      <w:pPr>
        <w:tabs>
          <w:tab w:val="left" w:pos="12830"/>
        </w:tabs>
        <w:rPr>
          <w:rFonts w:ascii="Arial" w:hAnsi="Arial"/>
          <w:b/>
          <w:sz w:val="22"/>
        </w:rPr>
      </w:pPr>
    </w:p>
    <w:p w14:paraId="0EBC9319" w14:textId="7363E6AB" w:rsidR="00017EA2" w:rsidRDefault="00017EA2" w:rsidP="00FB6278">
      <w:pPr>
        <w:tabs>
          <w:tab w:val="left" w:pos="12830"/>
        </w:tabs>
        <w:rPr>
          <w:rFonts w:ascii="Arial" w:hAnsi="Arial"/>
          <w:b/>
          <w:sz w:val="22"/>
        </w:rPr>
      </w:pPr>
    </w:p>
    <w:p w14:paraId="5A951DFD" w14:textId="25AC5418" w:rsidR="00017EA2" w:rsidRDefault="00017EA2" w:rsidP="00FB6278">
      <w:pPr>
        <w:tabs>
          <w:tab w:val="left" w:pos="12830"/>
        </w:tabs>
        <w:rPr>
          <w:rFonts w:ascii="Arial" w:hAnsi="Arial"/>
          <w:b/>
          <w:sz w:val="22"/>
        </w:rPr>
      </w:pPr>
    </w:p>
    <w:tbl>
      <w:tblPr>
        <w:tblStyle w:val="TableGrid"/>
        <w:tblW w:w="0" w:type="auto"/>
        <w:tblLook w:val="04A0" w:firstRow="1" w:lastRow="0" w:firstColumn="1" w:lastColumn="0" w:noHBand="0" w:noVBand="1"/>
      </w:tblPr>
      <w:tblGrid>
        <w:gridCol w:w="9164"/>
        <w:gridCol w:w="1556"/>
        <w:gridCol w:w="1556"/>
        <w:gridCol w:w="1556"/>
        <w:gridCol w:w="1556"/>
      </w:tblGrid>
      <w:tr w:rsidR="00017EA2" w:rsidRPr="00CC034B" w14:paraId="37361518" w14:textId="77777777" w:rsidTr="002629A9">
        <w:trPr>
          <w:trHeight w:val="315"/>
        </w:trPr>
        <w:tc>
          <w:tcPr>
            <w:tcW w:w="9164" w:type="dxa"/>
            <w:noWrap/>
            <w:hideMark/>
          </w:tcPr>
          <w:p w14:paraId="3672A99C" w14:textId="77777777" w:rsidR="00017EA2" w:rsidRPr="00CC034B" w:rsidRDefault="00017EA2" w:rsidP="00FB6278">
            <w:pPr>
              <w:rPr>
                <w:rFonts w:ascii="Arial" w:hAnsi="Arial"/>
                <w:b/>
                <w:bCs/>
                <w:sz w:val="22"/>
              </w:rPr>
            </w:pPr>
            <w:r w:rsidRPr="00CC034B">
              <w:rPr>
                <w:rFonts w:ascii="Arial" w:hAnsi="Arial"/>
                <w:b/>
                <w:bCs/>
                <w:sz w:val="22"/>
              </w:rPr>
              <w:lastRenderedPageBreak/>
              <w:t>2020/21</w:t>
            </w:r>
          </w:p>
        </w:tc>
        <w:tc>
          <w:tcPr>
            <w:tcW w:w="1556" w:type="dxa"/>
            <w:noWrap/>
            <w:hideMark/>
          </w:tcPr>
          <w:p w14:paraId="67E19F95" w14:textId="77777777" w:rsidR="00017EA2" w:rsidRPr="00CC034B" w:rsidRDefault="00017EA2" w:rsidP="00FB6278">
            <w:pPr>
              <w:rPr>
                <w:rFonts w:ascii="Arial" w:hAnsi="Arial"/>
                <w:b/>
                <w:bCs/>
                <w:sz w:val="22"/>
              </w:rPr>
            </w:pPr>
            <w:r w:rsidRPr="00CC034B">
              <w:rPr>
                <w:rFonts w:ascii="Arial" w:hAnsi="Arial"/>
                <w:b/>
                <w:bCs/>
                <w:sz w:val="22"/>
              </w:rPr>
              <w:t> </w:t>
            </w:r>
          </w:p>
        </w:tc>
        <w:tc>
          <w:tcPr>
            <w:tcW w:w="1556" w:type="dxa"/>
            <w:noWrap/>
            <w:hideMark/>
          </w:tcPr>
          <w:p w14:paraId="55B41622" w14:textId="77777777" w:rsidR="00017EA2" w:rsidRPr="00CC034B" w:rsidRDefault="00017EA2" w:rsidP="00FB6278">
            <w:pPr>
              <w:rPr>
                <w:rFonts w:ascii="Arial" w:hAnsi="Arial"/>
                <w:b/>
                <w:bCs/>
                <w:sz w:val="22"/>
              </w:rPr>
            </w:pPr>
            <w:r w:rsidRPr="00CC034B">
              <w:rPr>
                <w:rFonts w:ascii="Arial" w:hAnsi="Arial"/>
                <w:b/>
                <w:bCs/>
                <w:sz w:val="22"/>
              </w:rPr>
              <w:t> </w:t>
            </w:r>
          </w:p>
        </w:tc>
        <w:tc>
          <w:tcPr>
            <w:tcW w:w="1556" w:type="dxa"/>
            <w:hideMark/>
          </w:tcPr>
          <w:p w14:paraId="78C1EB9E" w14:textId="77777777" w:rsidR="00017EA2" w:rsidRPr="00CC034B" w:rsidRDefault="00017EA2" w:rsidP="00FB6278">
            <w:pPr>
              <w:rPr>
                <w:rFonts w:ascii="Arial" w:hAnsi="Arial"/>
                <w:b/>
                <w:bCs/>
                <w:sz w:val="22"/>
              </w:rPr>
            </w:pPr>
            <w:r w:rsidRPr="00CC034B">
              <w:rPr>
                <w:rFonts w:ascii="Arial" w:hAnsi="Arial"/>
                <w:b/>
                <w:bCs/>
                <w:sz w:val="22"/>
              </w:rPr>
              <w:t> </w:t>
            </w:r>
          </w:p>
        </w:tc>
        <w:tc>
          <w:tcPr>
            <w:tcW w:w="1556" w:type="dxa"/>
            <w:hideMark/>
          </w:tcPr>
          <w:p w14:paraId="4279015D" w14:textId="77777777" w:rsidR="00017EA2" w:rsidRPr="00CC034B" w:rsidRDefault="00017EA2" w:rsidP="00FB6278">
            <w:pPr>
              <w:rPr>
                <w:rFonts w:ascii="Arial" w:hAnsi="Arial"/>
                <w:b/>
                <w:bCs/>
                <w:sz w:val="22"/>
              </w:rPr>
            </w:pPr>
            <w:r w:rsidRPr="00CC034B">
              <w:rPr>
                <w:rFonts w:ascii="Arial" w:hAnsi="Arial"/>
                <w:b/>
                <w:bCs/>
                <w:sz w:val="22"/>
              </w:rPr>
              <w:t> </w:t>
            </w:r>
          </w:p>
        </w:tc>
      </w:tr>
      <w:tr w:rsidR="00017EA2" w:rsidRPr="00CC034B" w14:paraId="1FA729BB" w14:textId="77777777" w:rsidTr="002629A9">
        <w:trPr>
          <w:trHeight w:val="1310"/>
        </w:trPr>
        <w:tc>
          <w:tcPr>
            <w:tcW w:w="9164" w:type="dxa"/>
            <w:noWrap/>
            <w:hideMark/>
          </w:tcPr>
          <w:p w14:paraId="30D3F80F" w14:textId="77777777" w:rsidR="00017EA2" w:rsidRPr="00CC034B" w:rsidRDefault="00017EA2" w:rsidP="00FB6278">
            <w:pPr>
              <w:rPr>
                <w:rFonts w:ascii="Arial" w:hAnsi="Arial"/>
                <w:b/>
                <w:bCs/>
                <w:sz w:val="22"/>
              </w:rPr>
            </w:pPr>
            <w:r w:rsidRPr="00CC034B">
              <w:rPr>
                <w:rFonts w:ascii="Arial" w:hAnsi="Arial"/>
                <w:b/>
                <w:bCs/>
                <w:sz w:val="22"/>
              </w:rPr>
              <w:t>Name and Title</w:t>
            </w:r>
          </w:p>
        </w:tc>
        <w:tc>
          <w:tcPr>
            <w:tcW w:w="1556" w:type="dxa"/>
            <w:hideMark/>
          </w:tcPr>
          <w:p w14:paraId="4EE03615" w14:textId="77777777" w:rsidR="00017EA2" w:rsidRPr="00CC034B" w:rsidRDefault="00017EA2" w:rsidP="00FB6278">
            <w:pPr>
              <w:rPr>
                <w:rFonts w:ascii="Arial" w:hAnsi="Arial"/>
                <w:b/>
                <w:bCs/>
                <w:sz w:val="22"/>
              </w:rPr>
            </w:pPr>
            <w:r w:rsidRPr="00CC034B">
              <w:rPr>
                <w:rFonts w:ascii="Arial" w:hAnsi="Arial"/>
                <w:b/>
                <w:bCs/>
                <w:sz w:val="22"/>
              </w:rPr>
              <w:t>Executive Salary</w:t>
            </w:r>
            <w:r w:rsidRPr="00CC034B">
              <w:rPr>
                <w:rFonts w:ascii="Arial" w:hAnsi="Arial"/>
                <w:b/>
                <w:bCs/>
                <w:sz w:val="22"/>
              </w:rPr>
              <w:br/>
              <w:t>(bands of £5,000)</w:t>
            </w:r>
            <w:r w:rsidRPr="00CC034B">
              <w:rPr>
                <w:rFonts w:ascii="Arial" w:hAnsi="Arial"/>
                <w:b/>
                <w:bCs/>
                <w:sz w:val="22"/>
              </w:rPr>
              <w:br/>
              <w:t>£'000s</w:t>
            </w:r>
          </w:p>
        </w:tc>
        <w:tc>
          <w:tcPr>
            <w:tcW w:w="1556" w:type="dxa"/>
            <w:hideMark/>
          </w:tcPr>
          <w:p w14:paraId="0A87AD48" w14:textId="77777777" w:rsidR="00017EA2" w:rsidRPr="00CC034B" w:rsidRDefault="00017EA2" w:rsidP="00FB6278">
            <w:pPr>
              <w:rPr>
                <w:rFonts w:ascii="Arial" w:hAnsi="Arial"/>
                <w:b/>
                <w:bCs/>
                <w:sz w:val="22"/>
              </w:rPr>
            </w:pPr>
            <w:r w:rsidRPr="00CC034B">
              <w:rPr>
                <w:rFonts w:ascii="Arial" w:hAnsi="Arial"/>
                <w:b/>
                <w:bCs/>
                <w:sz w:val="22"/>
              </w:rPr>
              <w:t>Clinical / Research Salary</w:t>
            </w:r>
            <w:r w:rsidRPr="00CC034B">
              <w:rPr>
                <w:rFonts w:ascii="Arial" w:hAnsi="Arial"/>
                <w:b/>
                <w:bCs/>
                <w:sz w:val="22"/>
              </w:rPr>
              <w:br/>
              <w:t>(bands of £5,000)</w:t>
            </w:r>
            <w:r w:rsidRPr="00CC034B">
              <w:rPr>
                <w:rFonts w:ascii="Arial" w:hAnsi="Arial"/>
                <w:b/>
                <w:bCs/>
                <w:sz w:val="22"/>
              </w:rPr>
              <w:br/>
              <w:t>£'000s</w:t>
            </w:r>
          </w:p>
        </w:tc>
        <w:tc>
          <w:tcPr>
            <w:tcW w:w="1556" w:type="dxa"/>
            <w:hideMark/>
          </w:tcPr>
          <w:p w14:paraId="120F5AFB" w14:textId="77777777" w:rsidR="00017EA2" w:rsidRPr="00CC034B" w:rsidRDefault="00017EA2" w:rsidP="00FB6278">
            <w:pPr>
              <w:rPr>
                <w:rFonts w:ascii="Arial" w:hAnsi="Arial"/>
                <w:b/>
                <w:bCs/>
                <w:sz w:val="22"/>
              </w:rPr>
            </w:pPr>
            <w:r w:rsidRPr="00CC034B">
              <w:rPr>
                <w:rFonts w:ascii="Arial" w:hAnsi="Arial"/>
                <w:b/>
                <w:bCs/>
                <w:sz w:val="22"/>
              </w:rPr>
              <w:t>Pension-Related Benefits</w:t>
            </w:r>
            <w:r w:rsidRPr="00CC034B">
              <w:rPr>
                <w:rFonts w:ascii="Arial" w:hAnsi="Arial"/>
                <w:b/>
                <w:bCs/>
                <w:sz w:val="22"/>
              </w:rPr>
              <w:br/>
              <w:t>(bands of £2,500)</w:t>
            </w:r>
            <w:r w:rsidRPr="00CC034B">
              <w:rPr>
                <w:rFonts w:ascii="Arial" w:hAnsi="Arial"/>
                <w:b/>
                <w:bCs/>
                <w:sz w:val="22"/>
              </w:rPr>
              <w:br/>
              <w:t>£'000s</w:t>
            </w:r>
          </w:p>
        </w:tc>
        <w:tc>
          <w:tcPr>
            <w:tcW w:w="1556" w:type="dxa"/>
            <w:hideMark/>
          </w:tcPr>
          <w:p w14:paraId="72220F05" w14:textId="77777777" w:rsidR="00017EA2" w:rsidRPr="00CC034B" w:rsidRDefault="00017EA2" w:rsidP="00FB6278">
            <w:pPr>
              <w:rPr>
                <w:rFonts w:ascii="Arial" w:hAnsi="Arial"/>
                <w:b/>
                <w:bCs/>
                <w:sz w:val="22"/>
              </w:rPr>
            </w:pPr>
            <w:r w:rsidRPr="00CC034B">
              <w:rPr>
                <w:rFonts w:ascii="Arial" w:hAnsi="Arial"/>
                <w:b/>
                <w:bCs/>
                <w:sz w:val="22"/>
              </w:rPr>
              <w:t>Total Entitlement</w:t>
            </w:r>
            <w:r w:rsidRPr="00CC034B">
              <w:rPr>
                <w:rFonts w:ascii="Arial" w:hAnsi="Arial"/>
                <w:b/>
                <w:bCs/>
                <w:sz w:val="22"/>
              </w:rPr>
              <w:br/>
              <w:t>(bands of £5,000)</w:t>
            </w:r>
            <w:r w:rsidRPr="00CC034B">
              <w:rPr>
                <w:rFonts w:ascii="Arial" w:hAnsi="Arial"/>
                <w:b/>
                <w:bCs/>
                <w:sz w:val="22"/>
              </w:rPr>
              <w:br/>
              <w:t>£'000s</w:t>
            </w:r>
          </w:p>
        </w:tc>
      </w:tr>
      <w:tr w:rsidR="00017EA2" w:rsidRPr="00CC034B" w14:paraId="4B25E3E5" w14:textId="77777777" w:rsidTr="002629A9">
        <w:trPr>
          <w:trHeight w:val="260"/>
        </w:trPr>
        <w:tc>
          <w:tcPr>
            <w:tcW w:w="9164" w:type="dxa"/>
            <w:noWrap/>
            <w:hideMark/>
          </w:tcPr>
          <w:p w14:paraId="6AF8A899" w14:textId="77777777" w:rsidR="00017EA2" w:rsidRPr="00CC034B" w:rsidRDefault="00017EA2" w:rsidP="00FB6278">
            <w:pPr>
              <w:rPr>
                <w:rFonts w:ascii="Arial" w:hAnsi="Arial"/>
                <w:sz w:val="22"/>
              </w:rPr>
            </w:pPr>
            <w:r w:rsidRPr="00CC034B">
              <w:rPr>
                <w:rFonts w:ascii="Arial" w:hAnsi="Arial"/>
                <w:sz w:val="22"/>
              </w:rPr>
              <w:t xml:space="preserve">Mr D Probert - Chief Executive </w:t>
            </w:r>
          </w:p>
        </w:tc>
        <w:tc>
          <w:tcPr>
            <w:tcW w:w="1556" w:type="dxa"/>
            <w:noWrap/>
            <w:hideMark/>
          </w:tcPr>
          <w:p w14:paraId="6068E23A" w14:textId="77777777" w:rsidR="00017EA2" w:rsidRPr="00CC034B" w:rsidRDefault="00017EA2" w:rsidP="00FB6278">
            <w:pPr>
              <w:rPr>
                <w:rFonts w:ascii="Arial" w:hAnsi="Arial"/>
                <w:sz w:val="22"/>
              </w:rPr>
            </w:pPr>
            <w:r w:rsidRPr="00CC034B">
              <w:rPr>
                <w:rFonts w:ascii="Arial" w:hAnsi="Arial"/>
                <w:sz w:val="22"/>
              </w:rPr>
              <w:t>210 - 215</w:t>
            </w:r>
          </w:p>
        </w:tc>
        <w:tc>
          <w:tcPr>
            <w:tcW w:w="1556" w:type="dxa"/>
            <w:noWrap/>
            <w:hideMark/>
          </w:tcPr>
          <w:p w14:paraId="32BBB399" w14:textId="77777777" w:rsidR="00017EA2" w:rsidRPr="00CC034B" w:rsidRDefault="00017EA2" w:rsidP="00FB6278">
            <w:pPr>
              <w:rPr>
                <w:rFonts w:ascii="Arial" w:hAnsi="Arial"/>
                <w:sz w:val="22"/>
              </w:rPr>
            </w:pPr>
            <w:r w:rsidRPr="00CC034B">
              <w:rPr>
                <w:rFonts w:ascii="Arial" w:hAnsi="Arial"/>
                <w:sz w:val="22"/>
              </w:rPr>
              <w:t>-</w:t>
            </w:r>
          </w:p>
        </w:tc>
        <w:tc>
          <w:tcPr>
            <w:tcW w:w="1556" w:type="dxa"/>
            <w:noWrap/>
            <w:hideMark/>
          </w:tcPr>
          <w:p w14:paraId="65E5B6F7" w14:textId="77777777" w:rsidR="00017EA2" w:rsidRPr="00CC034B" w:rsidRDefault="00017EA2" w:rsidP="00FB6278">
            <w:pPr>
              <w:rPr>
                <w:rFonts w:ascii="Arial" w:hAnsi="Arial"/>
                <w:sz w:val="22"/>
              </w:rPr>
            </w:pPr>
            <w:r w:rsidRPr="00CC034B">
              <w:rPr>
                <w:rFonts w:ascii="Arial" w:hAnsi="Arial"/>
                <w:sz w:val="22"/>
              </w:rPr>
              <w:t>47.5 - 50.0</w:t>
            </w:r>
          </w:p>
        </w:tc>
        <w:tc>
          <w:tcPr>
            <w:tcW w:w="1556" w:type="dxa"/>
            <w:noWrap/>
            <w:hideMark/>
          </w:tcPr>
          <w:p w14:paraId="38A91F63" w14:textId="77777777" w:rsidR="00017EA2" w:rsidRPr="00CC034B" w:rsidRDefault="00017EA2" w:rsidP="00FB6278">
            <w:pPr>
              <w:rPr>
                <w:rFonts w:ascii="Arial" w:hAnsi="Arial"/>
                <w:sz w:val="22"/>
              </w:rPr>
            </w:pPr>
            <w:r w:rsidRPr="00CC034B">
              <w:rPr>
                <w:rFonts w:ascii="Arial" w:hAnsi="Arial"/>
                <w:sz w:val="22"/>
              </w:rPr>
              <w:t>260 - 265</w:t>
            </w:r>
          </w:p>
        </w:tc>
      </w:tr>
      <w:tr w:rsidR="00017EA2" w:rsidRPr="00CC034B" w14:paraId="77B3BF9F" w14:textId="77777777" w:rsidTr="002629A9">
        <w:trPr>
          <w:trHeight w:val="260"/>
        </w:trPr>
        <w:tc>
          <w:tcPr>
            <w:tcW w:w="9164" w:type="dxa"/>
            <w:noWrap/>
            <w:hideMark/>
          </w:tcPr>
          <w:p w14:paraId="07A4943F" w14:textId="77777777" w:rsidR="00017EA2" w:rsidRPr="00CC034B" w:rsidRDefault="00017EA2" w:rsidP="00FB6278">
            <w:pPr>
              <w:rPr>
                <w:rFonts w:ascii="Arial" w:hAnsi="Arial"/>
                <w:sz w:val="22"/>
              </w:rPr>
            </w:pPr>
            <w:r w:rsidRPr="00CC034B">
              <w:rPr>
                <w:rFonts w:ascii="Arial" w:hAnsi="Arial"/>
                <w:sz w:val="22"/>
              </w:rPr>
              <w:t xml:space="preserve">Mr J Wilson - Chief Financial Officer </w:t>
            </w:r>
          </w:p>
        </w:tc>
        <w:tc>
          <w:tcPr>
            <w:tcW w:w="1556" w:type="dxa"/>
            <w:noWrap/>
            <w:hideMark/>
          </w:tcPr>
          <w:p w14:paraId="4FD7F660" w14:textId="77777777" w:rsidR="00017EA2" w:rsidRPr="00CC034B" w:rsidRDefault="00017EA2" w:rsidP="00FB6278">
            <w:pPr>
              <w:rPr>
                <w:rFonts w:ascii="Arial" w:hAnsi="Arial"/>
                <w:sz w:val="22"/>
              </w:rPr>
            </w:pPr>
            <w:r w:rsidRPr="00CC034B">
              <w:rPr>
                <w:rFonts w:ascii="Arial" w:hAnsi="Arial"/>
                <w:sz w:val="22"/>
              </w:rPr>
              <w:t>145 - 150</w:t>
            </w:r>
          </w:p>
        </w:tc>
        <w:tc>
          <w:tcPr>
            <w:tcW w:w="1556" w:type="dxa"/>
            <w:noWrap/>
            <w:hideMark/>
          </w:tcPr>
          <w:p w14:paraId="2B139146" w14:textId="77777777" w:rsidR="00017EA2" w:rsidRPr="00CC034B" w:rsidRDefault="00017EA2" w:rsidP="00FB6278">
            <w:pPr>
              <w:rPr>
                <w:rFonts w:ascii="Arial" w:hAnsi="Arial"/>
                <w:sz w:val="22"/>
              </w:rPr>
            </w:pPr>
            <w:r w:rsidRPr="00CC034B">
              <w:rPr>
                <w:rFonts w:ascii="Arial" w:hAnsi="Arial"/>
                <w:sz w:val="22"/>
              </w:rPr>
              <w:t>-</w:t>
            </w:r>
          </w:p>
        </w:tc>
        <w:tc>
          <w:tcPr>
            <w:tcW w:w="1556" w:type="dxa"/>
            <w:noWrap/>
            <w:hideMark/>
          </w:tcPr>
          <w:p w14:paraId="28B90073" w14:textId="77777777" w:rsidR="00017EA2" w:rsidRPr="00CC034B" w:rsidRDefault="00017EA2" w:rsidP="00FB6278">
            <w:pPr>
              <w:rPr>
                <w:rFonts w:ascii="Arial" w:hAnsi="Arial"/>
                <w:sz w:val="22"/>
              </w:rPr>
            </w:pPr>
            <w:r w:rsidRPr="00CC034B">
              <w:rPr>
                <w:rFonts w:ascii="Arial" w:hAnsi="Arial"/>
                <w:sz w:val="22"/>
              </w:rPr>
              <w:t>10.0 - 12.5</w:t>
            </w:r>
          </w:p>
        </w:tc>
        <w:tc>
          <w:tcPr>
            <w:tcW w:w="1556" w:type="dxa"/>
            <w:noWrap/>
            <w:hideMark/>
          </w:tcPr>
          <w:p w14:paraId="5C530355" w14:textId="77777777" w:rsidR="00017EA2" w:rsidRPr="00CC034B" w:rsidRDefault="00017EA2" w:rsidP="00FB6278">
            <w:pPr>
              <w:rPr>
                <w:rFonts w:ascii="Arial" w:hAnsi="Arial"/>
                <w:sz w:val="22"/>
              </w:rPr>
            </w:pPr>
            <w:r w:rsidRPr="00CC034B">
              <w:rPr>
                <w:rFonts w:ascii="Arial" w:hAnsi="Arial"/>
                <w:sz w:val="22"/>
              </w:rPr>
              <w:t>155 - 160</w:t>
            </w:r>
          </w:p>
        </w:tc>
      </w:tr>
      <w:tr w:rsidR="00017EA2" w:rsidRPr="00CC034B" w14:paraId="291F9B5F" w14:textId="77777777" w:rsidTr="002629A9">
        <w:trPr>
          <w:trHeight w:val="260"/>
        </w:trPr>
        <w:tc>
          <w:tcPr>
            <w:tcW w:w="9164" w:type="dxa"/>
            <w:noWrap/>
            <w:hideMark/>
          </w:tcPr>
          <w:p w14:paraId="45CB3E9B" w14:textId="77777777" w:rsidR="00017EA2" w:rsidRPr="00CC034B" w:rsidRDefault="00017EA2" w:rsidP="00FB6278">
            <w:pPr>
              <w:rPr>
                <w:rFonts w:ascii="Arial" w:hAnsi="Arial"/>
                <w:sz w:val="22"/>
              </w:rPr>
            </w:pPr>
            <w:r w:rsidRPr="00CC034B">
              <w:rPr>
                <w:rFonts w:ascii="Arial" w:hAnsi="Arial"/>
                <w:sz w:val="22"/>
              </w:rPr>
              <w:t>Prof P Khaw - Research Director</w:t>
            </w:r>
          </w:p>
        </w:tc>
        <w:tc>
          <w:tcPr>
            <w:tcW w:w="1556" w:type="dxa"/>
            <w:noWrap/>
            <w:hideMark/>
          </w:tcPr>
          <w:p w14:paraId="212DA64A" w14:textId="77777777" w:rsidR="00017EA2" w:rsidRPr="00CC034B" w:rsidRDefault="00017EA2" w:rsidP="00FB6278">
            <w:pPr>
              <w:rPr>
                <w:rFonts w:ascii="Arial" w:hAnsi="Arial"/>
                <w:sz w:val="22"/>
              </w:rPr>
            </w:pPr>
            <w:r w:rsidRPr="00CC034B">
              <w:rPr>
                <w:rFonts w:ascii="Arial" w:hAnsi="Arial"/>
                <w:sz w:val="22"/>
              </w:rPr>
              <w:t>30 - 35</w:t>
            </w:r>
          </w:p>
        </w:tc>
        <w:tc>
          <w:tcPr>
            <w:tcW w:w="1556" w:type="dxa"/>
            <w:noWrap/>
            <w:hideMark/>
          </w:tcPr>
          <w:p w14:paraId="6F512086" w14:textId="77777777" w:rsidR="00017EA2" w:rsidRPr="00CC034B" w:rsidRDefault="00017EA2" w:rsidP="00FB6278">
            <w:pPr>
              <w:rPr>
                <w:rFonts w:ascii="Arial" w:hAnsi="Arial"/>
                <w:sz w:val="22"/>
              </w:rPr>
            </w:pPr>
            <w:r w:rsidRPr="00CC034B">
              <w:rPr>
                <w:rFonts w:ascii="Arial" w:hAnsi="Arial"/>
                <w:sz w:val="22"/>
              </w:rPr>
              <w:t>200 - 205</w:t>
            </w:r>
          </w:p>
        </w:tc>
        <w:tc>
          <w:tcPr>
            <w:tcW w:w="1556" w:type="dxa"/>
            <w:noWrap/>
            <w:hideMark/>
          </w:tcPr>
          <w:p w14:paraId="1659A500" w14:textId="77777777" w:rsidR="00017EA2" w:rsidRPr="00CC034B" w:rsidRDefault="00017EA2" w:rsidP="00FB6278">
            <w:pPr>
              <w:rPr>
                <w:rFonts w:ascii="Arial" w:hAnsi="Arial"/>
                <w:sz w:val="22"/>
              </w:rPr>
            </w:pPr>
            <w:r w:rsidRPr="00CC034B">
              <w:rPr>
                <w:rFonts w:ascii="Arial" w:hAnsi="Arial"/>
                <w:sz w:val="22"/>
              </w:rPr>
              <w:t>0.0 - 2.5</w:t>
            </w:r>
          </w:p>
        </w:tc>
        <w:tc>
          <w:tcPr>
            <w:tcW w:w="1556" w:type="dxa"/>
            <w:noWrap/>
            <w:hideMark/>
          </w:tcPr>
          <w:p w14:paraId="081BAF45" w14:textId="77777777" w:rsidR="00017EA2" w:rsidRPr="00CC034B" w:rsidRDefault="00017EA2" w:rsidP="00FB6278">
            <w:pPr>
              <w:rPr>
                <w:rFonts w:ascii="Arial" w:hAnsi="Arial"/>
                <w:sz w:val="22"/>
              </w:rPr>
            </w:pPr>
            <w:r w:rsidRPr="00CC034B">
              <w:rPr>
                <w:rFonts w:ascii="Arial" w:hAnsi="Arial"/>
                <w:sz w:val="22"/>
              </w:rPr>
              <w:t>235 - 240</w:t>
            </w:r>
          </w:p>
        </w:tc>
      </w:tr>
      <w:tr w:rsidR="00017EA2" w:rsidRPr="00CC034B" w14:paraId="0BC79658" w14:textId="77777777" w:rsidTr="002629A9">
        <w:trPr>
          <w:trHeight w:val="260"/>
        </w:trPr>
        <w:tc>
          <w:tcPr>
            <w:tcW w:w="9164" w:type="dxa"/>
            <w:noWrap/>
            <w:hideMark/>
          </w:tcPr>
          <w:p w14:paraId="3C9852EB" w14:textId="77777777" w:rsidR="00017EA2" w:rsidRPr="00CC034B" w:rsidRDefault="00017EA2" w:rsidP="00FB6278">
            <w:pPr>
              <w:rPr>
                <w:rFonts w:ascii="Arial" w:hAnsi="Arial"/>
                <w:sz w:val="22"/>
              </w:rPr>
            </w:pPr>
            <w:r w:rsidRPr="00CC034B">
              <w:rPr>
                <w:rFonts w:ascii="Arial" w:hAnsi="Arial"/>
                <w:sz w:val="22"/>
              </w:rPr>
              <w:t>Ms T Luckett - Director of Nursing &amp; Allied Health Professions</w:t>
            </w:r>
          </w:p>
        </w:tc>
        <w:tc>
          <w:tcPr>
            <w:tcW w:w="1556" w:type="dxa"/>
            <w:noWrap/>
            <w:hideMark/>
          </w:tcPr>
          <w:p w14:paraId="3AB1DF2F" w14:textId="77777777" w:rsidR="00017EA2" w:rsidRPr="00CC034B" w:rsidRDefault="00017EA2" w:rsidP="00FB6278">
            <w:pPr>
              <w:rPr>
                <w:rFonts w:ascii="Arial" w:hAnsi="Arial"/>
                <w:sz w:val="22"/>
              </w:rPr>
            </w:pPr>
            <w:r w:rsidRPr="00CC034B">
              <w:rPr>
                <w:rFonts w:ascii="Arial" w:hAnsi="Arial"/>
                <w:sz w:val="22"/>
              </w:rPr>
              <w:t>120 -125</w:t>
            </w:r>
          </w:p>
        </w:tc>
        <w:tc>
          <w:tcPr>
            <w:tcW w:w="1556" w:type="dxa"/>
            <w:noWrap/>
            <w:hideMark/>
          </w:tcPr>
          <w:p w14:paraId="54CBD16F" w14:textId="77777777" w:rsidR="00017EA2" w:rsidRPr="00CC034B" w:rsidRDefault="00017EA2" w:rsidP="00FB6278">
            <w:pPr>
              <w:rPr>
                <w:rFonts w:ascii="Arial" w:hAnsi="Arial"/>
                <w:sz w:val="22"/>
              </w:rPr>
            </w:pPr>
            <w:r w:rsidRPr="00CC034B">
              <w:rPr>
                <w:rFonts w:ascii="Arial" w:hAnsi="Arial"/>
                <w:sz w:val="22"/>
              </w:rPr>
              <w:t>-</w:t>
            </w:r>
          </w:p>
        </w:tc>
        <w:tc>
          <w:tcPr>
            <w:tcW w:w="1556" w:type="dxa"/>
            <w:noWrap/>
            <w:hideMark/>
          </w:tcPr>
          <w:p w14:paraId="2A2E747B" w14:textId="77777777" w:rsidR="00017EA2" w:rsidRPr="00CC034B" w:rsidRDefault="00017EA2" w:rsidP="00FB6278">
            <w:pPr>
              <w:rPr>
                <w:rFonts w:ascii="Arial" w:hAnsi="Arial"/>
                <w:sz w:val="22"/>
              </w:rPr>
            </w:pPr>
            <w:r w:rsidRPr="00CC034B">
              <w:rPr>
                <w:rFonts w:ascii="Arial" w:hAnsi="Arial"/>
                <w:sz w:val="22"/>
              </w:rPr>
              <w:t>0.0 - 2.5</w:t>
            </w:r>
          </w:p>
        </w:tc>
        <w:tc>
          <w:tcPr>
            <w:tcW w:w="1556" w:type="dxa"/>
            <w:noWrap/>
            <w:hideMark/>
          </w:tcPr>
          <w:p w14:paraId="53374E67" w14:textId="77777777" w:rsidR="00017EA2" w:rsidRPr="00CC034B" w:rsidRDefault="00017EA2" w:rsidP="00FB6278">
            <w:pPr>
              <w:rPr>
                <w:rFonts w:ascii="Arial" w:hAnsi="Arial"/>
                <w:sz w:val="22"/>
              </w:rPr>
            </w:pPr>
            <w:r w:rsidRPr="00CC034B">
              <w:rPr>
                <w:rFonts w:ascii="Arial" w:hAnsi="Arial"/>
                <w:sz w:val="22"/>
              </w:rPr>
              <w:t>120 - 125</w:t>
            </w:r>
          </w:p>
        </w:tc>
      </w:tr>
      <w:tr w:rsidR="00017EA2" w:rsidRPr="00CC034B" w14:paraId="60CCDFBE" w14:textId="77777777" w:rsidTr="002629A9">
        <w:trPr>
          <w:trHeight w:val="260"/>
        </w:trPr>
        <w:tc>
          <w:tcPr>
            <w:tcW w:w="9164" w:type="dxa"/>
            <w:noWrap/>
            <w:hideMark/>
          </w:tcPr>
          <w:p w14:paraId="02DF680B" w14:textId="77777777" w:rsidR="00017EA2" w:rsidRPr="00CC034B" w:rsidRDefault="00017EA2" w:rsidP="00FB6278">
            <w:pPr>
              <w:rPr>
                <w:rFonts w:ascii="Arial" w:hAnsi="Arial"/>
                <w:sz w:val="22"/>
              </w:rPr>
            </w:pPr>
            <w:r w:rsidRPr="00CC034B">
              <w:rPr>
                <w:rFonts w:ascii="Arial" w:hAnsi="Arial"/>
                <w:sz w:val="22"/>
              </w:rPr>
              <w:t>Mr J Quinn - Chief Operating Officer (end date 21.12.2020)</w:t>
            </w:r>
          </w:p>
        </w:tc>
        <w:tc>
          <w:tcPr>
            <w:tcW w:w="1556" w:type="dxa"/>
            <w:noWrap/>
            <w:hideMark/>
          </w:tcPr>
          <w:p w14:paraId="4FA718B4" w14:textId="77777777" w:rsidR="00017EA2" w:rsidRPr="00CC034B" w:rsidRDefault="00017EA2" w:rsidP="00FB6278">
            <w:pPr>
              <w:rPr>
                <w:rFonts w:ascii="Arial" w:hAnsi="Arial"/>
                <w:sz w:val="22"/>
              </w:rPr>
            </w:pPr>
            <w:r w:rsidRPr="00CC034B">
              <w:rPr>
                <w:rFonts w:ascii="Arial" w:hAnsi="Arial"/>
                <w:sz w:val="22"/>
              </w:rPr>
              <w:t>95 - 100</w:t>
            </w:r>
          </w:p>
        </w:tc>
        <w:tc>
          <w:tcPr>
            <w:tcW w:w="1556" w:type="dxa"/>
            <w:noWrap/>
            <w:hideMark/>
          </w:tcPr>
          <w:p w14:paraId="586B9FC3" w14:textId="77777777" w:rsidR="00017EA2" w:rsidRPr="00CC034B" w:rsidRDefault="00017EA2" w:rsidP="00FB6278">
            <w:pPr>
              <w:rPr>
                <w:rFonts w:ascii="Arial" w:hAnsi="Arial"/>
                <w:sz w:val="22"/>
              </w:rPr>
            </w:pPr>
            <w:r w:rsidRPr="00CC034B">
              <w:rPr>
                <w:rFonts w:ascii="Arial" w:hAnsi="Arial"/>
                <w:sz w:val="22"/>
              </w:rPr>
              <w:t>-</w:t>
            </w:r>
          </w:p>
        </w:tc>
        <w:tc>
          <w:tcPr>
            <w:tcW w:w="1556" w:type="dxa"/>
            <w:noWrap/>
            <w:hideMark/>
          </w:tcPr>
          <w:p w14:paraId="33DCDBAD" w14:textId="77777777" w:rsidR="00017EA2" w:rsidRPr="00CC034B" w:rsidRDefault="00017EA2" w:rsidP="00FB6278">
            <w:pPr>
              <w:rPr>
                <w:rFonts w:ascii="Arial" w:hAnsi="Arial"/>
                <w:sz w:val="22"/>
              </w:rPr>
            </w:pPr>
            <w:r w:rsidRPr="00CC034B">
              <w:rPr>
                <w:rFonts w:ascii="Arial" w:hAnsi="Arial"/>
                <w:sz w:val="22"/>
              </w:rPr>
              <w:t>35.0 - 37.5</w:t>
            </w:r>
          </w:p>
        </w:tc>
        <w:tc>
          <w:tcPr>
            <w:tcW w:w="1556" w:type="dxa"/>
            <w:noWrap/>
            <w:hideMark/>
          </w:tcPr>
          <w:p w14:paraId="3AE43B8A" w14:textId="77777777" w:rsidR="00017EA2" w:rsidRPr="00CC034B" w:rsidRDefault="00017EA2" w:rsidP="00FB6278">
            <w:pPr>
              <w:rPr>
                <w:rFonts w:ascii="Arial" w:hAnsi="Arial"/>
                <w:sz w:val="22"/>
              </w:rPr>
            </w:pPr>
            <w:r w:rsidRPr="00CC034B">
              <w:rPr>
                <w:rFonts w:ascii="Arial" w:hAnsi="Arial"/>
                <w:sz w:val="22"/>
              </w:rPr>
              <w:t>130 - 135</w:t>
            </w:r>
          </w:p>
        </w:tc>
      </w:tr>
      <w:tr w:rsidR="00017EA2" w:rsidRPr="00CC034B" w14:paraId="58BDC6AE" w14:textId="77777777" w:rsidTr="002629A9">
        <w:trPr>
          <w:trHeight w:val="260"/>
        </w:trPr>
        <w:tc>
          <w:tcPr>
            <w:tcW w:w="9164" w:type="dxa"/>
            <w:noWrap/>
            <w:hideMark/>
          </w:tcPr>
          <w:p w14:paraId="2EB06839" w14:textId="77777777" w:rsidR="00017EA2" w:rsidRPr="00CC034B" w:rsidRDefault="00017EA2" w:rsidP="00FB6278">
            <w:pPr>
              <w:rPr>
                <w:rFonts w:ascii="Arial" w:hAnsi="Arial"/>
                <w:sz w:val="22"/>
              </w:rPr>
            </w:pPr>
            <w:r w:rsidRPr="00CC034B">
              <w:rPr>
                <w:rFonts w:ascii="Arial" w:hAnsi="Arial"/>
                <w:sz w:val="22"/>
              </w:rPr>
              <w:t xml:space="preserve">Mr N </w:t>
            </w:r>
            <w:proofErr w:type="spellStart"/>
            <w:r w:rsidRPr="00CC034B">
              <w:rPr>
                <w:rFonts w:ascii="Arial" w:hAnsi="Arial"/>
                <w:sz w:val="22"/>
              </w:rPr>
              <w:t>Strouthidis</w:t>
            </w:r>
            <w:proofErr w:type="spellEnd"/>
            <w:r w:rsidRPr="00CC034B">
              <w:rPr>
                <w:rFonts w:ascii="Arial" w:hAnsi="Arial"/>
                <w:sz w:val="22"/>
              </w:rPr>
              <w:t xml:space="preserve"> - Medical Director (end date 31.12.2021)</w:t>
            </w:r>
          </w:p>
        </w:tc>
        <w:tc>
          <w:tcPr>
            <w:tcW w:w="1556" w:type="dxa"/>
            <w:noWrap/>
            <w:hideMark/>
          </w:tcPr>
          <w:p w14:paraId="409B1146" w14:textId="77777777" w:rsidR="00017EA2" w:rsidRPr="00CC034B" w:rsidRDefault="00017EA2" w:rsidP="00FB6278">
            <w:pPr>
              <w:rPr>
                <w:rFonts w:ascii="Arial" w:hAnsi="Arial"/>
                <w:sz w:val="22"/>
              </w:rPr>
            </w:pPr>
            <w:r w:rsidRPr="00CC034B">
              <w:rPr>
                <w:rFonts w:ascii="Arial" w:hAnsi="Arial"/>
                <w:sz w:val="22"/>
              </w:rPr>
              <w:t>45 - 50</w:t>
            </w:r>
          </w:p>
        </w:tc>
        <w:tc>
          <w:tcPr>
            <w:tcW w:w="1556" w:type="dxa"/>
            <w:noWrap/>
            <w:hideMark/>
          </w:tcPr>
          <w:p w14:paraId="17F2779C" w14:textId="77777777" w:rsidR="00017EA2" w:rsidRPr="00CC034B" w:rsidRDefault="00017EA2" w:rsidP="00FB6278">
            <w:pPr>
              <w:rPr>
                <w:rFonts w:ascii="Arial" w:hAnsi="Arial"/>
                <w:sz w:val="22"/>
              </w:rPr>
            </w:pPr>
            <w:r w:rsidRPr="00CC034B">
              <w:rPr>
                <w:rFonts w:ascii="Arial" w:hAnsi="Arial"/>
                <w:sz w:val="22"/>
              </w:rPr>
              <w:t>80 - 85</w:t>
            </w:r>
          </w:p>
        </w:tc>
        <w:tc>
          <w:tcPr>
            <w:tcW w:w="1556" w:type="dxa"/>
            <w:noWrap/>
            <w:hideMark/>
          </w:tcPr>
          <w:p w14:paraId="4BE35298" w14:textId="77777777" w:rsidR="00017EA2" w:rsidRPr="00CC034B" w:rsidRDefault="00017EA2" w:rsidP="00FB6278">
            <w:pPr>
              <w:rPr>
                <w:rFonts w:ascii="Arial" w:hAnsi="Arial"/>
                <w:sz w:val="22"/>
              </w:rPr>
            </w:pPr>
            <w:r w:rsidRPr="00CC034B">
              <w:rPr>
                <w:rFonts w:ascii="Arial" w:hAnsi="Arial"/>
                <w:sz w:val="22"/>
              </w:rPr>
              <w:t>47.5 - 50.0</w:t>
            </w:r>
          </w:p>
        </w:tc>
        <w:tc>
          <w:tcPr>
            <w:tcW w:w="1556" w:type="dxa"/>
            <w:noWrap/>
            <w:hideMark/>
          </w:tcPr>
          <w:p w14:paraId="6AE47086" w14:textId="77777777" w:rsidR="00017EA2" w:rsidRPr="00CC034B" w:rsidRDefault="00017EA2" w:rsidP="00FB6278">
            <w:pPr>
              <w:rPr>
                <w:rFonts w:ascii="Arial" w:hAnsi="Arial"/>
                <w:sz w:val="22"/>
              </w:rPr>
            </w:pPr>
            <w:r w:rsidRPr="00CC034B">
              <w:rPr>
                <w:rFonts w:ascii="Arial" w:hAnsi="Arial"/>
                <w:sz w:val="22"/>
              </w:rPr>
              <w:t>180 - 185</w:t>
            </w:r>
          </w:p>
        </w:tc>
      </w:tr>
      <w:tr w:rsidR="00017EA2" w:rsidRPr="00CC034B" w14:paraId="3A1528EE" w14:textId="77777777" w:rsidTr="002629A9">
        <w:trPr>
          <w:trHeight w:val="260"/>
        </w:trPr>
        <w:tc>
          <w:tcPr>
            <w:tcW w:w="9164" w:type="dxa"/>
            <w:noWrap/>
            <w:hideMark/>
          </w:tcPr>
          <w:p w14:paraId="037BE0C0" w14:textId="77777777" w:rsidR="00017EA2" w:rsidRPr="00CC034B" w:rsidRDefault="00017EA2" w:rsidP="00FB6278">
            <w:pPr>
              <w:rPr>
                <w:rFonts w:ascii="Arial" w:hAnsi="Arial"/>
                <w:sz w:val="22"/>
              </w:rPr>
            </w:pPr>
            <w:r w:rsidRPr="00CC034B">
              <w:rPr>
                <w:rFonts w:ascii="Arial" w:hAnsi="Arial"/>
                <w:sz w:val="22"/>
              </w:rPr>
              <w:t>Ms L Wickham - Medical Director (start date 04.01.2021)</w:t>
            </w:r>
          </w:p>
        </w:tc>
        <w:tc>
          <w:tcPr>
            <w:tcW w:w="1556" w:type="dxa"/>
            <w:noWrap/>
            <w:hideMark/>
          </w:tcPr>
          <w:p w14:paraId="4269C991" w14:textId="77777777" w:rsidR="00017EA2" w:rsidRPr="00CC034B" w:rsidRDefault="00017EA2" w:rsidP="00FB6278">
            <w:pPr>
              <w:rPr>
                <w:rFonts w:ascii="Arial" w:hAnsi="Arial"/>
                <w:sz w:val="22"/>
              </w:rPr>
            </w:pPr>
            <w:r w:rsidRPr="00CC034B">
              <w:rPr>
                <w:rFonts w:ascii="Arial" w:hAnsi="Arial"/>
                <w:sz w:val="22"/>
              </w:rPr>
              <w:t>15 - 20</w:t>
            </w:r>
          </w:p>
        </w:tc>
        <w:tc>
          <w:tcPr>
            <w:tcW w:w="1556" w:type="dxa"/>
            <w:noWrap/>
            <w:hideMark/>
          </w:tcPr>
          <w:p w14:paraId="6F6692C5" w14:textId="77777777" w:rsidR="00017EA2" w:rsidRPr="00CC034B" w:rsidRDefault="00017EA2" w:rsidP="00FB6278">
            <w:pPr>
              <w:rPr>
                <w:rFonts w:ascii="Arial" w:hAnsi="Arial"/>
                <w:sz w:val="22"/>
              </w:rPr>
            </w:pPr>
            <w:r w:rsidRPr="00CC034B">
              <w:rPr>
                <w:rFonts w:ascii="Arial" w:hAnsi="Arial"/>
                <w:sz w:val="22"/>
              </w:rPr>
              <w:t>30 - 35</w:t>
            </w:r>
          </w:p>
        </w:tc>
        <w:tc>
          <w:tcPr>
            <w:tcW w:w="1556" w:type="dxa"/>
            <w:noWrap/>
            <w:hideMark/>
          </w:tcPr>
          <w:p w14:paraId="4D197A44" w14:textId="77777777" w:rsidR="00017EA2" w:rsidRPr="00CC034B" w:rsidRDefault="00017EA2" w:rsidP="00FB6278">
            <w:pPr>
              <w:rPr>
                <w:rFonts w:ascii="Arial" w:hAnsi="Arial"/>
                <w:sz w:val="22"/>
              </w:rPr>
            </w:pPr>
            <w:r w:rsidRPr="00CC034B">
              <w:rPr>
                <w:rFonts w:ascii="Arial" w:hAnsi="Arial"/>
                <w:sz w:val="22"/>
              </w:rPr>
              <w:t>20.0 - 22.5</w:t>
            </w:r>
          </w:p>
        </w:tc>
        <w:tc>
          <w:tcPr>
            <w:tcW w:w="1556" w:type="dxa"/>
            <w:noWrap/>
            <w:hideMark/>
          </w:tcPr>
          <w:p w14:paraId="65744F5A" w14:textId="77777777" w:rsidR="00017EA2" w:rsidRPr="00CC034B" w:rsidRDefault="00017EA2" w:rsidP="00FB6278">
            <w:pPr>
              <w:rPr>
                <w:rFonts w:ascii="Arial" w:hAnsi="Arial"/>
                <w:sz w:val="22"/>
              </w:rPr>
            </w:pPr>
            <w:r w:rsidRPr="00CC034B">
              <w:rPr>
                <w:rFonts w:ascii="Arial" w:hAnsi="Arial"/>
                <w:sz w:val="22"/>
              </w:rPr>
              <w:t>65 - 70</w:t>
            </w:r>
          </w:p>
        </w:tc>
      </w:tr>
      <w:tr w:rsidR="00017EA2" w:rsidRPr="00CC034B" w14:paraId="02C3C759" w14:textId="77777777" w:rsidTr="002629A9">
        <w:trPr>
          <w:trHeight w:val="260"/>
        </w:trPr>
        <w:tc>
          <w:tcPr>
            <w:tcW w:w="9164" w:type="dxa"/>
            <w:noWrap/>
            <w:hideMark/>
          </w:tcPr>
          <w:p w14:paraId="58D00841" w14:textId="77777777" w:rsidR="00017EA2" w:rsidRPr="00CC034B" w:rsidRDefault="00017EA2" w:rsidP="00FB6278">
            <w:pPr>
              <w:rPr>
                <w:rFonts w:ascii="Arial" w:hAnsi="Arial"/>
                <w:sz w:val="22"/>
              </w:rPr>
            </w:pPr>
            <w:r w:rsidRPr="00CC034B">
              <w:rPr>
                <w:rFonts w:ascii="Arial" w:hAnsi="Arial"/>
                <w:sz w:val="22"/>
              </w:rPr>
              <w:t xml:space="preserve">Ms J Moss Director of Strategy &amp; </w:t>
            </w:r>
            <w:proofErr w:type="spellStart"/>
            <w:r w:rsidRPr="00CC034B">
              <w:rPr>
                <w:rFonts w:ascii="Arial" w:hAnsi="Arial"/>
                <w:sz w:val="22"/>
              </w:rPr>
              <w:t>Buisness</w:t>
            </w:r>
            <w:proofErr w:type="spellEnd"/>
            <w:r w:rsidRPr="00CC034B">
              <w:rPr>
                <w:rFonts w:ascii="Arial" w:hAnsi="Arial"/>
                <w:sz w:val="22"/>
              </w:rPr>
              <w:t xml:space="preserve"> Development (start date 01.03.2021)</w:t>
            </w:r>
          </w:p>
        </w:tc>
        <w:tc>
          <w:tcPr>
            <w:tcW w:w="1556" w:type="dxa"/>
            <w:noWrap/>
            <w:hideMark/>
          </w:tcPr>
          <w:p w14:paraId="3FD97EA1" w14:textId="77777777" w:rsidR="00017EA2" w:rsidRPr="00CC034B" w:rsidRDefault="00017EA2" w:rsidP="00FB6278">
            <w:pPr>
              <w:rPr>
                <w:rFonts w:ascii="Arial" w:hAnsi="Arial"/>
                <w:sz w:val="22"/>
              </w:rPr>
            </w:pPr>
            <w:r w:rsidRPr="00CC034B">
              <w:rPr>
                <w:rFonts w:ascii="Arial" w:hAnsi="Arial"/>
                <w:sz w:val="22"/>
              </w:rPr>
              <w:t>10 - 15</w:t>
            </w:r>
          </w:p>
        </w:tc>
        <w:tc>
          <w:tcPr>
            <w:tcW w:w="1556" w:type="dxa"/>
            <w:noWrap/>
            <w:hideMark/>
          </w:tcPr>
          <w:p w14:paraId="15DBB83D" w14:textId="77777777" w:rsidR="00017EA2" w:rsidRPr="00CC034B" w:rsidRDefault="00017EA2" w:rsidP="00FB6278">
            <w:pPr>
              <w:rPr>
                <w:rFonts w:ascii="Arial" w:hAnsi="Arial"/>
                <w:sz w:val="22"/>
              </w:rPr>
            </w:pPr>
            <w:r w:rsidRPr="00CC034B">
              <w:rPr>
                <w:rFonts w:ascii="Arial" w:hAnsi="Arial"/>
                <w:sz w:val="22"/>
              </w:rPr>
              <w:t>-</w:t>
            </w:r>
          </w:p>
        </w:tc>
        <w:tc>
          <w:tcPr>
            <w:tcW w:w="1556" w:type="dxa"/>
            <w:noWrap/>
            <w:hideMark/>
          </w:tcPr>
          <w:p w14:paraId="2937B628" w14:textId="77777777" w:rsidR="00017EA2" w:rsidRPr="00CC034B" w:rsidRDefault="00017EA2" w:rsidP="00FB6278">
            <w:pPr>
              <w:rPr>
                <w:rFonts w:ascii="Arial" w:hAnsi="Arial"/>
                <w:sz w:val="22"/>
              </w:rPr>
            </w:pPr>
            <w:r w:rsidRPr="00CC034B">
              <w:rPr>
                <w:rFonts w:ascii="Arial" w:hAnsi="Arial"/>
                <w:sz w:val="22"/>
              </w:rPr>
              <w:t>2.5 - 5.0</w:t>
            </w:r>
          </w:p>
        </w:tc>
        <w:tc>
          <w:tcPr>
            <w:tcW w:w="1556" w:type="dxa"/>
            <w:noWrap/>
            <w:hideMark/>
          </w:tcPr>
          <w:p w14:paraId="5953E6A2" w14:textId="77777777" w:rsidR="00017EA2" w:rsidRPr="00CC034B" w:rsidRDefault="00017EA2" w:rsidP="00FB6278">
            <w:pPr>
              <w:rPr>
                <w:rFonts w:ascii="Arial" w:hAnsi="Arial"/>
                <w:sz w:val="22"/>
              </w:rPr>
            </w:pPr>
            <w:r w:rsidRPr="00CC034B">
              <w:rPr>
                <w:rFonts w:ascii="Arial" w:hAnsi="Arial"/>
                <w:sz w:val="22"/>
              </w:rPr>
              <w:t>15 - 20</w:t>
            </w:r>
          </w:p>
        </w:tc>
      </w:tr>
      <w:tr w:rsidR="00017EA2" w:rsidRPr="00CC034B" w14:paraId="5F0308BF" w14:textId="77777777" w:rsidTr="002629A9">
        <w:trPr>
          <w:trHeight w:val="260"/>
        </w:trPr>
        <w:tc>
          <w:tcPr>
            <w:tcW w:w="9164" w:type="dxa"/>
            <w:noWrap/>
            <w:hideMark/>
          </w:tcPr>
          <w:p w14:paraId="2BC3436D" w14:textId="77777777" w:rsidR="00017EA2" w:rsidRPr="00CC034B" w:rsidRDefault="00017EA2" w:rsidP="00FB6278">
            <w:pPr>
              <w:rPr>
                <w:rFonts w:ascii="Arial" w:hAnsi="Arial"/>
                <w:sz w:val="22"/>
              </w:rPr>
            </w:pPr>
            <w:r w:rsidRPr="00CC034B">
              <w:rPr>
                <w:rFonts w:ascii="Arial" w:hAnsi="Arial"/>
                <w:sz w:val="22"/>
              </w:rPr>
              <w:t>Mr J Spencer - Chief Operating Officer (start date 01.03.2021)</w:t>
            </w:r>
          </w:p>
        </w:tc>
        <w:tc>
          <w:tcPr>
            <w:tcW w:w="1556" w:type="dxa"/>
            <w:noWrap/>
            <w:hideMark/>
          </w:tcPr>
          <w:p w14:paraId="7CFE78E0" w14:textId="77777777" w:rsidR="00017EA2" w:rsidRPr="00CC034B" w:rsidRDefault="00017EA2" w:rsidP="00FB6278">
            <w:pPr>
              <w:rPr>
                <w:rFonts w:ascii="Arial" w:hAnsi="Arial"/>
                <w:sz w:val="22"/>
              </w:rPr>
            </w:pPr>
            <w:r w:rsidRPr="00CC034B">
              <w:rPr>
                <w:rFonts w:ascii="Arial" w:hAnsi="Arial"/>
                <w:sz w:val="22"/>
              </w:rPr>
              <w:t>10 - 15</w:t>
            </w:r>
          </w:p>
        </w:tc>
        <w:tc>
          <w:tcPr>
            <w:tcW w:w="1556" w:type="dxa"/>
            <w:noWrap/>
            <w:hideMark/>
          </w:tcPr>
          <w:p w14:paraId="497016C5" w14:textId="77777777" w:rsidR="00017EA2" w:rsidRPr="00CC034B" w:rsidRDefault="00017EA2" w:rsidP="00FB6278">
            <w:pPr>
              <w:rPr>
                <w:rFonts w:ascii="Arial" w:hAnsi="Arial"/>
                <w:sz w:val="22"/>
              </w:rPr>
            </w:pPr>
            <w:r w:rsidRPr="00CC034B">
              <w:rPr>
                <w:rFonts w:ascii="Arial" w:hAnsi="Arial"/>
                <w:sz w:val="22"/>
              </w:rPr>
              <w:t>-</w:t>
            </w:r>
          </w:p>
        </w:tc>
        <w:tc>
          <w:tcPr>
            <w:tcW w:w="1556" w:type="dxa"/>
            <w:noWrap/>
            <w:hideMark/>
          </w:tcPr>
          <w:p w14:paraId="6C2664E5" w14:textId="77777777" w:rsidR="00017EA2" w:rsidRPr="00CC034B" w:rsidRDefault="00017EA2" w:rsidP="00FB6278">
            <w:pPr>
              <w:rPr>
                <w:rFonts w:ascii="Arial" w:hAnsi="Arial"/>
                <w:sz w:val="22"/>
              </w:rPr>
            </w:pPr>
            <w:r w:rsidRPr="00CC034B">
              <w:rPr>
                <w:rFonts w:ascii="Arial" w:hAnsi="Arial"/>
                <w:sz w:val="22"/>
              </w:rPr>
              <w:t>2.5 - 3.0</w:t>
            </w:r>
          </w:p>
        </w:tc>
        <w:tc>
          <w:tcPr>
            <w:tcW w:w="1556" w:type="dxa"/>
            <w:noWrap/>
            <w:hideMark/>
          </w:tcPr>
          <w:p w14:paraId="17F9A386" w14:textId="77777777" w:rsidR="00017EA2" w:rsidRPr="00CC034B" w:rsidRDefault="00017EA2" w:rsidP="00FB6278">
            <w:pPr>
              <w:rPr>
                <w:rFonts w:ascii="Arial" w:hAnsi="Arial"/>
                <w:sz w:val="22"/>
              </w:rPr>
            </w:pPr>
            <w:r w:rsidRPr="00CC034B">
              <w:rPr>
                <w:rFonts w:ascii="Arial" w:hAnsi="Arial"/>
                <w:sz w:val="22"/>
              </w:rPr>
              <w:t>15 - 20</w:t>
            </w:r>
          </w:p>
        </w:tc>
      </w:tr>
      <w:tr w:rsidR="00017EA2" w:rsidRPr="00CC034B" w14:paraId="5C968712" w14:textId="77777777" w:rsidTr="002629A9">
        <w:trPr>
          <w:trHeight w:val="260"/>
        </w:trPr>
        <w:tc>
          <w:tcPr>
            <w:tcW w:w="9164" w:type="dxa"/>
            <w:noWrap/>
            <w:hideMark/>
          </w:tcPr>
          <w:p w14:paraId="127362A7" w14:textId="77777777" w:rsidR="00017EA2" w:rsidRPr="00CC034B" w:rsidRDefault="00017EA2" w:rsidP="00FB6278">
            <w:pPr>
              <w:rPr>
                <w:rFonts w:ascii="Arial" w:hAnsi="Arial"/>
                <w:sz w:val="22"/>
              </w:rPr>
            </w:pPr>
            <w:r w:rsidRPr="00CC034B">
              <w:rPr>
                <w:rFonts w:ascii="Arial" w:hAnsi="Arial"/>
                <w:sz w:val="22"/>
              </w:rPr>
              <w:t>Mr A Stamp - Acting Chief Operating Officer (start date 21.12.2021 to end date 28.02.2021)</w:t>
            </w:r>
          </w:p>
        </w:tc>
        <w:tc>
          <w:tcPr>
            <w:tcW w:w="1556" w:type="dxa"/>
            <w:noWrap/>
            <w:hideMark/>
          </w:tcPr>
          <w:p w14:paraId="6F9C5D48" w14:textId="77777777" w:rsidR="00017EA2" w:rsidRPr="00CC034B" w:rsidRDefault="00017EA2" w:rsidP="00FB6278">
            <w:pPr>
              <w:rPr>
                <w:rFonts w:ascii="Arial" w:hAnsi="Arial"/>
                <w:sz w:val="22"/>
              </w:rPr>
            </w:pPr>
            <w:r w:rsidRPr="00CC034B">
              <w:rPr>
                <w:rFonts w:ascii="Arial" w:hAnsi="Arial"/>
                <w:sz w:val="22"/>
              </w:rPr>
              <w:t>20 - 25</w:t>
            </w:r>
          </w:p>
        </w:tc>
        <w:tc>
          <w:tcPr>
            <w:tcW w:w="1556" w:type="dxa"/>
            <w:noWrap/>
            <w:hideMark/>
          </w:tcPr>
          <w:p w14:paraId="5CB39156" w14:textId="77777777" w:rsidR="00017EA2" w:rsidRPr="00CC034B" w:rsidRDefault="00017EA2" w:rsidP="00FB6278">
            <w:pPr>
              <w:rPr>
                <w:rFonts w:ascii="Arial" w:hAnsi="Arial"/>
                <w:sz w:val="22"/>
              </w:rPr>
            </w:pPr>
            <w:r w:rsidRPr="00CC034B">
              <w:rPr>
                <w:rFonts w:ascii="Arial" w:hAnsi="Arial"/>
                <w:sz w:val="22"/>
              </w:rPr>
              <w:t>-</w:t>
            </w:r>
          </w:p>
        </w:tc>
        <w:tc>
          <w:tcPr>
            <w:tcW w:w="1556" w:type="dxa"/>
            <w:noWrap/>
            <w:hideMark/>
          </w:tcPr>
          <w:p w14:paraId="6FDB6595" w14:textId="77777777" w:rsidR="00017EA2" w:rsidRPr="00CC034B" w:rsidRDefault="00017EA2" w:rsidP="00FB6278">
            <w:pPr>
              <w:rPr>
                <w:rFonts w:ascii="Arial" w:hAnsi="Arial"/>
                <w:sz w:val="22"/>
              </w:rPr>
            </w:pPr>
            <w:r w:rsidRPr="00CC034B">
              <w:rPr>
                <w:rFonts w:ascii="Arial" w:hAnsi="Arial"/>
                <w:sz w:val="22"/>
              </w:rPr>
              <w:t>10.0 - 12.5</w:t>
            </w:r>
          </w:p>
        </w:tc>
        <w:tc>
          <w:tcPr>
            <w:tcW w:w="1556" w:type="dxa"/>
            <w:noWrap/>
            <w:hideMark/>
          </w:tcPr>
          <w:p w14:paraId="4ED5010F" w14:textId="77777777" w:rsidR="00017EA2" w:rsidRPr="00CC034B" w:rsidRDefault="00017EA2" w:rsidP="00FB6278">
            <w:pPr>
              <w:rPr>
                <w:rFonts w:ascii="Arial" w:hAnsi="Arial"/>
                <w:sz w:val="22"/>
              </w:rPr>
            </w:pPr>
            <w:r w:rsidRPr="00CC034B">
              <w:rPr>
                <w:rFonts w:ascii="Arial" w:hAnsi="Arial"/>
                <w:sz w:val="22"/>
              </w:rPr>
              <w:t>30 - 35</w:t>
            </w:r>
          </w:p>
        </w:tc>
      </w:tr>
      <w:tr w:rsidR="00017EA2" w:rsidRPr="00CC034B" w14:paraId="153AD839" w14:textId="77777777" w:rsidTr="002629A9">
        <w:trPr>
          <w:trHeight w:val="260"/>
        </w:trPr>
        <w:tc>
          <w:tcPr>
            <w:tcW w:w="9164" w:type="dxa"/>
            <w:noWrap/>
            <w:hideMark/>
          </w:tcPr>
          <w:p w14:paraId="15C8A997" w14:textId="77777777" w:rsidR="00017EA2" w:rsidRPr="00CC034B" w:rsidRDefault="00017EA2" w:rsidP="00FB6278">
            <w:pPr>
              <w:rPr>
                <w:rFonts w:ascii="Arial" w:hAnsi="Arial"/>
                <w:sz w:val="22"/>
              </w:rPr>
            </w:pPr>
            <w:r w:rsidRPr="00CC034B">
              <w:rPr>
                <w:rFonts w:ascii="Arial" w:hAnsi="Arial"/>
                <w:sz w:val="22"/>
              </w:rPr>
              <w:t>Ms T Green - Chairman</w:t>
            </w:r>
          </w:p>
        </w:tc>
        <w:tc>
          <w:tcPr>
            <w:tcW w:w="1556" w:type="dxa"/>
            <w:noWrap/>
            <w:hideMark/>
          </w:tcPr>
          <w:p w14:paraId="4E1EB67C" w14:textId="77777777" w:rsidR="00017EA2" w:rsidRPr="00CC034B" w:rsidRDefault="00017EA2" w:rsidP="00FB6278">
            <w:pPr>
              <w:rPr>
                <w:rFonts w:ascii="Arial" w:hAnsi="Arial"/>
                <w:sz w:val="22"/>
              </w:rPr>
            </w:pPr>
            <w:r w:rsidRPr="00CC034B">
              <w:rPr>
                <w:rFonts w:ascii="Arial" w:hAnsi="Arial"/>
                <w:sz w:val="22"/>
              </w:rPr>
              <w:t>45 - 50</w:t>
            </w:r>
          </w:p>
        </w:tc>
        <w:tc>
          <w:tcPr>
            <w:tcW w:w="1556" w:type="dxa"/>
            <w:noWrap/>
            <w:hideMark/>
          </w:tcPr>
          <w:p w14:paraId="0B4B8878" w14:textId="77777777" w:rsidR="00017EA2" w:rsidRPr="00CC034B" w:rsidRDefault="00017EA2" w:rsidP="00FB6278">
            <w:pPr>
              <w:rPr>
                <w:rFonts w:ascii="Arial" w:hAnsi="Arial"/>
                <w:sz w:val="22"/>
              </w:rPr>
            </w:pPr>
            <w:r w:rsidRPr="00CC034B">
              <w:rPr>
                <w:rFonts w:ascii="Arial" w:hAnsi="Arial"/>
                <w:sz w:val="22"/>
              </w:rPr>
              <w:t>-</w:t>
            </w:r>
          </w:p>
        </w:tc>
        <w:tc>
          <w:tcPr>
            <w:tcW w:w="1556" w:type="dxa"/>
            <w:noWrap/>
            <w:hideMark/>
          </w:tcPr>
          <w:p w14:paraId="6BBF19C4" w14:textId="77777777" w:rsidR="00017EA2" w:rsidRPr="00CC034B" w:rsidRDefault="00017EA2" w:rsidP="00FB6278">
            <w:pPr>
              <w:rPr>
                <w:rFonts w:ascii="Arial" w:hAnsi="Arial"/>
                <w:sz w:val="22"/>
              </w:rPr>
            </w:pPr>
            <w:r w:rsidRPr="00CC034B">
              <w:rPr>
                <w:rFonts w:ascii="Arial" w:hAnsi="Arial"/>
                <w:sz w:val="22"/>
              </w:rPr>
              <w:t>-</w:t>
            </w:r>
          </w:p>
        </w:tc>
        <w:tc>
          <w:tcPr>
            <w:tcW w:w="1556" w:type="dxa"/>
            <w:noWrap/>
            <w:hideMark/>
          </w:tcPr>
          <w:p w14:paraId="1D4C5A8F" w14:textId="77777777" w:rsidR="00017EA2" w:rsidRPr="00CC034B" w:rsidRDefault="00017EA2" w:rsidP="00FB6278">
            <w:pPr>
              <w:rPr>
                <w:rFonts w:ascii="Arial" w:hAnsi="Arial"/>
                <w:sz w:val="22"/>
              </w:rPr>
            </w:pPr>
            <w:r w:rsidRPr="00CC034B">
              <w:rPr>
                <w:rFonts w:ascii="Arial" w:hAnsi="Arial"/>
                <w:sz w:val="22"/>
              </w:rPr>
              <w:t>45 - 50</w:t>
            </w:r>
          </w:p>
        </w:tc>
      </w:tr>
      <w:tr w:rsidR="00017EA2" w:rsidRPr="00CC034B" w14:paraId="032B47C8" w14:textId="77777777" w:rsidTr="002629A9">
        <w:trPr>
          <w:trHeight w:val="260"/>
        </w:trPr>
        <w:tc>
          <w:tcPr>
            <w:tcW w:w="9164" w:type="dxa"/>
            <w:noWrap/>
            <w:hideMark/>
          </w:tcPr>
          <w:p w14:paraId="0D85C5FF" w14:textId="77777777" w:rsidR="00017EA2" w:rsidRPr="00CC034B" w:rsidRDefault="00017EA2" w:rsidP="00FB6278">
            <w:pPr>
              <w:rPr>
                <w:rFonts w:ascii="Arial" w:hAnsi="Arial"/>
                <w:sz w:val="22"/>
              </w:rPr>
            </w:pPr>
            <w:r w:rsidRPr="00CC034B">
              <w:rPr>
                <w:rFonts w:ascii="Arial" w:hAnsi="Arial"/>
                <w:sz w:val="22"/>
              </w:rPr>
              <w:t>Mr S Williams - Non-Executive Director (end date 15.03.2021)</w:t>
            </w:r>
          </w:p>
        </w:tc>
        <w:tc>
          <w:tcPr>
            <w:tcW w:w="1556" w:type="dxa"/>
            <w:noWrap/>
            <w:hideMark/>
          </w:tcPr>
          <w:p w14:paraId="60097F75" w14:textId="77777777" w:rsidR="00017EA2" w:rsidRPr="00CC034B" w:rsidRDefault="00017EA2" w:rsidP="00FB6278">
            <w:pPr>
              <w:rPr>
                <w:rFonts w:ascii="Arial" w:hAnsi="Arial"/>
                <w:sz w:val="22"/>
              </w:rPr>
            </w:pPr>
            <w:r w:rsidRPr="00CC034B">
              <w:rPr>
                <w:rFonts w:ascii="Arial" w:hAnsi="Arial"/>
                <w:sz w:val="22"/>
              </w:rPr>
              <w:t>15 - 20</w:t>
            </w:r>
          </w:p>
        </w:tc>
        <w:tc>
          <w:tcPr>
            <w:tcW w:w="1556" w:type="dxa"/>
            <w:noWrap/>
            <w:hideMark/>
          </w:tcPr>
          <w:p w14:paraId="676B91B4" w14:textId="77777777" w:rsidR="00017EA2" w:rsidRPr="00CC034B" w:rsidRDefault="00017EA2" w:rsidP="00FB6278">
            <w:pPr>
              <w:rPr>
                <w:rFonts w:ascii="Arial" w:hAnsi="Arial"/>
                <w:sz w:val="22"/>
              </w:rPr>
            </w:pPr>
            <w:r w:rsidRPr="00CC034B">
              <w:rPr>
                <w:rFonts w:ascii="Arial" w:hAnsi="Arial"/>
                <w:sz w:val="22"/>
              </w:rPr>
              <w:t> </w:t>
            </w:r>
          </w:p>
        </w:tc>
        <w:tc>
          <w:tcPr>
            <w:tcW w:w="1556" w:type="dxa"/>
            <w:noWrap/>
            <w:hideMark/>
          </w:tcPr>
          <w:p w14:paraId="24C19D4E" w14:textId="77777777" w:rsidR="00017EA2" w:rsidRPr="00CC034B" w:rsidRDefault="00017EA2" w:rsidP="00FB6278">
            <w:pPr>
              <w:rPr>
                <w:rFonts w:ascii="Arial" w:hAnsi="Arial"/>
                <w:sz w:val="22"/>
              </w:rPr>
            </w:pPr>
            <w:r w:rsidRPr="00CC034B">
              <w:rPr>
                <w:rFonts w:ascii="Arial" w:hAnsi="Arial"/>
                <w:sz w:val="22"/>
              </w:rPr>
              <w:t> </w:t>
            </w:r>
          </w:p>
        </w:tc>
        <w:tc>
          <w:tcPr>
            <w:tcW w:w="1556" w:type="dxa"/>
            <w:noWrap/>
            <w:hideMark/>
          </w:tcPr>
          <w:p w14:paraId="32BC76EE" w14:textId="77777777" w:rsidR="00017EA2" w:rsidRPr="00CC034B" w:rsidRDefault="00017EA2" w:rsidP="00FB6278">
            <w:pPr>
              <w:rPr>
                <w:rFonts w:ascii="Arial" w:hAnsi="Arial"/>
                <w:sz w:val="22"/>
              </w:rPr>
            </w:pPr>
            <w:r w:rsidRPr="00CC034B">
              <w:rPr>
                <w:rFonts w:ascii="Arial" w:hAnsi="Arial"/>
                <w:sz w:val="22"/>
              </w:rPr>
              <w:t>15 - 20</w:t>
            </w:r>
          </w:p>
        </w:tc>
      </w:tr>
      <w:tr w:rsidR="00017EA2" w:rsidRPr="00CC034B" w14:paraId="6AC1A956" w14:textId="77777777" w:rsidTr="002629A9">
        <w:trPr>
          <w:trHeight w:val="260"/>
        </w:trPr>
        <w:tc>
          <w:tcPr>
            <w:tcW w:w="9164" w:type="dxa"/>
            <w:noWrap/>
            <w:hideMark/>
          </w:tcPr>
          <w:p w14:paraId="2E6D636D" w14:textId="77777777" w:rsidR="00017EA2" w:rsidRPr="00CC034B" w:rsidRDefault="00017EA2" w:rsidP="00FB6278">
            <w:pPr>
              <w:rPr>
                <w:rFonts w:ascii="Arial" w:hAnsi="Arial"/>
                <w:sz w:val="22"/>
              </w:rPr>
            </w:pPr>
            <w:r w:rsidRPr="00CC034B">
              <w:rPr>
                <w:rFonts w:ascii="Arial" w:hAnsi="Arial"/>
                <w:sz w:val="22"/>
              </w:rPr>
              <w:t>Ms R Given-Wilson - Non-Executive Director</w:t>
            </w:r>
          </w:p>
        </w:tc>
        <w:tc>
          <w:tcPr>
            <w:tcW w:w="1556" w:type="dxa"/>
            <w:noWrap/>
            <w:hideMark/>
          </w:tcPr>
          <w:p w14:paraId="358C270A" w14:textId="77777777" w:rsidR="00017EA2" w:rsidRPr="00CC034B" w:rsidRDefault="00017EA2" w:rsidP="00FB6278">
            <w:pPr>
              <w:rPr>
                <w:rFonts w:ascii="Arial" w:hAnsi="Arial"/>
                <w:sz w:val="22"/>
              </w:rPr>
            </w:pPr>
            <w:r w:rsidRPr="00CC034B">
              <w:rPr>
                <w:rFonts w:ascii="Arial" w:hAnsi="Arial"/>
                <w:sz w:val="22"/>
              </w:rPr>
              <w:t>15 - 20</w:t>
            </w:r>
          </w:p>
        </w:tc>
        <w:tc>
          <w:tcPr>
            <w:tcW w:w="1556" w:type="dxa"/>
            <w:noWrap/>
            <w:hideMark/>
          </w:tcPr>
          <w:p w14:paraId="5CC27E54" w14:textId="77777777" w:rsidR="00017EA2" w:rsidRPr="00CC034B" w:rsidRDefault="00017EA2" w:rsidP="00FB6278">
            <w:pPr>
              <w:rPr>
                <w:rFonts w:ascii="Arial" w:hAnsi="Arial"/>
                <w:sz w:val="22"/>
              </w:rPr>
            </w:pPr>
            <w:r w:rsidRPr="00CC034B">
              <w:rPr>
                <w:rFonts w:ascii="Arial" w:hAnsi="Arial"/>
                <w:sz w:val="22"/>
              </w:rPr>
              <w:t>-</w:t>
            </w:r>
          </w:p>
        </w:tc>
        <w:tc>
          <w:tcPr>
            <w:tcW w:w="1556" w:type="dxa"/>
            <w:noWrap/>
            <w:hideMark/>
          </w:tcPr>
          <w:p w14:paraId="2C75323C" w14:textId="77777777" w:rsidR="00017EA2" w:rsidRPr="00CC034B" w:rsidRDefault="00017EA2" w:rsidP="00FB6278">
            <w:pPr>
              <w:rPr>
                <w:rFonts w:ascii="Arial" w:hAnsi="Arial"/>
                <w:sz w:val="22"/>
              </w:rPr>
            </w:pPr>
            <w:r w:rsidRPr="00CC034B">
              <w:rPr>
                <w:rFonts w:ascii="Arial" w:hAnsi="Arial"/>
                <w:sz w:val="22"/>
              </w:rPr>
              <w:t>-</w:t>
            </w:r>
          </w:p>
        </w:tc>
        <w:tc>
          <w:tcPr>
            <w:tcW w:w="1556" w:type="dxa"/>
            <w:noWrap/>
            <w:hideMark/>
          </w:tcPr>
          <w:p w14:paraId="2714F9D8" w14:textId="77777777" w:rsidR="00017EA2" w:rsidRPr="00CC034B" w:rsidRDefault="00017EA2" w:rsidP="00FB6278">
            <w:pPr>
              <w:rPr>
                <w:rFonts w:ascii="Arial" w:hAnsi="Arial"/>
                <w:sz w:val="22"/>
              </w:rPr>
            </w:pPr>
            <w:r w:rsidRPr="00CC034B">
              <w:rPr>
                <w:rFonts w:ascii="Arial" w:hAnsi="Arial"/>
                <w:sz w:val="22"/>
              </w:rPr>
              <w:t>15 - 20</w:t>
            </w:r>
          </w:p>
        </w:tc>
      </w:tr>
      <w:tr w:rsidR="00017EA2" w:rsidRPr="00CC034B" w14:paraId="784C5CC5" w14:textId="77777777" w:rsidTr="002629A9">
        <w:trPr>
          <w:trHeight w:val="260"/>
        </w:trPr>
        <w:tc>
          <w:tcPr>
            <w:tcW w:w="9164" w:type="dxa"/>
            <w:noWrap/>
            <w:hideMark/>
          </w:tcPr>
          <w:p w14:paraId="228A283A" w14:textId="77777777" w:rsidR="00017EA2" w:rsidRPr="00CC034B" w:rsidRDefault="00017EA2" w:rsidP="00FB6278">
            <w:pPr>
              <w:rPr>
                <w:rFonts w:ascii="Arial" w:hAnsi="Arial"/>
                <w:sz w:val="22"/>
              </w:rPr>
            </w:pPr>
            <w:r w:rsidRPr="00CC034B">
              <w:rPr>
                <w:rFonts w:ascii="Arial" w:hAnsi="Arial"/>
                <w:sz w:val="22"/>
              </w:rPr>
              <w:t>Ms S Singha - Non-Executive Director</w:t>
            </w:r>
          </w:p>
        </w:tc>
        <w:tc>
          <w:tcPr>
            <w:tcW w:w="1556" w:type="dxa"/>
            <w:noWrap/>
            <w:hideMark/>
          </w:tcPr>
          <w:p w14:paraId="293606B3" w14:textId="77777777" w:rsidR="00017EA2" w:rsidRPr="00CC034B" w:rsidRDefault="00017EA2" w:rsidP="00FB6278">
            <w:pPr>
              <w:rPr>
                <w:rFonts w:ascii="Arial" w:hAnsi="Arial"/>
                <w:sz w:val="22"/>
              </w:rPr>
            </w:pPr>
            <w:r w:rsidRPr="00CC034B">
              <w:rPr>
                <w:rFonts w:ascii="Arial" w:hAnsi="Arial"/>
                <w:sz w:val="22"/>
              </w:rPr>
              <w:t>15 - 20</w:t>
            </w:r>
          </w:p>
        </w:tc>
        <w:tc>
          <w:tcPr>
            <w:tcW w:w="1556" w:type="dxa"/>
            <w:noWrap/>
            <w:hideMark/>
          </w:tcPr>
          <w:p w14:paraId="18ABBB66" w14:textId="77777777" w:rsidR="00017EA2" w:rsidRPr="00CC034B" w:rsidRDefault="00017EA2" w:rsidP="00FB6278">
            <w:pPr>
              <w:rPr>
                <w:rFonts w:ascii="Arial" w:hAnsi="Arial"/>
                <w:sz w:val="22"/>
              </w:rPr>
            </w:pPr>
            <w:r w:rsidRPr="00CC034B">
              <w:rPr>
                <w:rFonts w:ascii="Arial" w:hAnsi="Arial"/>
                <w:sz w:val="22"/>
              </w:rPr>
              <w:t>-</w:t>
            </w:r>
          </w:p>
        </w:tc>
        <w:tc>
          <w:tcPr>
            <w:tcW w:w="1556" w:type="dxa"/>
            <w:noWrap/>
            <w:hideMark/>
          </w:tcPr>
          <w:p w14:paraId="0F40FEA4" w14:textId="77777777" w:rsidR="00017EA2" w:rsidRPr="00CC034B" w:rsidRDefault="00017EA2" w:rsidP="00FB6278">
            <w:pPr>
              <w:rPr>
                <w:rFonts w:ascii="Arial" w:hAnsi="Arial"/>
                <w:sz w:val="22"/>
              </w:rPr>
            </w:pPr>
            <w:r w:rsidRPr="00CC034B">
              <w:rPr>
                <w:rFonts w:ascii="Arial" w:hAnsi="Arial"/>
                <w:sz w:val="22"/>
              </w:rPr>
              <w:t>-</w:t>
            </w:r>
          </w:p>
        </w:tc>
        <w:tc>
          <w:tcPr>
            <w:tcW w:w="1556" w:type="dxa"/>
            <w:noWrap/>
            <w:hideMark/>
          </w:tcPr>
          <w:p w14:paraId="4B75911A" w14:textId="77777777" w:rsidR="00017EA2" w:rsidRPr="00CC034B" w:rsidRDefault="00017EA2" w:rsidP="00FB6278">
            <w:pPr>
              <w:rPr>
                <w:rFonts w:ascii="Arial" w:hAnsi="Arial"/>
                <w:sz w:val="22"/>
              </w:rPr>
            </w:pPr>
            <w:r w:rsidRPr="00CC034B">
              <w:rPr>
                <w:rFonts w:ascii="Arial" w:hAnsi="Arial"/>
                <w:sz w:val="22"/>
              </w:rPr>
              <w:t>15 - 20</w:t>
            </w:r>
          </w:p>
        </w:tc>
      </w:tr>
      <w:tr w:rsidR="00017EA2" w:rsidRPr="00CC034B" w14:paraId="720B62C5" w14:textId="77777777" w:rsidTr="002629A9">
        <w:trPr>
          <w:trHeight w:val="260"/>
        </w:trPr>
        <w:tc>
          <w:tcPr>
            <w:tcW w:w="9164" w:type="dxa"/>
            <w:noWrap/>
            <w:hideMark/>
          </w:tcPr>
          <w:p w14:paraId="248FF8F7" w14:textId="77777777" w:rsidR="00017EA2" w:rsidRPr="00CC034B" w:rsidRDefault="00017EA2" w:rsidP="00FB6278">
            <w:pPr>
              <w:rPr>
                <w:rFonts w:ascii="Arial" w:hAnsi="Arial"/>
                <w:sz w:val="22"/>
              </w:rPr>
            </w:pPr>
            <w:r w:rsidRPr="00CC034B">
              <w:rPr>
                <w:rFonts w:ascii="Arial" w:hAnsi="Arial"/>
                <w:sz w:val="22"/>
              </w:rPr>
              <w:t xml:space="preserve">Mr A Dick - Non-Executive Director </w:t>
            </w:r>
          </w:p>
        </w:tc>
        <w:tc>
          <w:tcPr>
            <w:tcW w:w="1556" w:type="dxa"/>
            <w:noWrap/>
            <w:hideMark/>
          </w:tcPr>
          <w:p w14:paraId="424ED7E6" w14:textId="77777777" w:rsidR="00017EA2" w:rsidRPr="00CC034B" w:rsidRDefault="00017EA2" w:rsidP="00FB6278">
            <w:pPr>
              <w:rPr>
                <w:rFonts w:ascii="Arial" w:hAnsi="Arial"/>
                <w:sz w:val="22"/>
              </w:rPr>
            </w:pPr>
            <w:r w:rsidRPr="00CC034B">
              <w:rPr>
                <w:rFonts w:ascii="Arial" w:hAnsi="Arial"/>
                <w:sz w:val="22"/>
              </w:rPr>
              <w:t>10 - 15</w:t>
            </w:r>
          </w:p>
        </w:tc>
        <w:tc>
          <w:tcPr>
            <w:tcW w:w="1556" w:type="dxa"/>
            <w:noWrap/>
            <w:hideMark/>
          </w:tcPr>
          <w:p w14:paraId="65BD66EC" w14:textId="77777777" w:rsidR="00017EA2" w:rsidRPr="00CC034B" w:rsidRDefault="00017EA2" w:rsidP="00FB6278">
            <w:pPr>
              <w:rPr>
                <w:rFonts w:ascii="Arial" w:hAnsi="Arial"/>
                <w:sz w:val="22"/>
              </w:rPr>
            </w:pPr>
            <w:r w:rsidRPr="00CC034B">
              <w:rPr>
                <w:rFonts w:ascii="Arial" w:hAnsi="Arial"/>
                <w:sz w:val="22"/>
              </w:rPr>
              <w:t>-</w:t>
            </w:r>
          </w:p>
        </w:tc>
        <w:tc>
          <w:tcPr>
            <w:tcW w:w="1556" w:type="dxa"/>
            <w:noWrap/>
            <w:hideMark/>
          </w:tcPr>
          <w:p w14:paraId="2E2259CE" w14:textId="77777777" w:rsidR="00017EA2" w:rsidRPr="00CC034B" w:rsidRDefault="00017EA2" w:rsidP="00FB6278">
            <w:pPr>
              <w:rPr>
                <w:rFonts w:ascii="Arial" w:hAnsi="Arial"/>
                <w:sz w:val="22"/>
              </w:rPr>
            </w:pPr>
            <w:r w:rsidRPr="00CC034B">
              <w:rPr>
                <w:rFonts w:ascii="Arial" w:hAnsi="Arial"/>
                <w:sz w:val="22"/>
              </w:rPr>
              <w:t>-</w:t>
            </w:r>
          </w:p>
        </w:tc>
        <w:tc>
          <w:tcPr>
            <w:tcW w:w="1556" w:type="dxa"/>
            <w:noWrap/>
            <w:hideMark/>
          </w:tcPr>
          <w:p w14:paraId="76DC0727" w14:textId="77777777" w:rsidR="00017EA2" w:rsidRPr="00CC034B" w:rsidRDefault="00017EA2" w:rsidP="00FB6278">
            <w:pPr>
              <w:rPr>
                <w:rFonts w:ascii="Arial" w:hAnsi="Arial"/>
                <w:sz w:val="22"/>
              </w:rPr>
            </w:pPr>
            <w:r w:rsidRPr="00CC034B">
              <w:rPr>
                <w:rFonts w:ascii="Arial" w:hAnsi="Arial"/>
                <w:sz w:val="22"/>
              </w:rPr>
              <w:t>10 - 15</w:t>
            </w:r>
          </w:p>
        </w:tc>
      </w:tr>
      <w:tr w:rsidR="00017EA2" w:rsidRPr="00CC034B" w14:paraId="5A690590" w14:textId="77777777" w:rsidTr="002629A9">
        <w:trPr>
          <w:trHeight w:val="260"/>
        </w:trPr>
        <w:tc>
          <w:tcPr>
            <w:tcW w:w="9164" w:type="dxa"/>
            <w:noWrap/>
            <w:hideMark/>
          </w:tcPr>
          <w:p w14:paraId="39D9064B" w14:textId="77777777" w:rsidR="00017EA2" w:rsidRPr="00CC034B" w:rsidRDefault="00017EA2" w:rsidP="00FB6278">
            <w:pPr>
              <w:rPr>
                <w:rFonts w:ascii="Arial" w:hAnsi="Arial"/>
                <w:sz w:val="22"/>
              </w:rPr>
            </w:pPr>
            <w:r w:rsidRPr="00CC034B">
              <w:rPr>
                <w:rFonts w:ascii="Arial" w:hAnsi="Arial"/>
                <w:sz w:val="22"/>
              </w:rPr>
              <w:t>Mr A Morris (start date 01.03.2021)</w:t>
            </w:r>
          </w:p>
        </w:tc>
        <w:tc>
          <w:tcPr>
            <w:tcW w:w="1556" w:type="dxa"/>
            <w:noWrap/>
            <w:hideMark/>
          </w:tcPr>
          <w:p w14:paraId="55D34648" w14:textId="77777777" w:rsidR="00017EA2" w:rsidRPr="00CC034B" w:rsidRDefault="00017EA2" w:rsidP="00FB6278">
            <w:pPr>
              <w:rPr>
                <w:rFonts w:ascii="Arial" w:hAnsi="Arial"/>
                <w:sz w:val="22"/>
              </w:rPr>
            </w:pPr>
            <w:r w:rsidRPr="00CC034B">
              <w:rPr>
                <w:rFonts w:ascii="Arial" w:hAnsi="Arial"/>
                <w:sz w:val="22"/>
              </w:rPr>
              <w:t>0 - 5</w:t>
            </w:r>
          </w:p>
        </w:tc>
        <w:tc>
          <w:tcPr>
            <w:tcW w:w="1556" w:type="dxa"/>
            <w:noWrap/>
            <w:hideMark/>
          </w:tcPr>
          <w:p w14:paraId="253C2C99" w14:textId="77777777" w:rsidR="00017EA2" w:rsidRPr="00CC034B" w:rsidRDefault="00017EA2" w:rsidP="00FB6278">
            <w:pPr>
              <w:rPr>
                <w:rFonts w:ascii="Arial" w:hAnsi="Arial"/>
                <w:sz w:val="22"/>
              </w:rPr>
            </w:pPr>
            <w:r w:rsidRPr="00CC034B">
              <w:rPr>
                <w:rFonts w:ascii="Arial" w:hAnsi="Arial"/>
                <w:sz w:val="22"/>
              </w:rPr>
              <w:t> </w:t>
            </w:r>
          </w:p>
        </w:tc>
        <w:tc>
          <w:tcPr>
            <w:tcW w:w="1556" w:type="dxa"/>
            <w:noWrap/>
            <w:hideMark/>
          </w:tcPr>
          <w:p w14:paraId="1087A767" w14:textId="77777777" w:rsidR="00017EA2" w:rsidRPr="00CC034B" w:rsidRDefault="00017EA2" w:rsidP="00FB6278">
            <w:pPr>
              <w:rPr>
                <w:rFonts w:ascii="Arial" w:hAnsi="Arial"/>
                <w:sz w:val="22"/>
              </w:rPr>
            </w:pPr>
            <w:r w:rsidRPr="00CC034B">
              <w:rPr>
                <w:rFonts w:ascii="Arial" w:hAnsi="Arial"/>
                <w:sz w:val="22"/>
              </w:rPr>
              <w:t> </w:t>
            </w:r>
          </w:p>
        </w:tc>
        <w:tc>
          <w:tcPr>
            <w:tcW w:w="1556" w:type="dxa"/>
            <w:noWrap/>
            <w:hideMark/>
          </w:tcPr>
          <w:p w14:paraId="3F2DC846" w14:textId="77777777" w:rsidR="00017EA2" w:rsidRPr="00CC034B" w:rsidRDefault="00017EA2" w:rsidP="00FB6278">
            <w:pPr>
              <w:rPr>
                <w:rFonts w:ascii="Arial" w:hAnsi="Arial"/>
                <w:sz w:val="22"/>
              </w:rPr>
            </w:pPr>
            <w:r w:rsidRPr="00CC034B">
              <w:rPr>
                <w:rFonts w:ascii="Arial" w:hAnsi="Arial"/>
                <w:sz w:val="22"/>
              </w:rPr>
              <w:t>0 - 5</w:t>
            </w:r>
          </w:p>
        </w:tc>
      </w:tr>
      <w:tr w:rsidR="00017EA2" w:rsidRPr="00CC034B" w14:paraId="4D2412F5" w14:textId="77777777" w:rsidTr="002629A9">
        <w:trPr>
          <w:trHeight w:val="260"/>
        </w:trPr>
        <w:tc>
          <w:tcPr>
            <w:tcW w:w="9164" w:type="dxa"/>
            <w:noWrap/>
            <w:hideMark/>
          </w:tcPr>
          <w:p w14:paraId="0A0740E1" w14:textId="77777777" w:rsidR="00017EA2" w:rsidRPr="00CC034B" w:rsidRDefault="00017EA2" w:rsidP="00FB6278">
            <w:pPr>
              <w:rPr>
                <w:rFonts w:ascii="Arial" w:hAnsi="Arial"/>
                <w:sz w:val="22"/>
              </w:rPr>
            </w:pPr>
            <w:r w:rsidRPr="00CC034B">
              <w:rPr>
                <w:rFonts w:ascii="Arial" w:hAnsi="Arial"/>
                <w:sz w:val="22"/>
              </w:rPr>
              <w:t xml:space="preserve">Mr N Hardie - Non-Executive Director </w:t>
            </w:r>
          </w:p>
        </w:tc>
        <w:tc>
          <w:tcPr>
            <w:tcW w:w="1556" w:type="dxa"/>
            <w:noWrap/>
            <w:hideMark/>
          </w:tcPr>
          <w:p w14:paraId="5350A9DD" w14:textId="77777777" w:rsidR="00017EA2" w:rsidRPr="00CC034B" w:rsidRDefault="00017EA2" w:rsidP="00FB6278">
            <w:pPr>
              <w:rPr>
                <w:rFonts w:ascii="Arial" w:hAnsi="Arial"/>
                <w:sz w:val="22"/>
              </w:rPr>
            </w:pPr>
            <w:r w:rsidRPr="00CC034B">
              <w:rPr>
                <w:rFonts w:ascii="Arial" w:hAnsi="Arial"/>
                <w:sz w:val="22"/>
              </w:rPr>
              <w:t>15 - 20</w:t>
            </w:r>
          </w:p>
        </w:tc>
        <w:tc>
          <w:tcPr>
            <w:tcW w:w="1556" w:type="dxa"/>
            <w:noWrap/>
            <w:hideMark/>
          </w:tcPr>
          <w:p w14:paraId="589170FB" w14:textId="77777777" w:rsidR="00017EA2" w:rsidRPr="00CC034B" w:rsidRDefault="00017EA2" w:rsidP="00FB6278">
            <w:pPr>
              <w:rPr>
                <w:rFonts w:ascii="Arial" w:hAnsi="Arial"/>
                <w:sz w:val="22"/>
              </w:rPr>
            </w:pPr>
            <w:r w:rsidRPr="00CC034B">
              <w:rPr>
                <w:rFonts w:ascii="Arial" w:hAnsi="Arial"/>
                <w:sz w:val="22"/>
              </w:rPr>
              <w:t>-</w:t>
            </w:r>
          </w:p>
        </w:tc>
        <w:tc>
          <w:tcPr>
            <w:tcW w:w="1556" w:type="dxa"/>
            <w:noWrap/>
            <w:hideMark/>
          </w:tcPr>
          <w:p w14:paraId="5EA82406" w14:textId="77777777" w:rsidR="00017EA2" w:rsidRPr="00CC034B" w:rsidRDefault="00017EA2" w:rsidP="00FB6278">
            <w:pPr>
              <w:rPr>
                <w:rFonts w:ascii="Arial" w:hAnsi="Arial"/>
                <w:sz w:val="22"/>
              </w:rPr>
            </w:pPr>
            <w:r w:rsidRPr="00CC034B">
              <w:rPr>
                <w:rFonts w:ascii="Arial" w:hAnsi="Arial"/>
                <w:sz w:val="22"/>
              </w:rPr>
              <w:t>-</w:t>
            </w:r>
          </w:p>
        </w:tc>
        <w:tc>
          <w:tcPr>
            <w:tcW w:w="1556" w:type="dxa"/>
            <w:noWrap/>
            <w:hideMark/>
          </w:tcPr>
          <w:p w14:paraId="737AE806" w14:textId="77777777" w:rsidR="00017EA2" w:rsidRPr="00CC034B" w:rsidRDefault="00017EA2" w:rsidP="00FB6278">
            <w:pPr>
              <w:rPr>
                <w:rFonts w:ascii="Arial" w:hAnsi="Arial"/>
                <w:sz w:val="22"/>
              </w:rPr>
            </w:pPr>
            <w:r w:rsidRPr="00CC034B">
              <w:rPr>
                <w:rFonts w:ascii="Arial" w:hAnsi="Arial"/>
                <w:sz w:val="22"/>
              </w:rPr>
              <w:t>15 - 20</w:t>
            </w:r>
          </w:p>
        </w:tc>
      </w:tr>
      <w:tr w:rsidR="00017EA2" w:rsidRPr="00CC034B" w14:paraId="09F72416" w14:textId="77777777" w:rsidTr="002629A9">
        <w:trPr>
          <w:trHeight w:val="260"/>
        </w:trPr>
        <w:tc>
          <w:tcPr>
            <w:tcW w:w="9164" w:type="dxa"/>
            <w:noWrap/>
            <w:hideMark/>
          </w:tcPr>
          <w:p w14:paraId="7BF826AE" w14:textId="77777777" w:rsidR="00017EA2" w:rsidRPr="00CC034B" w:rsidRDefault="00017EA2" w:rsidP="00FB6278">
            <w:pPr>
              <w:rPr>
                <w:rFonts w:ascii="Arial" w:hAnsi="Arial"/>
                <w:sz w:val="22"/>
              </w:rPr>
            </w:pPr>
            <w:r w:rsidRPr="00CC034B">
              <w:rPr>
                <w:rFonts w:ascii="Arial" w:hAnsi="Arial"/>
                <w:sz w:val="22"/>
              </w:rPr>
              <w:t xml:space="preserve">Mr D Hills - Non-Executive Director </w:t>
            </w:r>
          </w:p>
        </w:tc>
        <w:tc>
          <w:tcPr>
            <w:tcW w:w="1556" w:type="dxa"/>
            <w:noWrap/>
            <w:hideMark/>
          </w:tcPr>
          <w:p w14:paraId="79F0CDB4" w14:textId="77777777" w:rsidR="00017EA2" w:rsidRPr="00CC034B" w:rsidRDefault="00017EA2" w:rsidP="00FB6278">
            <w:pPr>
              <w:rPr>
                <w:rFonts w:ascii="Arial" w:hAnsi="Arial"/>
                <w:sz w:val="22"/>
              </w:rPr>
            </w:pPr>
            <w:r w:rsidRPr="00CC034B">
              <w:rPr>
                <w:rFonts w:ascii="Arial" w:hAnsi="Arial"/>
                <w:sz w:val="22"/>
              </w:rPr>
              <w:t>15 - 20</w:t>
            </w:r>
          </w:p>
        </w:tc>
        <w:tc>
          <w:tcPr>
            <w:tcW w:w="1556" w:type="dxa"/>
            <w:noWrap/>
            <w:hideMark/>
          </w:tcPr>
          <w:p w14:paraId="26107332" w14:textId="77777777" w:rsidR="00017EA2" w:rsidRPr="00CC034B" w:rsidRDefault="00017EA2" w:rsidP="00FB6278">
            <w:pPr>
              <w:rPr>
                <w:rFonts w:ascii="Arial" w:hAnsi="Arial"/>
                <w:sz w:val="22"/>
              </w:rPr>
            </w:pPr>
            <w:r w:rsidRPr="00CC034B">
              <w:rPr>
                <w:rFonts w:ascii="Arial" w:hAnsi="Arial"/>
                <w:sz w:val="22"/>
              </w:rPr>
              <w:t>-</w:t>
            </w:r>
          </w:p>
        </w:tc>
        <w:tc>
          <w:tcPr>
            <w:tcW w:w="1556" w:type="dxa"/>
            <w:noWrap/>
            <w:hideMark/>
          </w:tcPr>
          <w:p w14:paraId="602001EE" w14:textId="77777777" w:rsidR="00017EA2" w:rsidRPr="00CC034B" w:rsidRDefault="00017EA2" w:rsidP="00FB6278">
            <w:pPr>
              <w:rPr>
                <w:rFonts w:ascii="Arial" w:hAnsi="Arial"/>
                <w:sz w:val="22"/>
              </w:rPr>
            </w:pPr>
            <w:r w:rsidRPr="00CC034B">
              <w:rPr>
                <w:rFonts w:ascii="Arial" w:hAnsi="Arial"/>
                <w:sz w:val="22"/>
              </w:rPr>
              <w:t>-</w:t>
            </w:r>
          </w:p>
        </w:tc>
        <w:tc>
          <w:tcPr>
            <w:tcW w:w="1556" w:type="dxa"/>
            <w:noWrap/>
            <w:hideMark/>
          </w:tcPr>
          <w:p w14:paraId="46F6ED37" w14:textId="77777777" w:rsidR="00017EA2" w:rsidRPr="00CC034B" w:rsidRDefault="00017EA2" w:rsidP="00FB6278">
            <w:pPr>
              <w:rPr>
                <w:rFonts w:ascii="Arial" w:hAnsi="Arial"/>
                <w:sz w:val="22"/>
              </w:rPr>
            </w:pPr>
            <w:r w:rsidRPr="00CC034B">
              <w:rPr>
                <w:rFonts w:ascii="Arial" w:hAnsi="Arial"/>
                <w:sz w:val="22"/>
              </w:rPr>
              <w:t>15 - 20</w:t>
            </w:r>
          </w:p>
        </w:tc>
      </w:tr>
      <w:tr w:rsidR="00017EA2" w:rsidRPr="00CC034B" w14:paraId="5280A647" w14:textId="77777777" w:rsidTr="002629A9">
        <w:trPr>
          <w:trHeight w:val="260"/>
        </w:trPr>
        <w:tc>
          <w:tcPr>
            <w:tcW w:w="9164" w:type="dxa"/>
            <w:noWrap/>
            <w:hideMark/>
          </w:tcPr>
          <w:p w14:paraId="69300FF2" w14:textId="77777777" w:rsidR="00017EA2" w:rsidRPr="00CC034B" w:rsidRDefault="00017EA2" w:rsidP="00FB6278">
            <w:pPr>
              <w:rPr>
                <w:rFonts w:ascii="Arial" w:hAnsi="Arial"/>
                <w:sz w:val="22"/>
              </w:rPr>
            </w:pPr>
            <w:r w:rsidRPr="00CC034B">
              <w:rPr>
                <w:rFonts w:ascii="Arial" w:hAnsi="Arial"/>
                <w:sz w:val="22"/>
              </w:rPr>
              <w:t>Mr V Bhalla - Non-Executive Director</w:t>
            </w:r>
          </w:p>
        </w:tc>
        <w:tc>
          <w:tcPr>
            <w:tcW w:w="1556" w:type="dxa"/>
            <w:noWrap/>
            <w:hideMark/>
          </w:tcPr>
          <w:p w14:paraId="73E09A57" w14:textId="77777777" w:rsidR="00017EA2" w:rsidRPr="00CC034B" w:rsidRDefault="00017EA2" w:rsidP="00FB6278">
            <w:pPr>
              <w:rPr>
                <w:rFonts w:ascii="Arial" w:hAnsi="Arial"/>
                <w:sz w:val="22"/>
              </w:rPr>
            </w:pPr>
            <w:r w:rsidRPr="00CC034B">
              <w:rPr>
                <w:rFonts w:ascii="Arial" w:hAnsi="Arial"/>
                <w:sz w:val="22"/>
              </w:rPr>
              <w:t>10 - 15</w:t>
            </w:r>
          </w:p>
        </w:tc>
        <w:tc>
          <w:tcPr>
            <w:tcW w:w="1556" w:type="dxa"/>
            <w:noWrap/>
            <w:hideMark/>
          </w:tcPr>
          <w:p w14:paraId="0A8DFD3C" w14:textId="77777777" w:rsidR="00017EA2" w:rsidRPr="00CC034B" w:rsidRDefault="00017EA2" w:rsidP="00FB6278">
            <w:pPr>
              <w:rPr>
                <w:rFonts w:ascii="Arial" w:hAnsi="Arial"/>
                <w:sz w:val="22"/>
              </w:rPr>
            </w:pPr>
            <w:r w:rsidRPr="00CC034B">
              <w:rPr>
                <w:rFonts w:ascii="Arial" w:hAnsi="Arial"/>
                <w:sz w:val="22"/>
              </w:rPr>
              <w:t>-</w:t>
            </w:r>
          </w:p>
        </w:tc>
        <w:tc>
          <w:tcPr>
            <w:tcW w:w="1556" w:type="dxa"/>
            <w:noWrap/>
            <w:hideMark/>
          </w:tcPr>
          <w:p w14:paraId="0438A391" w14:textId="77777777" w:rsidR="00017EA2" w:rsidRPr="00CC034B" w:rsidRDefault="00017EA2" w:rsidP="00FB6278">
            <w:pPr>
              <w:rPr>
                <w:rFonts w:ascii="Arial" w:hAnsi="Arial"/>
                <w:sz w:val="22"/>
              </w:rPr>
            </w:pPr>
            <w:r w:rsidRPr="00CC034B">
              <w:rPr>
                <w:rFonts w:ascii="Arial" w:hAnsi="Arial"/>
                <w:sz w:val="22"/>
              </w:rPr>
              <w:t>-</w:t>
            </w:r>
          </w:p>
        </w:tc>
        <w:tc>
          <w:tcPr>
            <w:tcW w:w="1556" w:type="dxa"/>
            <w:noWrap/>
            <w:hideMark/>
          </w:tcPr>
          <w:p w14:paraId="0BE7B112" w14:textId="77777777" w:rsidR="00017EA2" w:rsidRPr="00CC034B" w:rsidRDefault="00017EA2" w:rsidP="00FB6278">
            <w:pPr>
              <w:rPr>
                <w:rFonts w:ascii="Arial" w:hAnsi="Arial"/>
                <w:sz w:val="22"/>
              </w:rPr>
            </w:pPr>
            <w:r w:rsidRPr="00CC034B">
              <w:rPr>
                <w:rFonts w:ascii="Arial" w:hAnsi="Arial"/>
                <w:sz w:val="22"/>
              </w:rPr>
              <w:t>10 - 15</w:t>
            </w:r>
          </w:p>
        </w:tc>
      </w:tr>
      <w:tr w:rsidR="00017EA2" w:rsidRPr="00CC034B" w14:paraId="41242961" w14:textId="77777777" w:rsidTr="002629A9">
        <w:trPr>
          <w:trHeight w:val="270"/>
        </w:trPr>
        <w:tc>
          <w:tcPr>
            <w:tcW w:w="9164" w:type="dxa"/>
            <w:noWrap/>
            <w:hideMark/>
          </w:tcPr>
          <w:p w14:paraId="2C77C81D" w14:textId="77777777" w:rsidR="00017EA2" w:rsidRPr="00CC034B" w:rsidRDefault="00017EA2" w:rsidP="00FB6278">
            <w:pPr>
              <w:rPr>
                <w:rFonts w:ascii="Arial" w:hAnsi="Arial"/>
                <w:sz w:val="22"/>
              </w:rPr>
            </w:pPr>
            <w:r w:rsidRPr="00CC034B">
              <w:rPr>
                <w:rFonts w:ascii="Arial" w:hAnsi="Arial"/>
                <w:sz w:val="22"/>
              </w:rPr>
              <w:t>Mr R Holmes - Non-Executive Director</w:t>
            </w:r>
          </w:p>
        </w:tc>
        <w:tc>
          <w:tcPr>
            <w:tcW w:w="1556" w:type="dxa"/>
            <w:noWrap/>
            <w:hideMark/>
          </w:tcPr>
          <w:p w14:paraId="0A44BD9B" w14:textId="77777777" w:rsidR="00017EA2" w:rsidRPr="00CC034B" w:rsidRDefault="00017EA2" w:rsidP="00FB6278">
            <w:pPr>
              <w:rPr>
                <w:rFonts w:ascii="Arial" w:hAnsi="Arial"/>
                <w:sz w:val="22"/>
              </w:rPr>
            </w:pPr>
            <w:r w:rsidRPr="00CC034B">
              <w:rPr>
                <w:rFonts w:ascii="Arial" w:hAnsi="Arial"/>
                <w:sz w:val="22"/>
              </w:rPr>
              <w:t>10 - 15</w:t>
            </w:r>
          </w:p>
        </w:tc>
        <w:tc>
          <w:tcPr>
            <w:tcW w:w="1556" w:type="dxa"/>
            <w:noWrap/>
            <w:hideMark/>
          </w:tcPr>
          <w:p w14:paraId="0A2A9836" w14:textId="77777777" w:rsidR="00017EA2" w:rsidRPr="00CC034B" w:rsidRDefault="00017EA2" w:rsidP="00FB6278">
            <w:pPr>
              <w:rPr>
                <w:rFonts w:ascii="Arial" w:hAnsi="Arial"/>
                <w:sz w:val="22"/>
              </w:rPr>
            </w:pPr>
            <w:r w:rsidRPr="00CC034B">
              <w:rPr>
                <w:rFonts w:ascii="Arial" w:hAnsi="Arial"/>
                <w:sz w:val="22"/>
              </w:rPr>
              <w:t>-</w:t>
            </w:r>
          </w:p>
        </w:tc>
        <w:tc>
          <w:tcPr>
            <w:tcW w:w="1556" w:type="dxa"/>
            <w:noWrap/>
            <w:hideMark/>
          </w:tcPr>
          <w:p w14:paraId="1F1E0C3D" w14:textId="77777777" w:rsidR="00017EA2" w:rsidRPr="00CC034B" w:rsidRDefault="00017EA2" w:rsidP="00FB6278">
            <w:pPr>
              <w:rPr>
                <w:rFonts w:ascii="Arial" w:hAnsi="Arial"/>
                <w:sz w:val="22"/>
              </w:rPr>
            </w:pPr>
            <w:r w:rsidRPr="00CC034B">
              <w:rPr>
                <w:rFonts w:ascii="Arial" w:hAnsi="Arial"/>
                <w:sz w:val="22"/>
              </w:rPr>
              <w:t>-</w:t>
            </w:r>
          </w:p>
        </w:tc>
        <w:tc>
          <w:tcPr>
            <w:tcW w:w="1556" w:type="dxa"/>
            <w:noWrap/>
            <w:hideMark/>
          </w:tcPr>
          <w:p w14:paraId="5EC8319C" w14:textId="77777777" w:rsidR="00017EA2" w:rsidRPr="00CC034B" w:rsidRDefault="00017EA2" w:rsidP="00FB6278">
            <w:pPr>
              <w:rPr>
                <w:rFonts w:ascii="Arial" w:hAnsi="Arial"/>
                <w:sz w:val="22"/>
              </w:rPr>
            </w:pPr>
            <w:r w:rsidRPr="00CC034B">
              <w:rPr>
                <w:rFonts w:ascii="Arial" w:hAnsi="Arial"/>
                <w:sz w:val="22"/>
              </w:rPr>
              <w:t>10 - 15</w:t>
            </w:r>
          </w:p>
        </w:tc>
      </w:tr>
    </w:tbl>
    <w:p w14:paraId="33F76F39" w14:textId="77777777" w:rsidR="00017EA2" w:rsidRDefault="00017EA2" w:rsidP="00FB6278">
      <w:pPr>
        <w:tabs>
          <w:tab w:val="left" w:pos="12830"/>
        </w:tabs>
        <w:rPr>
          <w:rFonts w:ascii="Arial" w:hAnsi="Arial"/>
          <w:b/>
          <w:sz w:val="22"/>
        </w:rPr>
      </w:pPr>
    </w:p>
    <w:p w14:paraId="03B7FA6A" w14:textId="03213EAE" w:rsidR="00DA33AB" w:rsidRPr="00E45051" w:rsidRDefault="00DA33AB" w:rsidP="00FB6278">
      <w:pPr>
        <w:pStyle w:val="MEHBoldheading1"/>
        <w:rPr>
          <w:b w:val="0"/>
          <w:bCs/>
          <w:sz w:val="22"/>
        </w:rPr>
      </w:pPr>
      <w:r w:rsidRPr="00E45051">
        <w:rPr>
          <w:b w:val="0"/>
          <w:bCs/>
          <w:sz w:val="22"/>
        </w:rPr>
        <w:t xml:space="preserve">Pension-related benefits are intended to show the notional increase or decrease in the value of directors' pensions assuming the pension is drawn for 20 years after retirement. It is calculated as 20 x annual pension </w:t>
      </w:r>
      <w:proofErr w:type="gramStart"/>
      <w:r w:rsidRPr="00E45051">
        <w:rPr>
          <w:b w:val="0"/>
          <w:bCs/>
          <w:sz w:val="22"/>
        </w:rPr>
        <w:t>increase  +</w:t>
      </w:r>
      <w:proofErr w:type="gramEnd"/>
      <w:r w:rsidRPr="00E45051">
        <w:rPr>
          <w:b w:val="0"/>
          <w:bCs/>
          <w:sz w:val="22"/>
        </w:rPr>
        <w:t xml:space="preserve"> lump sum increase, adjusted for inflation, less employees' pension contributions paid in the year</w:t>
      </w:r>
      <w:r w:rsidR="008B2FEE">
        <w:rPr>
          <w:b w:val="0"/>
          <w:bCs/>
          <w:sz w:val="22"/>
        </w:rPr>
        <w:t>.</w:t>
      </w:r>
    </w:p>
    <w:p w14:paraId="09880B62" w14:textId="77777777" w:rsidR="008B2FEE" w:rsidRDefault="00DA33AB" w:rsidP="00FB6278">
      <w:pPr>
        <w:pStyle w:val="MEHBoldheading1"/>
        <w:rPr>
          <w:b w:val="0"/>
          <w:bCs/>
          <w:sz w:val="22"/>
        </w:rPr>
      </w:pPr>
      <w:r w:rsidRPr="00E45051">
        <w:rPr>
          <w:b w:val="0"/>
          <w:bCs/>
          <w:sz w:val="22"/>
        </w:rPr>
        <w:t xml:space="preserve">Six members of the Board were paid more than the threshold of £150,000 per annum used in the Civil Service for approval by the Chief Secretary of the Treasury, which equates to the Prime Minister's ministerial and parliamentary salary. We are mindful of our responsibility in ensuring value for money. </w:t>
      </w:r>
    </w:p>
    <w:p w14:paraId="3328FE9D" w14:textId="77777777" w:rsidR="00DA33AB" w:rsidRDefault="00DA33AB" w:rsidP="00FB6278">
      <w:pPr>
        <w:pStyle w:val="MEHBoldheading1"/>
        <w:rPr>
          <w:b w:val="0"/>
          <w:bCs/>
          <w:sz w:val="22"/>
        </w:rPr>
      </w:pPr>
      <w:proofErr w:type="gramStart"/>
      <w:r w:rsidRPr="00E45051">
        <w:rPr>
          <w:b w:val="0"/>
          <w:bCs/>
          <w:sz w:val="22"/>
        </w:rPr>
        <w:t>Nevertheless</w:t>
      </w:r>
      <w:proofErr w:type="gramEnd"/>
      <w:r w:rsidRPr="00E45051">
        <w:rPr>
          <w:b w:val="0"/>
          <w:bCs/>
          <w:sz w:val="22"/>
        </w:rPr>
        <w:t xml:space="preserve"> we have an obligation to secure suitable individuals, and therefore the trust’s Remuneration Committee agreed the salaries in excess of the threshold following benchmarking and market testing</w:t>
      </w:r>
      <w:r w:rsidR="00B21A66">
        <w:rPr>
          <w:b w:val="0"/>
          <w:bCs/>
          <w:sz w:val="22"/>
        </w:rPr>
        <w:t>.</w:t>
      </w:r>
    </w:p>
    <w:p w14:paraId="4CD6A281" w14:textId="77777777" w:rsidR="004F4AE0" w:rsidRDefault="004F4AE0" w:rsidP="00FB6278">
      <w:pPr>
        <w:pStyle w:val="MEHBoldheading1"/>
        <w:rPr>
          <w:b w:val="0"/>
          <w:bCs/>
          <w:sz w:val="22"/>
        </w:rPr>
      </w:pPr>
    </w:p>
    <w:p w14:paraId="7597B83E" w14:textId="172213F9" w:rsidR="00504850" w:rsidRPr="00504850" w:rsidRDefault="004F4AE0" w:rsidP="00FB6278">
      <w:pPr>
        <w:pStyle w:val="MEHBoldheading1"/>
        <w:rPr>
          <w:sz w:val="22"/>
        </w:rPr>
      </w:pPr>
      <w:r>
        <w:rPr>
          <w:sz w:val="22"/>
        </w:rPr>
        <w:tab/>
      </w:r>
      <w:r w:rsidRPr="00952C33">
        <w:rPr>
          <w:sz w:val="22"/>
        </w:rPr>
        <w:t>Pension benefits of directors [the following table is subject to audit]</w:t>
      </w:r>
    </w:p>
    <w:tbl>
      <w:tblPr>
        <w:tblW w:w="15446" w:type="dxa"/>
        <w:tblLayout w:type="fixed"/>
        <w:tblLook w:val="04A0" w:firstRow="1" w:lastRow="0" w:firstColumn="1" w:lastColumn="0" w:noHBand="0" w:noVBand="1"/>
      </w:tblPr>
      <w:tblGrid>
        <w:gridCol w:w="9067"/>
        <w:gridCol w:w="2126"/>
        <w:gridCol w:w="2126"/>
        <w:gridCol w:w="2127"/>
      </w:tblGrid>
      <w:tr w:rsidR="004F4AE0" w:rsidRPr="004F4AE0" w14:paraId="5598F7E0" w14:textId="77777777" w:rsidTr="004F4AE0">
        <w:trPr>
          <w:trHeight w:val="780"/>
        </w:trPr>
        <w:tc>
          <w:tcPr>
            <w:tcW w:w="906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8604E9" w14:textId="2689A933" w:rsidR="004F4AE0" w:rsidRDefault="004F4AE0" w:rsidP="004F4AE0">
            <w:pPr>
              <w:rPr>
                <w:rFonts w:ascii="Arial" w:hAnsi="Arial"/>
                <w:b/>
                <w:bCs/>
                <w:sz w:val="22"/>
              </w:rPr>
            </w:pPr>
            <w:r w:rsidRPr="004F4AE0">
              <w:rPr>
                <w:rFonts w:ascii="Arial" w:hAnsi="Arial"/>
                <w:b/>
                <w:bCs/>
                <w:sz w:val="22"/>
              </w:rPr>
              <w:t xml:space="preserve">Name and </w:t>
            </w:r>
            <w:r w:rsidR="00504850">
              <w:rPr>
                <w:rFonts w:ascii="Arial" w:hAnsi="Arial"/>
                <w:b/>
                <w:bCs/>
                <w:sz w:val="22"/>
              </w:rPr>
              <w:t>T</w:t>
            </w:r>
            <w:r w:rsidRPr="004F4AE0">
              <w:rPr>
                <w:rFonts w:ascii="Arial" w:hAnsi="Arial"/>
                <w:b/>
                <w:bCs/>
                <w:sz w:val="22"/>
              </w:rPr>
              <w:t>itle</w:t>
            </w:r>
          </w:p>
          <w:p w14:paraId="28FF2C72" w14:textId="77777777" w:rsidR="00504850" w:rsidRDefault="00504850" w:rsidP="004F4AE0">
            <w:pPr>
              <w:rPr>
                <w:rFonts w:ascii="Arial" w:hAnsi="Arial"/>
                <w:b/>
                <w:bCs/>
                <w:sz w:val="22"/>
              </w:rPr>
            </w:pPr>
          </w:p>
          <w:p w14:paraId="4BADEC29" w14:textId="77777777" w:rsidR="00504850" w:rsidRDefault="00504850" w:rsidP="004F4AE0">
            <w:pPr>
              <w:rPr>
                <w:rFonts w:ascii="Arial" w:hAnsi="Arial"/>
                <w:b/>
                <w:bCs/>
                <w:sz w:val="22"/>
              </w:rPr>
            </w:pPr>
          </w:p>
          <w:p w14:paraId="286B3D08" w14:textId="77777777" w:rsidR="00504850" w:rsidRDefault="00504850" w:rsidP="004F4AE0">
            <w:pPr>
              <w:rPr>
                <w:rFonts w:ascii="Arial" w:hAnsi="Arial"/>
                <w:b/>
                <w:bCs/>
                <w:sz w:val="22"/>
              </w:rPr>
            </w:pPr>
          </w:p>
          <w:p w14:paraId="6F591CCA" w14:textId="77777777" w:rsidR="00504850" w:rsidRDefault="00504850" w:rsidP="004F4AE0">
            <w:pPr>
              <w:rPr>
                <w:rFonts w:ascii="Arial" w:hAnsi="Arial"/>
                <w:b/>
                <w:bCs/>
                <w:sz w:val="22"/>
              </w:rPr>
            </w:pPr>
          </w:p>
          <w:p w14:paraId="1F0F1529" w14:textId="35112F87" w:rsidR="00504850" w:rsidRPr="004F4AE0" w:rsidRDefault="00504850" w:rsidP="004F4AE0">
            <w:pPr>
              <w:rPr>
                <w:rFonts w:ascii="Arial" w:hAnsi="Arial"/>
                <w:b/>
                <w:bCs/>
                <w:sz w:val="22"/>
              </w:rPr>
            </w:pPr>
          </w:p>
        </w:tc>
        <w:tc>
          <w:tcPr>
            <w:tcW w:w="2126" w:type="dxa"/>
            <w:tcBorders>
              <w:top w:val="single" w:sz="4" w:space="0" w:color="auto"/>
              <w:left w:val="nil"/>
              <w:bottom w:val="nil"/>
              <w:right w:val="single" w:sz="4" w:space="0" w:color="auto"/>
            </w:tcBorders>
            <w:shd w:val="clear" w:color="auto" w:fill="auto"/>
            <w:hideMark/>
          </w:tcPr>
          <w:p w14:paraId="20AB92FF" w14:textId="77777777" w:rsidR="004F4AE0" w:rsidRPr="004F4AE0" w:rsidRDefault="004F4AE0" w:rsidP="004F4AE0">
            <w:pPr>
              <w:jc w:val="center"/>
              <w:rPr>
                <w:rFonts w:ascii="Arial" w:hAnsi="Arial"/>
                <w:b/>
                <w:bCs/>
                <w:sz w:val="22"/>
              </w:rPr>
            </w:pPr>
            <w:r w:rsidRPr="004F4AE0">
              <w:rPr>
                <w:rFonts w:ascii="Arial" w:hAnsi="Arial"/>
                <w:b/>
                <w:bCs/>
                <w:sz w:val="22"/>
              </w:rPr>
              <w:t xml:space="preserve">Value of accrued pension </w:t>
            </w:r>
            <w:proofErr w:type="gramStart"/>
            <w:r w:rsidRPr="004F4AE0">
              <w:rPr>
                <w:rFonts w:ascii="Arial" w:hAnsi="Arial"/>
                <w:b/>
                <w:bCs/>
                <w:sz w:val="22"/>
              </w:rPr>
              <w:t>at</w:t>
            </w:r>
            <w:proofErr w:type="gramEnd"/>
            <w:r w:rsidRPr="004F4AE0">
              <w:rPr>
                <w:rFonts w:ascii="Arial" w:hAnsi="Arial"/>
                <w:b/>
                <w:bCs/>
                <w:sz w:val="22"/>
              </w:rPr>
              <w:t xml:space="preserve"> 31 March 2021</w:t>
            </w:r>
          </w:p>
        </w:tc>
        <w:tc>
          <w:tcPr>
            <w:tcW w:w="2126" w:type="dxa"/>
            <w:tcBorders>
              <w:top w:val="single" w:sz="4" w:space="0" w:color="auto"/>
              <w:left w:val="nil"/>
              <w:bottom w:val="nil"/>
              <w:right w:val="single" w:sz="4" w:space="0" w:color="auto"/>
            </w:tcBorders>
            <w:shd w:val="clear" w:color="auto" w:fill="auto"/>
            <w:hideMark/>
          </w:tcPr>
          <w:p w14:paraId="713316F4" w14:textId="77777777" w:rsidR="004F4AE0" w:rsidRPr="004F4AE0" w:rsidRDefault="004F4AE0" w:rsidP="004F4AE0">
            <w:pPr>
              <w:jc w:val="center"/>
              <w:rPr>
                <w:rFonts w:ascii="Arial" w:hAnsi="Arial"/>
                <w:b/>
                <w:bCs/>
                <w:sz w:val="22"/>
              </w:rPr>
            </w:pPr>
            <w:r w:rsidRPr="004F4AE0">
              <w:rPr>
                <w:rFonts w:ascii="Arial" w:hAnsi="Arial"/>
                <w:b/>
                <w:bCs/>
                <w:sz w:val="22"/>
              </w:rPr>
              <w:t xml:space="preserve">Value of accrued pension </w:t>
            </w:r>
            <w:proofErr w:type="gramStart"/>
            <w:r w:rsidRPr="004F4AE0">
              <w:rPr>
                <w:rFonts w:ascii="Arial" w:hAnsi="Arial"/>
                <w:b/>
                <w:bCs/>
                <w:sz w:val="22"/>
              </w:rPr>
              <w:t>at</w:t>
            </w:r>
            <w:proofErr w:type="gramEnd"/>
            <w:r w:rsidRPr="004F4AE0">
              <w:rPr>
                <w:rFonts w:ascii="Arial" w:hAnsi="Arial"/>
                <w:b/>
                <w:bCs/>
                <w:sz w:val="22"/>
              </w:rPr>
              <w:t xml:space="preserve"> 31 March 2022</w:t>
            </w:r>
          </w:p>
        </w:tc>
        <w:tc>
          <w:tcPr>
            <w:tcW w:w="2127" w:type="dxa"/>
            <w:tcBorders>
              <w:top w:val="single" w:sz="4" w:space="0" w:color="auto"/>
              <w:left w:val="nil"/>
              <w:bottom w:val="nil"/>
              <w:right w:val="single" w:sz="4" w:space="0" w:color="auto"/>
            </w:tcBorders>
            <w:shd w:val="clear" w:color="auto" w:fill="auto"/>
            <w:hideMark/>
          </w:tcPr>
          <w:p w14:paraId="50047212" w14:textId="77777777" w:rsidR="004F4AE0" w:rsidRPr="004F4AE0" w:rsidRDefault="004F4AE0" w:rsidP="004F4AE0">
            <w:pPr>
              <w:jc w:val="center"/>
              <w:rPr>
                <w:rFonts w:ascii="Arial" w:hAnsi="Arial"/>
                <w:b/>
                <w:bCs/>
                <w:sz w:val="22"/>
              </w:rPr>
            </w:pPr>
            <w:r w:rsidRPr="004F4AE0">
              <w:rPr>
                <w:rFonts w:ascii="Arial" w:hAnsi="Arial"/>
                <w:b/>
                <w:bCs/>
                <w:sz w:val="22"/>
              </w:rPr>
              <w:t>Real increase in year in the value of accrued pension</w:t>
            </w:r>
          </w:p>
        </w:tc>
      </w:tr>
      <w:tr w:rsidR="004F4AE0" w:rsidRPr="004F4AE0" w14:paraId="2FD282EF" w14:textId="77777777" w:rsidTr="004F4AE0">
        <w:trPr>
          <w:trHeight w:val="520"/>
        </w:trPr>
        <w:tc>
          <w:tcPr>
            <w:tcW w:w="9067" w:type="dxa"/>
            <w:vMerge/>
            <w:tcBorders>
              <w:top w:val="single" w:sz="4" w:space="0" w:color="auto"/>
              <w:left w:val="single" w:sz="4" w:space="0" w:color="auto"/>
              <w:bottom w:val="single" w:sz="4" w:space="0" w:color="000000"/>
              <w:right w:val="single" w:sz="4" w:space="0" w:color="auto"/>
            </w:tcBorders>
            <w:vAlign w:val="center"/>
            <w:hideMark/>
          </w:tcPr>
          <w:p w14:paraId="686A3652" w14:textId="77777777" w:rsidR="004F4AE0" w:rsidRPr="004F4AE0" w:rsidRDefault="004F4AE0" w:rsidP="004F4AE0">
            <w:pPr>
              <w:rPr>
                <w:rFonts w:ascii="Arial" w:hAnsi="Arial"/>
                <w:sz w:val="22"/>
              </w:rPr>
            </w:pPr>
          </w:p>
        </w:tc>
        <w:tc>
          <w:tcPr>
            <w:tcW w:w="2126" w:type="dxa"/>
            <w:tcBorders>
              <w:top w:val="nil"/>
              <w:left w:val="nil"/>
              <w:bottom w:val="single" w:sz="4" w:space="0" w:color="auto"/>
              <w:right w:val="single" w:sz="4" w:space="0" w:color="auto"/>
            </w:tcBorders>
            <w:shd w:val="clear" w:color="auto" w:fill="auto"/>
            <w:hideMark/>
          </w:tcPr>
          <w:p w14:paraId="4DB2E1D9" w14:textId="05B20ACC" w:rsidR="004F4AE0" w:rsidRPr="004F4AE0" w:rsidRDefault="004F4AE0" w:rsidP="004F4AE0">
            <w:pPr>
              <w:jc w:val="center"/>
              <w:rPr>
                <w:rFonts w:ascii="Arial" w:hAnsi="Arial"/>
                <w:b/>
                <w:bCs/>
                <w:sz w:val="22"/>
              </w:rPr>
            </w:pPr>
            <w:r w:rsidRPr="004F4AE0">
              <w:rPr>
                <w:rFonts w:ascii="Arial" w:hAnsi="Arial"/>
                <w:b/>
                <w:bCs/>
                <w:sz w:val="22"/>
              </w:rPr>
              <w:t>(</w:t>
            </w:r>
            <w:proofErr w:type="gramStart"/>
            <w:r w:rsidRPr="004F4AE0">
              <w:rPr>
                <w:rFonts w:ascii="Arial" w:hAnsi="Arial"/>
                <w:b/>
                <w:bCs/>
                <w:sz w:val="22"/>
              </w:rPr>
              <w:t>bands</w:t>
            </w:r>
            <w:proofErr w:type="gramEnd"/>
            <w:r w:rsidRPr="004F4AE0">
              <w:rPr>
                <w:rFonts w:ascii="Arial" w:hAnsi="Arial"/>
                <w:b/>
                <w:bCs/>
                <w:sz w:val="22"/>
              </w:rPr>
              <w:t xml:space="preserve"> of £5,000)</w:t>
            </w:r>
            <w:r w:rsidRPr="004F4AE0">
              <w:rPr>
                <w:rFonts w:ascii="Arial" w:hAnsi="Arial"/>
                <w:b/>
                <w:bCs/>
                <w:sz w:val="22"/>
              </w:rPr>
              <w:br/>
              <w:t>£</w:t>
            </w:r>
            <w:r w:rsidR="00504850">
              <w:rPr>
                <w:rFonts w:ascii="Arial" w:hAnsi="Arial"/>
                <w:b/>
                <w:bCs/>
                <w:sz w:val="22"/>
              </w:rPr>
              <w:t>’</w:t>
            </w:r>
            <w:r w:rsidRPr="004F4AE0">
              <w:rPr>
                <w:rFonts w:ascii="Arial" w:hAnsi="Arial"/>
                <w:b/>
                <w:bCs/>
                <w:sz w:val="22"/>
              </w:rPr>
              <w:t>000s</w:t>
            </w:r>
          </w:p>
        </w:tc>
        <w:tc>
          <w:tcPr>
            <w:tcW w:w="2126" w:type="dxa"/>
            <w:tcBorders>
              <w:top w:val="nil"/>
              <w:left w:val="nil"/>
              <w:bottom w:val="single" w:sz="4" w:space="0" w:color="auto"/>
              <w:right w:val="single" w:sz="4" w:space="0" w:color="auto"/>
            </w:tcBorders>
            <w:shd w:val="clear" w:color="auto" w:fill="auto"/>
            <w:hideMark/>
          </w:tcPr>
          <w:p w14:paraId="628F178C" w14:textId="444E2DCC" w:rsidR="004F4AE0" w:rsidRPr="004F4AE0" w:rsidRDefault="004F4AE0" w:rsidP="004F4AE0">
            <w:pPr>
              <w:jc w:val="center"/>
              <w:rPr>
                <w:rFonts w:ascii="Arial" w:hAnsi="Arial"/>
                <w:b/>
                <w:bCs/>
                <w:sz w:val="22"/>
              </w:rPr>
            </w:pPr>
            <w:r w:rsidRPr="004F4AE0">
              <w:rPr>
                <w:rFonts w:ascii="Arial" w:hAnsi="Arial"/>
                <w:b/>
                <w:bCs/>
                <w:sz w:val="22"/>
              </w:rPr>
              <w:t>(</w:t>
            </w:r>
            <w:proofErr w:type="gramStart"/>
            <w:r w:rsidRPr="004F4AE0">
              <w:rPr>
                <w:rFonts w:ascii="Arial" w:hAnsi="Arial"/>
                <w:b/>
                <w:bCs/>
                <w:sz w:val="22"/>
              </w:rPr>
              <w:t>bands</w:t>
            </w:r>
            <w:proofErr w:type="gramEnd"/>
            <w:r w:rsidRPr="004F4AE0">
              <w:rPr>
                <w:rFonts w:ascii="Arial" w:hAnsi="Arial"/>
                <w:b/>
                <w:bCs/>
                <w:sz w:val="22"/>
              </w:rPr>
              <w:t xml:space="preserve"> of £5,000)</w:t>
            </w:r>
            <w:r w:rsidRPr="004F4AE0">
              <w:rPr>
                <w:rFonts w:ascii="Arial" w:hAnsi="Arial"/>
                <w:b/>
                <w:bCs/>
                <w:sz w:val="22"/>
              </w:rPr>
              <w:br/>
              <w:t>£</w:t>
            </w:r>
            <w:r w:rsidR="00504850">
              <w:rPr>
                <w:rFonts w:ascii="Arial" w:hAnsi="Arial"/>
                <w:b/>
                <w:bCs/>
                <w:sz w:val="22"/>
              </w:rPr>
              <w:t>’</w:t>
            </w:r>
            <w:r w:rsidRPr="004F4AE0">
              <w:rPr>
                <w:rFonts w:ascii="Arial" w:hAnsi="Arial"/>
                <w:b/>
                <w:bCs/>
                <w:sz w:val="22"/>
              </w:rPr>
              <w:t>000s</w:t>
            </w:r>
          </w:p>
        </w:tc>
        <w:tc>
          <w:tcPr>
            <w:tcW w:w="2127" w:type="dxa"/>
            <w:tcBorders>
              <w:top w:val="nil"/>
              <w:left w:val="nil"/>
              <w:bottom w:val="single" w:sz="4" w:space="0" w:color="auto"/>
              <w:right w:val="single" w:sz="4" w:space="0" w:color="auto"/>
            </w:tcBorders>
            <w:shd w:val="clear" w:color="auto" w:fill="auto"/>
            <w:hideMark/>
          </w:tcPr>
          <w:p w14:paraId="26874E45" w14:textId="563A1E0B" w:rsidR="004F4AE0" w:rsidRPr="004F4AE0" w:rsidRDefault="004F4AE0" w:rsidP="004F4AE0">
            <w:pPr>
              <w:jc w:val="center"/>
              <w:rPr>
                <w:rFonts w:ascii="Arial" w:hAnsi="Arial"/>
                <w:b/>
                <w:bCs/>
                <w:sz w:val="22"/>
              </w:rPr>
            </w:pPr>
            <w:r w:rsidRPr="004F4AE0">
              <w:rPr>
                <w:rFonts w:ascii="Arial" w:hAnsi="Arial"/>
                <w:b/>
                <w:bCs/>
                <w:sz w:val="22"/>
              </w:rPr>
              <w:t>(</w:t>
            </w:r>
            <w:proofErr w:type="gramStart"/>
            <w:r w:rsidRPr="004F4AE0">
              <w:rPr>
                <w:rFonts w:ascii="Arial" w:hAnsi="Arial"/>
                <w:b/>
                <w:bCs/>
                <w:sz w:val="22"/>
              </w:rPr>
              <w:t>bands</w:t>
            </w:r>
            <w:proofErr w:type="gramEnd"/>
            <w:r w:rsidRPr="004F4AE0">
              <w:rPr>
                <w:rFonts w:ascii="Arial" w:hAnsi="Arial"/>
                <w:b/>
                <w:bCs/>
                <w:sz w:val="22"/>
              </w:rPr>
              <w:t xml:space="preserve"> of £2,500)</w:t>
            </w:r>
            <w:r w:rsidRPr="004F4AE0">
              <w:rPr>
                <w:rFonts w:ascii="Arial" w:hAnsi="Arial"/>
                <w:b/>
                <w:bCs/>
                <w:sz w:val="22"/>
              </w:rPr>
              <w:br/>
              <w:t>£</w:t>
            </w:r>
            <w:r w:rsidR="00504850">
              <w:rPr>
                <w:rFonts w:ascii="Arial" w:hAnsi="Arial"/>
                <w:b/>
                <w:bCs/>
                <w:sz w:val="22"/>
              </w:rPr>
              <w:t>’</w:t>
            </w:r>
            <w:r w:rsidRPr="004F4AE0">
              <w:rPr>
                <w:rFonts w:ascii="Arial" w:hAnsi="Arial"/>
                <w:b/>
                <w:bCs/>
                <w:sz w:val="22"/>
              </w:rPr>
              <w:t>000s</w:t>
            </w:r>
          </w:p>
        </w:tc>
      </w:tr>
      <w:tr w:rsidR="004F4AE0" w:rsidRPr="004F4AE0" w14:paraId="5AD95FBE" w14:textId="77777777" w:rsidTr="004F4AE0">
        <w:trPr>
          <w:trHeight w:val="260"/>
        </w:trPr>
        <w:tc>
          <w:tcPr>
            <w:tcW w:w="9067" w:type="dxa"/>
            <w:tcBorders>
              <w:top w:val="nil"/>
              <w:left w:val="single" w:sz="4" w:space="0" w:color="auto"/>
              <w:bottom w:val="single" w:sz="4" w:space="0" w:color="auto"/>
              <w:right w:val="nil"/>
            </w:tcBorders>
            <w:shd w:val="clear" w:color="auto" w:fill="auto"/>
            <w:noWrap/>
            <w:vAlign w:val="bottom"/>
            <w:hideMark/>
          </w:tcPr>
          <w:p w14:paraId="39F5EACF" w14:textId="1814C63F" w:rsidR="004F4AE0" w:rsidRPr="004F4AE0" w:rsidRDefault="004F4AE0" w:rsidP="004F4AE0">
            <w:pPr>
              <w:rPr>
                <w:rFonts w:ascii="Arial" w:hAnsi="Arial"/>
                <w:sz w:val="22"/>
              </w:rPr>
            </w:pPr>
            <w:r w:rsidRPr="004F4AE0">
              <w:rPr>
                <w:rFonts w:ascii="Arial" w:hAnsi="Arial"/>
                <w:sz w:val="22"/>
              </w:rPr>
              <w:t xml:space="preserve">Mr Martin </w:t>
            </w:r>
            <w:proofErr w:type="spellStart"/>
            <w:r w:rsidRPr="004F4AE0">
              <w:rPr>
                <w:rFonts w:ascii="Arial" w:hAnsi="Arial"/>
                <w:sz w:val="22"/>
              </w:rPr>
              <w:t>Kuper</w:t>
            </w:r>
            <w:proofErr w:type="spellEnd"/>
            <w:r w:rsidRPr="004F4AE0">
              <w:rPr>
                <w:rFonts w:ascii="Arial" w:hAnsi="Arial"/>
                <w:sz w:val="22"/>
              </w:rPr>
              <w:t xml:space="preserve"> </w:t>
            </w:r>
            <w:r w:rsidR="00504850">
              <w:rPr>
                <w:rFonts w:ascii="Arial" w:hAnsi="Arial"/>
                <w:sz w:val="22"/>
              </w:rPr>
              <w:t>–</w:t>
            </w:r>
            <w:r w:rsidRPr="004F4AE0">
              <w:rPr>
                <w:rFonts w:ascii="Arial" w:hAnsi="Arial"/>
                <w:sz w:val="22"/>
              </w:rPr>
              <w:t xml:space="preserve"> Chief Executive</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2A3DD4D4" w14:textId="77777777" w:rsidR="004F4AE0" w:rsidRPr="004F4AE0" w:rsidRDefault="004F4AE0" w:rsidP="004F4AE0">
            <w:pPr>
              <w:jc w:val="center"/>
              <w:rPr>
                <w:rFonts w:ascii="Arial" w:hAnsi="Arial"/>
                <w:sz w:val="22"/>
              </w:rPr>
            </w:pPr>
            <w:r w:rsidRPr="004F4AE0">
              <w:rPr>
                <w:rFonts w:ascii="Arial" w:hAnsi="Arial"/>
                <w:sz w:val="22"/>
              </w:rPr>
              <w:t>65- 70</w:t>
            </w:r>
          </w:p>
        </w:tc>
        <w:tc>
          <w:tcPr>
            <w:tcW w:w="2126" w:type="dxa"/>
            <w:tcBorders>
              <w:top w:val="nil"/>
              <w:left w:val="nil"/>
              <w:bottom w:val="single" w:sz="4" w:space="0" w:color="auto"/>
              <w:right w:val="single" w:sz="4" w:space="0" w:color="auto"/>
            </w:tcBorders>
            <w:shd w:val="clear" w:color="auto" w:fill="auto"/>
            <w:noWrap/>
            <w:vAlign w:val="bottom"/>
            <w:hideMark/>
          </w:tcPr>
          <w:p w14:paraId="211A8363" w14:textId="77777777" w:rsidR="004F4AE0" w:rsidRPr="004F4AE0" w:rsidRDefault="004F4AE0" w:rsidP="004F4AE0">
            <w:pPr>
              <w:jc w:val="center"/>
              <w:rPr>
                <w:rFonts w:ascii="Arial" w:hAnsi="Arial"/>
                <w:sz w:val="22"/>
              </w:rPr>
            </w:pPr>
            <w:r w:rsidRPr="004F4AE0">
              <w:rPr>
                <w:rFonts w:ascii="Arial" w:hAnsi="Arial"/>
                <w:sz w:val="22"/>
              </w:rPr>
              <w:t>70 -75</w:t>
            </w:r>
          </w:p>
        </w:tc>
        <w:tc>
          <w:tcPr>
            <w:tcW w:w="2127" w:type="dxa"/>
            <w:tcBorders>
              <w:top w:val="nil"/>
              <w:left w:val="nil"/>
              <w:bottom w:val="single" w:sz="4" w:space="0" w:color="auto"/>
              <w:right w:val="single" w:sz="4" w:space="0" w:color="auto"/>
            </w:tcBorders>
            <w:shd w:val="clear" w:color="auto" w:fill="auto"/>
            <w:noWrap/>
            <w:vAlign w:val="bottom"/>
            <w:hideMark/>
          </w:tcPr>
          <w:p w14:paraId="112F338D" w14:textId="37A7412B" w:rsidR="004F4AE0" w:rsidRPr="004F4AE0" w:rsidRDefault="004F4AE0" w:rsidP="004F4AE0">
            <w:pPr>
              <w:jc w:val="center"/>
              <w:rPr>
                <w:rFonts w:ascii="Arial" w:hAnsi="Arial"/>
                <w:sz w:val="22"/>
              </w:rPr>
            </w:pPr>
            <w:r w:rsidRPr="004F4AE0">
              <w:rPr>
                <w:rFonts w:ascii="Arial" w:hAnsi="Arial"/>
                <w:sz w:val="22"/>
              </w:rPr>
              <w:t xml:space="preserve">2.5 </w:t>
            </w:r>
            <w:r w:rsidR="00504850">
              <w:rPr>
                <w:rFonts w:ascii="Arial" w:hAnsi="Arial"/>
                <w:sz w:val="22"/>
              </w:rPr>
              <w:t>–</w:t>
            </w:r>
            <w:r w:rsidRPr="004F4AE0">
              <w:rPr>
                <w:rFonts w:ascii="Arial" w:hAnsi="Arial"/>
                <w:sz w:val="22"/>
              </w:rPr>
              <w:t xml:space="preserve"> 5.0</w:t>
            </w:r>
          </w:p>
        </w:tc>
      </w:tr>
      <w:tr w:rsidR="004F4AE0" w:rsidRPr="004F4AE0" w14:paraId="24296AAB" w14:textId="77777777" w:rsidTr="004F4AE0">
        <w:trPr>
          <w:trHeight w:val="260"/>
        </w:trPr>
        <w:tc>
          <w:tcPr>
            <w:tcW w:w="9067" w:type="dxa"/>
            <w:tcBorders>
              <w:top w:val="nil"/>
              <w:left w:val="single" w:sz="4" w:space="0" w:color="auto"/>
              <w:bottom w:val="single" w:sz="4" w:space="0" w:color="auto"/>
              <w:right w:val="single" w:sz="4" w:space="0" w:color="auto"/>
            </w:tcBorders>
            <w:shd w:val="clear" w:color="auto" w:fill="auto"/>
            <w:noWrap/>
            <w:vAlign w:val="bottom"/>
            <w:hideMark/>
          </w:tcPr>
          <w:p w14:paraId="603AECB7" w14:textId="79C89197" w:rsidR="004F4AE0" w:rsidRPr="004F4AE0" w:rsidRDefault="004F4AE0" w:rsidP="004F4AE0">
            <w:pPr>
              <w:rPr>
                <w:rFonts w:ascii="Arial" w:hAnsi="Arial"/>
                <w:sz w:val="22"/>
              </w:rPr>
            </w:pPr>
            <w:r w:rsidRPr="004F4AE0">
              <w:rPr>
                <w:rFonts w:ascii="Arial" w:hAnsi="Arial"/>
                <w:sz w:val="22"/>
              </w:rPr>
              <w:t xml:space="preserve">Mr D Probert </w:t>
            </w:r>
            <w:r w:rsidR="00504850">
              <w:rPr>
                <w:rFonts w:ascii="Arial" w:hAnsi="Arial"/>
                <w:sz w:val="22"/>
              </w:rPr>
              <w:t>–</w:t>
            </w:r>
            <w:r w:rsidRPr="004F4AE0">
              <w:rPr>
                <w:rFonts w:ascii="Arial" w:hAnsi="Arial"/>
                <w:sz w:val="22"/>
              </w:rPr>
              <w:t xml:space="preserve"> Chief Executive</w:t>
            </w:r>
          </w:p>
        </w:tc>
        <w:tc>
          <w:tcPr>
            <w:tcW w:w="2126" w:type="dxa"/>
            <w:tcBorders>
              <w:top w:val="nil"/>
              <w:left w:val="nil"/>
              <w:bottom w:val="single" w:sz="4" w:space="0" w:color="auto"/>
              <w:right w:val="single" w:sz="4" w:space="0" w:color="auto"/>
            </w:tcBorders>
            <w:shd w:val="clear" w:color="auto" w:fill="auto"/>
            <w:noWrap/>
            <w:vAlign w:val="bottom"/>
            <w:hideMark/>
          </w:tcPr>
          <w:p w14:paraId="4F980983" w14:textId="1E9907CA" w:rsidR="004F4AE0" w:rsidRPr="004F4AE0" w:rsidRDefault="004F4AE0" w:rsidP="004F4AE0">
            <w:pPr>
              <w:jc w:val="center"/>
              <w:rPr>
                <w:rFonts w:ascii="Arial" w:hAnsi="Arial"/>
                <w:sz w:val="22"/>
              </w:rPr>
            </w:pPr>
            <w:r w:rsidRPr="004F4AE0">
              <w:rPr>
                <w:rFonts w:ascii="Arial" w:hAnsi="Arial"/>
                <w:sz w:val="22"/>
              </w:rPr>
              <w:t xml:space="preserve">60 </w:t>
            </w:r>
            <w:r w:rsidR="00504850">
              <w:rPr>
                <w:rFonts w:ascii="Arial" w:hAnsi="Arial"/>
                <w:sz w:val="22"/>
              </w:rPr>
              <w:t>–</w:t>
            </w:r>
            <w:r w:rsidRPr="004F4AE0">
              <w:rPr>
                <w:rFonts w:ascii="Arial" w:hAnsi="Arial"/>
                <w:sz w:val="22"/>
              </w:rPr>
              <w:t xml:space="preserve"> 65</w:t>
            </w:r>
          </w:p>
        </w:tc>
        <w:tc>
          <w:tcPr>
            <w:tcW w:w="2126" w:type="dxa"/>
            <w:tcBorders>
              <w:top w:val="nil"/>
              <w:left w:val="nil"/>
              <w:bottom w:val="single" w:sz="4" w:space="0" w:color="auto"/>
              <w:right w:val="single" w:sz="4" w:space="0" w:color="auto"/>
            </w:tcBorders>
            <w:shd w:val="clear" w:color="auto" w:fill="auto"/>
            <w:noWrap/>
            <w:vAlign w:val="bottom"/>
            <w:hideMark/>
          </w:tcPr>
          <w:p w14:paraId="16B1C90C" w14:textId="154CF0B1" w:rsidR="004F4AE0" w:rsidRPr="004F4AE0" w:rsidRDefault="004F4AE0" w:rsidP="004F4AE0">
            <w:pPr>
              <w:jc w:val="center"/>
              <w:rPr>
                <w:rFonts w:ascii="Arial" w:hAnsi="Arial"/>
                <w:sz w:val="22"/>
              </w:rPr>
            </w:pPr>
            <w:r w:rsidRPr="004F4AE0">
              <w:rPr>
                <w:rFonts w:ascii="Arial" w:hAnsi="Arial"/>
                <w:sz w:val="22"/>
              </w:rPr>
              <w:t xml:space="preserve">65 </w:t>
            </w:r>
            <w:r w:rsidR="00504850">
              <w:rPr>
                <w:rFonts w:ascii="Arial" w:hAnsi="Arial"/>
                <w:sz w:val="22"/>
              </w:rPr>
              <w:t>–</w:t>
            </w:r>
            <w:r w:rsidRPr="004F4AE0">
              <w:rPr>
                <w:rFonts w:ascii="Arial" w:hAnsi="Arial"/>
                <w:sz w:val="22"/>
              </w:rPr>
              <w:t xml:space="preserve"> 70</w:t>
            </w:r>
          </w:p>
        </w:tc>
        <w:tc>
          <w:tcPr>
            <w:tcW w:w="2127" w:type="dxa"/>
            <w:tcBorders>
              <w:top w:val="nil"/>
              <w:left w:val="nil"/>
              <w:bottom w:val="single" w:sz="4" w:space="0" w:color="auto"/>
              <w:right w:val="single" w:sz="4" w:space="0" w:color="auto"/>
            </w:tcBorders>
            <w:shd w:val="clear" w:color="auto" w:fill="auto"/>
            <w:noWrap/>
            <w:vAlign w:val="bottom"/>
            <w:hideMark/>
          </w:tcPr>
          <w:p w14:paraId="3D7A9EC3" w14:textId="603117B5" w:rsidR="004F4AE0" w:rsidRPr="004F4AE0" w:rsidRDefault="004F4AE0" w:rsidP="004F4AE0">
            <w:pPr>
              <w:jc w:val="center"/>
              <w:rPr>
                <w:rFonts w:ascii="Arial" w:hAnsi="Arial"/>
                <w:sz w:val="22"/>
              </w:rPr>
            </w:pPr>
            <w:r w:rsidRPr="004F4AE0">
              <w:rPr>
                <w:rFonts w:ascii="Arial" w:hAnsi="Arial"/>
                <w:sz w:val="22"/>
              </w:rPr>
              <w:t xml:space="preserve">2.5 </w:t>
            </w:r>
            <w:r w:rsidR="00504850">
              <w:rPr>
                <w:rFonts w:ascii="Arial" w:hAnsi="Arial"/>
                <w:sz w:val="22"/>
              </w:rPr>
              <w:t>–</w:t>
            </w:r>
            <w:r w:rsidRPr="004F4AE0">
              <w:rPr>
                <w:rFonts w:ascii="Arial" w:hAnsi="Arial"/>
                <w:sz w:val="22"/>
              </w:rPr>
              <w:t xml:space="preserve"> 5.0</w:t>
            </w:r>
          </w:p>
        </w:tc>
      </w:tr>
      <w:tr w:rsidR="004F4AE0" w:rsidRPr="004F4AE0" w14:paraId="1DF19697" w14:textId="77777777" w:rsidTr="004F4AE0">
        <w:trPr>
          <w:trHeight w:val="260"/>
        </w:trPr>
        <w:tc>
          <w:tcPr>
            <w:tcW w:w="9067" w:type="dxa"/>
            <w:tcBorders>
              <w:top w:val="nil"/>
              <w:left w:val="single" w:sz="4" w:space="0" w:color="auto"/>
              <w:bottom w:val="single" w:sz="4" w:space="0" w:color="auto"/>
              <w:right w:val="single" w:sz="4" w:space="0" w:color="auto"/>
            </w:tcBorders>
            <w:shd w:val="clear" w:color="auto" w:fill="auto"/>
            <w:noWrap/>
            <w:vAlign w:val="bottom"/>
            <w:hideMark/>
          </w:tcPr>
          <w:p w14:paraId="63EDF511" w14:textId="567E0D5F" w:rsidR="004F4AE0" w:rsidRPr="004F4AE0" w:rsidRDefault="004F4AE0" w:rsidP="004F4AE0">
            <w:pPr>
              <w:rPr>
                <w:rFonts w:ascii="Arial" w:hAnsi="Arial"/>
                <w:sz w:val="22"/>
              </w:rPr>
            </w:pPr>
            <w:r w:rsidRPr="004F4AE0">
              <w:rPr>
                <w:rFonts w:ascii="Arial" w:hAnsi="Arial"/>
                <w:sz w:val="22"/>
              </w:rPr>
              <w:t xml:space="preserve">Mr J Wilson </w:t>
            </w:r>
            <w:r w:rsidR="00504850">
              <w:rPr>
                <w:rFonts w:ascii="Arial" w:hAnsi="Arial"/>
                <w:sz w:val="22"/>
              </w:rPr>
              <w:t>–</w:t>
            </w:r>
            <w:r w:rsidRPr="004F4AE0">
              <w:rPr>
                <w:rFonts w:ascii="Arial" w:hAnsi="Arial"/>
                <w:sz w:val="22"/>
              </w:rPr>
              <w:t xml:space="preserve"> Chief Financial Officer </w:t>
            </w:r>
          </w:p>
        </w:tc>
        <w:tc>
          <w:tcPr>
            <w:tcW w:w="2126" w:type="dxa"/>
            <w:tcBorders>
              <w:top w:val="nil"/>
              <w:left w:val="nil"/>
              <w:bottom w:val="single" w:sz="4" w:space="0" w:color="auto"/>
              <w:right w:val="single" w:sz="4" w:space="0" w:color="auto"/>
            </w:tcBorders>
            <w:shd w:val="clear" w:color="auto" w:fill="auto"/>
            <w:noWrap/>
            <w:vAlign w:val="bottom"/>
            <w:hideMark/>
          </w:tcPr>
          <w:p w14:paraId="3ADF69F0" w14:textId="25563AE7" w:rsidR="004F4AE0" w:rsidRPr="004F4AE0" w:rsidRDefault="004F4AE0" w:rsidP="004F4AE0">
            <w:pPr>
              <w:jc w:val="center"/>
              <w:rPr>
                <w:rFonts w:ascii="Arial" w:hAnsi="Arial"/>
                <w:sz w:val="22"/>
              </w:rPr>
            </w:pPr>
            <w:r w:rsidRPr="004F4AE0">
              <w:rPr>
                <w:rFonts w:ascii="Arial" w:hAnsi="Arial"/>
                <w:sz w:val="22"/>
              </w:rPr>
              <w:t xml:space="preserve">25 </w:t>
            </w:r>
            <w:r w:rsidR="00504850">
              <w:rPr>
                <w:rFonts w:ascii="Arial" w:hAnsi="Arial"/>
                <w:sz w:val="22"/>
              </w:rPr>
              <w:t>–</w:t>
            </w:r>
            <w:r w:rsidRPr="004F4AE0">
              <w:rPr>
                <w:rFonts w:ascii="Arial" w:hAnsi="Arial"/>
                <w:sz w:val="22"/>
              </w:rPr>
              <w:t xml:space="preserve"> 30</w:t>
            </w:r>
          </w:p>
        </w:tc>
        <w:tc>
          <w:tcPr>
            <w:tcW w:w="2126" w:type="dxa"/>
            <w:tcBorders>
              <w:top w:val="nil"/>
              <w:left w:val="nil"/>
              <w:bottom w:val="single" w:sz="4" w:space="0" w:color="auto"/>
              <w:right w:val="single" w:sz="4" w:space="0" w:color="auto"/>
            </w:tcBorders>
            <w:shd w:val="clear" w:color="auto" w:fill="auto"/>
            <w:noWrap/>
            <w:vAlign w:val="bottom"/>
            <w:hideMark/>
          </w:tcPr>
          <w:p w14:paraId="27EFF115" w14:textId="77777777" w:rsidR="004F4AE0" w:rsidRPr="004F4AE0" w:rsidRDefault="004F4AE0" w:rsidP="004F4AE0">
            <w:pPr>
              <w:jc w:val="center"/>
              <w:rPr>
                <w:rFonts w:ascii="Arial" w:hAnsi="Arial"/>
                <w:sz w:val="22"/>
              </w:rPr>
            </w:pPr>
            <w:r w:rsidRPr="004F4AE0">
              <w:rPr>
                <w:rFonts w:ascii="Arial" w:hAnsi="Arial"/>
                <w:sz w:val="22"/>
              </w:rPr>
              <w:t>0 -5</w:t>
            </w:r>
          </w:p>
        </w:tc>
        <w:tc>
          <w:tcPr>
            <w:tcW w:w="2127" w:type="dxa"/>
            <w:tcBorders>
              <w:top w:val="nil"/>
              <w:left w:val="nil"/>
              <w:bottom w:val="single" w:sz="4" w:space="0" w:color="auto"/>
              <w:right w:val="single" w:sz="4" w:space="0" w:color="auto"/>
            </w:tcBorders>
            <w:shd w:val="clear" w:color="auto" w:fill="auto"/>
            <w:noWrap/>
            <w:vAlign w:val="bottom"/>
            <w:hideMark/>
          </w:tcPr>
          <w:p w14:paraId="3B0084C0" w14:textId="4464427F" w:rsidR="004F4AE0" w:rsidRPr="004F4AE0" w:rsidRDefault="004F4AE0" w:rsidP="004F4AE0">
            <w:pPr>
              <w:jc w:val="center"/>
              <w:rPr>
                <w:rFonts w:ascii="Arial" w:hAnsi="Arial"/>
                <w:sz w:val="22"/>
              </w:rPr>
            </w:pPr>
            <w:r w:rsidRPr="004F4AE0">
              <w:rPr>
                <w:rFonts w:ascii="Arial" w:hAnsi="Arial"/>
                <w:sz w:val="22"/>
              </w:rPr>
              <w:t xml:space="preserve">0.0 </w:t>
            </w:r>
            <w:r w:rsidR="00504850">
              <w:rPr>
                <w:rFonts w:ascii="Arial" w:hAnsi="Arial"/>
                <w:sz w:val="22"/>
              </w:rPr>
              <w:t>–</w:t>
            </w:r>
            <w:r w:rsidRPr="004F4AE0">
              <w:rPr>
                <w:rFonts w:ascii="Arial" w:hAnsi="Arial"/>
                <w:sz w:val="22"/>
              </w:rPr>
              <w:t xml:space="preserve"> 2.5</w:t>
            </w:r>
          </w:p>
        </w:tc>
      </w:tr>
      <w:tr w:rsidR="004F4AE0" w:rsidRPr="004F4AE0" w14:paraId="7600F00D" w14:textId="77777777" w:rsidTr="004F4AE0">
        <w:trPr>
          <w:trHeight w:val="260"/>
        </w:trPr>
        <w:tc>
          <w:tcPr>
            <w:tcW w:w="9067" w:type="dxa"/>
            <w:tcBorders>
              <w:top w:val="nil"/>
              <w:left w:val="single" w:sz="4" w:space="0" w:color="auto"/>
              <w:bottom w:val="single" w:sz="4" w:space="0" w:color="auto"/>
              <w:right w:val="single" w:sz="4" w:space="0" w:color="auto"/>
            </w:tcBorders>
            <w:shd w:val="clear" w:color="auto" w:fill="auto"/>
            <w:noWrap/>
            <w:vAlign w:val="bottom"/>
            <w:hideMark/>
          </w:tcPr>
          <w:p w14:paraId="582AD45A" w14:textId="26E3D464" w:rsidR="004F4AE0" w:rsidRPr="004F4AE0" w:rsidRDefault="004F4AE0" w:rsidP="004F4AE0">
            <w:pPr>
              <w:rPr>
                <w:rFonts w:ascii="Arial" w:hAnsi="Arial"/>
                <w:sz w:val="22"/>
              </w:rPr>
            </w:pPr>
            <w:r w:rsidRPr="004F4AE0">
              <w:rPr>
                <w:rFonts w:ascii="Arial" w:hAnsi="Arial"/>
                <w:sz w:val="22"/>
              </w:rPr>
              <w:t xml:space="preserve">Ms T Luckett </w:t>
            </w:r>
            <w:r w:rsidR="00504850">
              <w:rPr>
                <w:rFonts w:ascii="Arial" w:hAnsi="Arial"/>
                <w:sz w:val="22"/>
              </w:rPr>
              <w:t>–</w:t>
            </w:r>
            <w:r w:rsidRPr="004F4AE0">
              <w:rPr>
                <w:rFonts w:ascii="Arial" w:hAnsi="Arial"/>
                <w:sz w:val="22"/>
              </w:rPr>
              <w:t xml:space="preserve"> Director of Nursing &amp; Allied Health Professions</w:t>
            </w:r>
          </w:p>
        </w:tc>
        <w:tc>
          <w:tcPr>
            <w:tcW w:w="2126" w:type="dxa"/>
            <w:tcBorders>
              <w:top w:val="nil"/>
              <w:left w:val="nil"/>
              <w:bottom w:val="single" w:sz="4" w:space="0" w:color="auto"/>
              <w:right w:val="single" w:sz="4" w:space="0" w:color="auto"/>
            </w:tcBorders>
            <w:shd w:val="clear" w:color="auto" w:fill="auto"/>
            <w:noWrap/>
            <w:vAlign w:val="bottom"/>
            <w:hideMark/>
          </w:tcPr>
          <w:p w14:paraId="7E21750E" w14:textId="7AF55C59" w:rsidR="004F4AE0" w:rsidRPr="004F4AE0" w:rsidRDefault="004F4AE0" w:rsidP="004F4AE0">
            <w:pPr>
              <w:jc w:val="center"/>
              <w:rPr>
                <w:rFonts w:ascii="Arial" w:hAnsi="Arial"/>
                <w:sz w:val="22"/>
              </w:rPr>
            </w:pPr>
            <w:r w:rsidRPr="004F4AE0">
              <w:rPr>
                <w:rFonts w:ascii="Arial" w:hAnsi="Arial"/>
                <w:sz w:val="22"/>
              </w:rPr>
              <w:t xml:space="preserve">50 </w:t>
            </w:r>
            <w:r w:rsidR="00504850">
              <w:rPr>
                <w:rFonts w:ascii="Arial" w:hAnsi="Arial"/>
                <w:sz w:val="22"/>
              </w:rPr>
              <w:t>–</w:t>
            </w:r>
            <w:r w:rsidRPr="004F4AE0">
              <w:rPr>
                <w:rFonts w:ascii="Arial" w:hAnsi="Arial"/>
                <w:sz w:val="22"/>
              </w:rPr>
              <w:t xml:space="preserve"> 55</w:t>
            </w:r>
          </w:p>
        </w:tc>
        <w:tc>
          <w:tcPr>
            <w:tcW w:w="2126" w:type="dxa"/>
            <w:tcBorders>
              <w:top w:val="nil"/>
              <w:left w:val="nil"/>
              <w:bottom w:val="single" w:sz="4" w:space="0" w:color="auto"/>
              <w:right w:val="single" w:sz="4" w:space="0" w:color="auto"/>
            </w:tcBorders>
            <w:shd w:val="clear" w:color="auto" w:fill="auto"/>
            <w:noWrap/>
            <w:vAlign w:val="bottom"/>
            <w:hideMark/>
          </w:tcPr>
          <w:p w14:paraId="64949DA8" w14:textId="77777777" w:rsidR="004F4AE0" w:rsidRPr="004F4AE0" w:rsidRDefault="004F4AE0" w:rsidP="004F4AE0">
            <w:pPr>
              <w:jc w:val="center"/>
              <w:rPr>
                <w:rFonts w:ascii="Arial" w:hAnsi="Arial"/>
                <w:sz w:val="22"/>
              </w:rPr>
            </w:pPr>
            <w:r w:rsidRPr="004F4AE0">
              <w:rPr>
                <w:rFonts w:ascii="Arial" w:hAnsi="Arial"/>
                <w:sz w:val="22"/>
              </w:rPr>
              <w:t>55 -60</w:t>
            </w:r>
          </w:p>
        </w:tc>
        <w:tc>
          <w:tcPr>
            <w:tcW w:w="2127" w:type="dxa"/>
            <w:tcBorders>
              <w:top w:val="nil"/>
              <w:left w:val="nil"/>
              <w:bottom w:val="single" w:sz="4" w:space="0" w:color="auto"/>
              <w:right w:val="single" w:sz="4" w:space="0" w:color="auto"/>
            </w:tcBorders>
            <w:shd w:val="clear" w:color="auto" w:fill="auto"/>
            <w:noWrap/>
            <w:vAlign w:val="bottom"/>
            <w:hideMark/>
          </w:tcPr>
          <w:p w14:paraId="347134BC" w14:textId="2CC07948" w:rsidR="004F4AE0" w:rsidRPr="004F4AE0" w:rsidRDefault="004F4AE0" w:rsidP="004F4AE0">
            <w:pPr>
              <w:jc w:val="center"/>
              <w:rPr>
                <w:rFonts w:ascii="Arial" w:hAnsi="Arial"/>
                <w:sz w:val="22"/>
              </w:rPr>
            </w:pPr>
            <w:r w:rsidRPr="004F4AE0">
              <w:rPr>
                <w:rFonts w:ascii="Arial" w:hAnsi="Arial"/>
                <w:sz w:val="22"/>
              </w:rPr>
              <w:t xml:space="preserve">2.5 </w:t>
            </w:r>
            <w:r w:rsidR="00504850">
              <w:rPr>
                <w:rFonts w:ascii="Arial" w:hAnsi="Arial"/>
                <w:sz w:val="22"/>
              </w:rPr>
              <w:t>–</w:t>
            </w:r>
            <w:r w:rsidRPr="004F4AE0">
              <w:rPr>
                <w:rFonts w:ascii="Arial" w:hAnsi="Arial"/>
                <w:sz w:val="22"/>
              </w:rPr>
              <w:t xml:space="preserve"> 5.0</w:t>
            </w:r>
          </w:p>
        </w:tc>
      </w:tr>
      <w:tr w:rsidR="004F4AE0" w:rsidRPr="004F4AE0" w14:paraId="29CB614C" w14:textId="77777777" w:rsidTr="004F4AE0">
        <w:trPr>
          <w:trHeight w:val="260"/>
        </w:trPr>
        <w:tc>
          <w:tcPr>
            <w:tcW w:w="9067" w:type="dxa"/>
            <w:tcBorders>
              <w:top w:val="nil"/>
              <w:left w:val="single" w:sz="4" w:space="0" w:color="auto"/>
              <w:bottom w:val="single" w:sz="4" w:space="0" w:color="auto"/>
              <w:right w:val="single" w:sz="4" w:space="0" w:color="auto"/>
            </w:tcBorders>
            <w:shd w:val="clear" w:color="auto" w:fill="auto"/>
            <w:noWrap/>
            <w:vAlign w:val="bottom"/>
            <w:hideMark/>
          </w:tcPr>
          <w:p w14:paraId="1D06282C" w14:textId="75C5FEF5" w:rsidR="004F4AE0" w:rsidRPr="004F4AE0" w:rsidRDefault="004F4AE0" w:rsidP="004F4AE0">
            <w:pPr>
              <w:rPr>
                <w:rFonts w:ascii="Arial" w:hAnsi="Arial"/>
                <w:sz w:val="22"/>
              </w:rPr>
            </w:pPr>
            <w:r w:rsidRPr="004F4AE0">
              <w:rPr>
                <w:rFonts w:ascii="Arial" w:hAnsi="Arial"/>
                <w:sz w:val="22"/>
              </w:rPr>
              <w:t xml:space="preserve">Ms S Needham </w:t>
            </w:r>
            <w:r w:rsidR="00504850">
              <w:rPr>
                <w:rFonts w:ascii="Arial" w:hAnsi="Arial"/>
                <w:sz w:val="22"/>
              </w:rPr>
              <w:t>–</w:t>
            </w:r>
            <w:r w:rsidRPr="004F4AE0">
              <w:rPr>
                <w:rFonts w:ascii="Arial" w:hAnsi="Arial"/>
                <w:sz w:val="22"/>
              </w:rPr>
              <w:t xml:space="preserve"> Director of Nursing &amp; Allied Health Professions</w:t>
            </w:r>
          </w:p>
        </w:tc>
        <w:tc>
          <w:tcPr>
            <w:tcW w:w="2126" w:type="dxa"/>
            <w:tcBorders>
              <w:top w:val="nil"/>
              <w:left w:val="nil"/>
              <w:bottom w:val="single" w:sz="4" w:space="0" w:color="auto"/>
              <w:right w:val="single" w:sz="4" w:space="0" w:color="auto"/>
            </w:tcBorders>
            <w:shd w:val="clear" w:color="auto" w:fill="auto"/>
            <w:noWrap/>
            <w:vAlign w:val="bottom"/>
            <w:hideMark/>
          </w:tcPr>
          <w:p w14:paraId="103FE6CB" w14:textId="011E107A" w:rsidR="004F4AE0" w:rsidRPr="004F4AE0" w:rsidRDefault="004F4AE0" w:rsidP="004F4AE0">
            <w:pPr>
              <w:jc w:val="center"/>
              <w:rPr>
                <w:rFonts w:ascii="Arial" w:hAnsi="Arial"/>
                <w:sz w:val="22"/>
              </w:rPr>
            </w:pPr>
            <w:r w:rsidRPr="004F4AE0">
              <w:rPr>
                <w:rFonts w:ascii="Arial" w:hAnsi="Arial"/>
                <w:sz w:val="22"/>
              </w:rPr>
              <w:t xml:space="preserve">25 </w:t>
            </w:r>
            <w:r w:rsidR="00504850">
              <w:rPr>
                <w:rFonts w:ascii="Arial" w:hAnsi="Arial"/>
                <w:sz w:val="22"/>
              </w:rPr>
              <w:t>–</w:t>
            </w:r>
            <w:r w:rsidRPr="004F4AE0">
              <w:rPr>
                <w:rFonts w:ascii="Arial" w:hAnsi="Arial"/>
                <w:sz w:val="22"/>
              </w:rPr>
              <w:t xml:space="preserve"> 30</w:t>
            </w:r>
          </w:p>
        </w:tc>
        <w:tc>
          <w:tcPr>
            <w:tcW w:w="2126" w:type="dxa"/>
            <w:tcBorders>
              <w:top w:val="nil"/>
              <w:left w:val="nil"/>
              <w:bottom w:val="single" w:sz="4" w:space="0" w:color="auto"/>
              <w:right w:val="single" w:sz="4" w:space="0" w:color="auto"/>
            </w:tcBorders>
            <w:shd w:val="clear" w:color="auto" w:fill="auto"/>
            <w:noWrap/>
            <w:vAlign w:val="bottom"/>
            <w:hideMark/>
          </w:tcPr>
          <w:p w14:paraId="7E85C62B" w14:textId="0E02A65A" w:rsidR="004F4AE0" w:rsidRPr="004F4AE0" w:rsidRDefault="004F4AE0" w:rsidP="004F4AE0">
            <w:pPr>
              <w:jc w:val="center"/>
              <w:rPr>
                <w:rFonts w:ascii="Arial" w:hAnsi="Arial"/>
                <w:sz w:val="22"/>
              </w:rPr>
            </w:pPr>
            <w:r w:rsidRPr="004F4AE0">
              <w:rPr>
                <w:rFonts w:ascii="Arial" w:hAnsi="Arial"/>
                <w:sz w:val="22"/>
              </w:rPr>
              <w:t xml:space="preserve">30 </w:t>
            </w:r>
            <w:r w:rsidR="00504850">
              <w:rPr>
                <w:rFonts w:ascii="Arial" w:hAnsi="Arial"/>
                <w:sz w:val="22"/>
              </w:rPr>
              <w:t>–</w:t>
            </w:r>
            <w:r w:rsidRPr="004F4AE0">
              <w:rPr>
                <w:rFonts w:ascii="Arial" w:hAnsi="Arial"/>
                <w:sz w:val="22"/>
              </w:rPr>
              <w:t xml:space="preserve"> 35</w:t>
            </w:r>
          </w:p>
        </w:tc>
        <w:tc>
          <w:tcPr>
            <w:tcW w:w="2127" w:type="dxa"/>
            <w:tcBorders>
              <w:top w:val="nil"/>
              <w:left w:val="nil"/>
              <w:bottom w:val="single" w:sz="4" w:space="0" w:color="auto"/>
              <w:right w:val="single" w:sz="4" w:space="0" w:color="auto"/>
            </w:tcBorders>
            <w:shd w:val="clear" w:color="auto" w:fill="auto"/>
            <w:noWrap/>
            <w:vAlign w:val="bottom"/>
            <w:hideMark/>
          </w:tcPr>
          <w:p w14:paraId="6D106A50" w14:textId="2461FAC8" w:rsidR="004F4AE0" w:rsidRPr="004F4AE0" w:rsidRDefault="004F4AE0" w:rsidP="004F4AE0">
            <w:pPr>
              <w:jc w:val="center"/>
              <w:rPr>
                <w:rFonts w:ascii="Arial" w:hAnsi="Arial"/>
                <w:sz w:val="22"/>
              </w:rPr>
            </w:pPr>
            <w:r w:rsidRPr="004F4AE0">
              <w:rPr>
                <w:rFonts w:ascii="Arial" w:hAnsi="Arial"/>
                <w:sz w:val="22"/>
              </w:rPr>
              <w:t xml:space="preserve">0.0 </w:t>
            </w:r>
            <w:r w:rsidR="00504850">
              <w:rPr>
                <w:rFonts w:ascii="Arial" w:hAnsi="Arial"/>
                <w:sz w:val="22"/>
              </w:rPr>
              <w:t>–</w:t>
            </w:r>
            <w:r w:rsidRPr="004F4AE0">
              <w:rPr>
                <w:rFonts w:ascii="Arial" w:hAnsi="Arial"/>
                <w:sz w:val="22"/>
              </w:rPr>
              <w:t xml:space="preserve"> 2.5</w:t>
            </w:r>
          </w:p>
        </w:tc>
      </w:tr>
      <w:tr w:rsidR="004F4AE0" w:rsidRPr="004F4AE0" w14:paraId="07D3D7AF" w14:textId="77777777" w:rsidTr="004F4AE0">
        <w:trPr>
          <w:trHeight w:val="260"/>
        </w:trPr>
        <w:tc>
          <w:tcPr>
            <w:tcW w:w="9067" w:type="dxa"/>
            <w:tcBorders>
              <w:top w:val="nil"/>
              <w:left w:val="single" w:sz="4" w:space="0" w:color="auto"/>
              <w:bottom w:val="single" w:sz="4" w:space="0" w:color="auto"/>
              <w:right w:val="single" w:sz="4" w:space="0" w:color="auto"/>
            </w:tcBorders>
            <w:shd w:val="clear" w:color="auto" w:fill="auto"/>
            <w:noWrap/>
            <w:vAlign w:val="bottom"/>
            <w:hideMark/>
          </w:tcPr>
          <w:p w14:paraId="7A60592D" w14:textId="3CE72106" w:rsidR="004F4AE0" w:rsidRPr="004F4AE0" w:rsidRDefault="004F4AE0" w:rsidP="004F4AE0">
            <w:pPr>
              <w:rPr>
                <w:rFonts w:ascii="Arial" w:hAnsi="Arial"/>
                <w:sz w:val="22"/>
              </w:rPr>
            </w:pPr>
            <w:r w:rsidRPr="004F4AE0">
              <w:rPr>
                <w:rFonts w:ascii="Arial" w:hAnsi="Arial"/>
                <w:sz w:val="22"/>
              </w:rPr>
              <w:t xml:space="preserve">Ms L Wickham </w:t>
            </w:r>
            <w:r w:rsidR="00504850">
              <w:rPr>
                <w:rFonts w:ascii="Arial" w:hAnsi="Arial"/>
                <w:sz w:val="22"/>
              </w:rPr>
              <w:t>–</w:t>
            </w:r>
            <w:r w:rsidRPr="004F4AE0">
              <w:rPr>
                <w:rFonts w:ascii="Arial" w:hAnsi="Arial"/>
                <w:sz w:val="22"/>
              </w:rPr>
              <w:t xml:space="preserve"> Medical Director </w:t>
            </w:r>
          </w:p>
        </w:tc>
        <w:tc>
          <w:tcPr>
            <w:tcW w:w="2126" w:type="dxa"/>
            <w:tcBorders>
              <w:top w:val="nil"/>
              <w:left w:val="nil"/>
              <w:bottom w:val="single" w:sz="4" w:space="0" w:color="auto"/>
              <w:right w:val="single" w:sz="4" w:space="0" w:color="auto"/>
            </w:tcBorders>
            <w:shd w:val="clear" w:color="auto" w:fill="auto"/>
            <w:noWrap/>
            <w:vAlign w:val="bottom"/>
            <w:hideMark/>
          </w:tcPr>
          <w:p w14:paraId="5D4A18DE" w14:textId="0AAA99CA" w:rsidR="004F4AE0" w:rsidRPr="004F4AE0" w:rsidRDefault="004F4AE0" w:rsidP="004F4AE0">
            <w:pPr>
              <w:jc w:val="center"/>
              <w:rPr>
                <w:rFonts w:ascii="Arial" w:hAnsi="Arial"/>
                <w:sz w:val="22"/>
              </w:rPr>
            </w:pPr>
            <w:r w:rsidRPr="004F4AE0">
              <w:rPr>
                <w:rFonts w:ascii="Arial" w:hAnsi="Arial"/>
                <w:sz w:val="22"/>
              </w:rPr>
              <w:t xml:space="preserve">40 </w:t>
            </w:r>
            <w:r w:rsidR="00504850">
              <w:rPr>
                <w:rFonts w:ascii="Arial" w:hAnsi="Arial"/>
                <w:sz w:val="22"/>
              </w:rPr>
              <w:t>–</w:t>
            </w:r>
            <w:r w:rsidRPr="004F4AE0">
              <w:rPr>
                <w:rFonts w:ascii="Arial" w:hAnsi="Arial"/>
                <w:sz w:val="22"/>
              </w:rPr>
              <w:t xml:space="preserve"> 45</w:t>
            </w:r>
          </w:p>
        </w:tc>
        <w:tc>
          <w:tcPr>
            <w:tcW w:w="2126" w:type="dxa"/>
            <w:tcBorders>
              <w:top w:val="nil"/>
              <w:left w:val="nil"/>
              <w:bottom w:val="single" w:sz="4" w:space="0" w:color="auto"/>
              <w:right w:val="single" w:sz="4" w:space="0" w:color="auto"/>
            </w:tcBorders>
            <w:shd w:val="clear" w:color="auto" w:fill="auto"/>
            <w:noWrap/>
            <w:vAlign w:val="bottom"/>
            <w:hideMark/>
          </w:tcPr>
          <w:p w14:paraId="7EA8F0DC" w14:textId="546A03A1" w:rsidR="004F4AE0" w:rsidRPr="004F4AE0" w:rsidRDefault="004F4AE0" w:rsidP="004F4AE0">
            <w:pPr>
              <w:jc w:val="center"/>
              <w:rPr>
                <w:rFonts w:ascii="Arial" w:hAnsi="Arial"/>
                <w:sz w:val="22"/>
              </w:rPr>
            </w:pPr>
            <w:r w:rsidRPr="004F4AE0">
              <w:rPr>
                <w:rFonts w:ascii="Arial" w:hAnsi="Arial"/>
                <w:sz w:val="22"/>
              </w:rPr>
              <w:t xml:space="preserve">40 </w:t>
            </w:r>
            <w:r w:rsidR="00504850">
              <w:rPr>
                <w:rFonts w:ascii="Arial" w:hAnsi="Arial"/>
                <w:sz w:val="22"/>
              </w:rPr>
              <w:t>–</w:t>
            </w:r>
            <w:r w:rsidRPr="004F4AE0">
              <w:rPr>
                <w:rFonts w:ascii="Arial" w:hAnsi="Arial"/>
                <w:sz w:val="22"/>
              </w:rPr>
              <w:t xml:space="preserve"> 45</w:t>
            </w:r>
          </w:p>
        </w:tc>
        <w:tc>
          <w:tcPr>
            <w:tcW w:w="2127" w:type="dxa"/>
            <w:tcBorders>
              <w:top w:val="nil"/>
              <w:left w:val="nil"/>
              <w:bottom w:val="single" w:sz="4" w:space="0" w:color="auto"/>
              <w:right w:val="single" w:sz="4" w:space="0" w:color="auto"/>
            </w:tcBorders>
            <w:shd w:val="clear" w:color="auto" w:fill="auto"/>
            <w:noWrap/>
            <w:vAlign w:val="bottom"/>
            <w:hideMark/>
          </w:tcPr>
          <w:p w14:paraId="322D1D8F" w14:textId="3C375F47" w:rsidR="004F4AE0" w:rsidRPr="004F4AE0" w:rsidRDefault="004F4AE0" w:rsidP="004F4AE0">
            <w:pPr>
              <w:jc w:val="center"/>
              <w:rPr>
                <w:rFonts w:ascii="Arial" w:hAnsi="Arial"/>
                <w:sz w:val="22"/>
              </w:rPr>
            </w:pPr>
            <w:r w:rsidRPr="004F4AE0">
              <w:rPr>
                <w:rFonts w:ascii="Arial" w:hAnsi="Arial"/>
                <w:sz w:val="22"/>
              </w:rPr>
              <w:t xml:space="preserve">0.0 </w:t>
            </w:r>
            <w:r w:rsidR="00504850">
              <w:rPr>
                <w:rFonts w:ascii="Arial" w:hAnsi="Arial"/>
                <w:sz w:val="22"/>
              </w:rPr>
              <w:t>–</w:t>
            </w:r>
            <w:r w:rsidRPr="004F4AE0">
              <w:rPr>
                <w:rFonts w:ascii="Arial" w:hAnsi="Arial"/>
                <w:sz w:val="22"/>
              </w:rPr>
              <w:t xml:space="preserve"> 2.5</w:t>
            </w:r>
          </w:p>
        </w:tc>
      </w:tr>
      <w:tr w:rsidR="004F4AE0" w:rsidRPr="004F4AE0" w14:paraId="61D4A367" w14:textId="77777777" w:rsidTr="004F4AE0">
        <w:trPr>
          <w:trHeight w:val="260"/>
        </w:trPr>
        <w:tc>
          <w:tcPr>
            <w:tcW w:w="9067" w:type="dxa"/>
            <w:tcBorders>
              <w:top w:val="nil"/>
              <w:left w:val="single" w:sz="4" w:space="0" w:color="auto"/>
              <w:bottom w:val="single" w:sz="4" w:space="0" w:color="auto"/>
              <w:right w:val="single" w:sz="4" w:space="0" w:color="auto"/>
            </w:tcBorders>
            <w:shd w:val="clear" w:color="auto" w:fill="auto"/>
            <w:noWrap/>
            <w:vAlign w:val="bottom"/>
            <w:hideMark/>
          </w:tcPr>
          <w:p w14:paraId="65061B28" w14:textId="3571431E" w:rsidR="004F4AE0" w:rsidRPr="004F4AE0" w:rsidRDefault="004F4AE0" w:rsidP="004F4AE0">
            <w:pPr>
              <w:rPr>
                <w:rFonts w:ascii="Arial" w:hAnsi="Arial"/>
                <w:sz w:val="22"/>
              </w:rPr>
            </w:pPr>
            <w:r w:rsidRPr="004F4AE0">
              <w:rPr>
                <w:rFonts w:ascii="Arial" w:hAnsi="Arial"/>
                <w:sz w:val="22"/>
              </w:rPr>
              <w:t xml:space="preserve">Ms J Moss Director of Strategy &amp; </w:t>
            </w:r>
            <w:r w:rsidR="009E0400">
              <w:rPr>
                <w:rFonts w:ascii="Arial" w:hAnsi="Arial"/>
                <w:sz w:val="22"/>
              </w:rPr>
              <w:t>B</w:t>
            </w:r>
            <w:r w:rsidR="00504850">
              <w:rPr>
                <w:rFonts w:ascii="Arial" w:hAnsi="Arial"/>
                <w:sz w:val="22"/>
              </w:rPr>
              <w:t>usiness</w:t>
            </w:r>
            <w:r w:rsidRPr="004F4AE0">
              <w:rPr>
                <w:rFonts w:ascii="Arial" w:hAnsi="Arial"/>
                <w:sz w:val="22"/>
              </w:rPr>
              <w:t xml:space="preserve"> Development </w:t>
            </w:r>
          </w:p>
        </w:tc>
        <w:tc>
          <w:tcPr>
            <w:tcW w:w="2126" w:type="dxa"/>
            <w:tcBorders>
              <w:top w:val="nil"/>
              <w:left w:val="nil"/>
              <w:bottom w:val="single" w:sz="4" w:space="0" w:color="auto"/>
              <w:right w:val="single" w:sz="4" w:space="0" w:color="auto"/>
            </w:tcBorders>
            <w:shd w:val="clear" w:color="auto" w:fill="auto"/>
            <w:noWrap/>
            <w:vAlign w:val="bottom"/>
            <w:hideMark/>
          </w:tcPr>
          <w:p w14:paraId="364CAB6B" w14:textId="77777777" w:rsidR="004F4AE0" w:rsidRPr="004F4AE0" w:rsidRDefault="004F4AE0" w:rsidP="004F4AE0">
            <w:pPr>
              <w:jc w:val="center"/>
              <w:rPr>
                <w:rFonts w:ascii="Arial" w:hAnsi="Arial"/>
                <w:sz w:val="22"/>
              </w:rPr>
            </w:pPr>
            <w:r w:rsidRPr="004F4AE0">
              <w:rPr>
                <w:rFonts w:ascii="Arial" w:hAnsi="Arial"/>
                <w:sz w:val="22"/>
              </w:rPr>
              <w:t>35- 40</w:t>
            </w:r>
          </w:p>
        </w:tc>
        <w:tc>
          <w:tcPr>
            <w:tcW w:w="2126" w:type="dxa"/>
            <w:tcBorders>
              <w:top w:val="nil"/>
              <w:left w:val="nil"/>
              <w:bottom w:val="single" w:sz="4" w:space="0" w:color="auto"/>
              <w:right w:val="single" w:sz="4" w:space="0" w:color="auto"/>
            </w:tcBorders>
            <w:shd w:val="clear" w:color="auto" w:fill="auto"/>
            <w:noWrap/>
            <w:vAlign w:val="bottom"/>
            <w:hideMark/>
          </w:tcPr>
          <w:p w14:paraId="3658F233" w14:textId="3E984980" w:rsidR="004F4AE0" w:rsidRPr="004F4AE0" w:rsidRDefault="004F4AE0" w:rsidP="004F4AE0">
            <w:pPr>
              <w:jc w:val="center"/>
              <w:rPr>
                <w:rFonts w:ascii="Arial" w:hAnsi="Arial"/>
                <w:sz w:val="22"/>
              </w:rPr>
            </w:pPr>
            <w:r w:rsidRPr="004F4AE0">
              <w:rPr>
                <w:rFonts w:ascii="Arial" w:hAnsi="Arial"/>
                <w:sz w:val="22"/>
              </w:rPr>
              <w:t xml:space="preserve">35 </w:t>
            </w:r>
            <w:r w:rsidR="00504850">
              <w:rPr>
                <w:rFonts w:ascii="Arial" w:hAnsi="Arial"/>
                <w:sz w:val="22"/>
              </w:rPr>
              <w:t>–</w:t>
            </w:r>
            <w:r w:rsidRPr="004F4AE0">
              <w:rPr>
                <w:rFonts w:ascii="Arial" w:hAnsi="Arial"/>
                <w:sz w:val="22"/>
              </w:rPr>
              <w:t xml:space="preserve"> 40</w:t>
            </w:r>
          </w:p>
        </w:tc>
        <w:tc>
          <w:tcPr>
            <w:tcW w:w="2127" w:type="dxa"/>
            <w:tcBorders>
              <w:top w:val="nil"/>
              <w:left w:val="nil"/>
              <w:bottom w:val="single" w:sz="4" w:space="0" w:color="auto"/>
              <w:right w:val="single" w:sz="4" w:space="0" w:color="auto"/>
            </w:tcBorders>
            <w:shd w:val="clear" w:color="auto" w:fill="auto"/>
            <w:noWrap/>
            <w:vAlign w:val="bottom"/>
            <w:hideMark/>
          </w:tcPr>
          <w:p w14:paraId="0D506F90" w14:textId="43881B94" w:rsidR="004F4AE0" w:rsidRPr="004F4AE0" w:rsidRDefault="004F4AE0" w:rsidP="004F4AE0">
            <w:pPr>
              <w:jc w:val="center"/>
              <w:rPr>
                <w:rFonts w:ascii="Arial" w:hAnsi="Arial"/>
                <w:sz w:val="22"/>
              </w:rPr>
            </w:pPr>
            <w:r w:rsidRPr="004F4AE0">
              <w:rPr>
                <w:rFonts w:ascii="Arial" w:hAnsi="Arial"/>
                <w:sz w:val="22"/>
              </w:rPr>
              <w:t xml:space="preserve">2.5 </w:t>
            </w:r>
            <w:r w:rsidR="00504850">
              <w:rPr>
                <w:rFonts w:ascii="Arial" w:hAnsi="Arial"/>
                <w:sz w:val="22"/>
              </w:rPr>
              <w:t>–</w:t>
            </w:r>
            <w:r w:rsidRPr="004F4AE0">
              <w:rPr>
                <w:rFonts w:ascii="Arial" w:hAnsi="Arial"/>
                <w:sz w:val="22"/>
              </w:rPr>
              <w:t xml:space="preserve"> 5.0</w:t>
            </w:r>
          </w:p>
        </w:tc>
      </w:tr>
      <w:tr w:rsidR="004F4AE0" w:rsidRPr="004F4AE0" w14:paraId="1617A842" w14:textId="77777777" w:rsidTr="004F4AE0">
        <w:trPr>
          <w:trHeight w:val="260"/>
        </w:trPr>
        <w:tc>
          <w:tcPr>
            <w:tcW w:w="9067" w:type="dxa"/>
            <w:tcBorders>
              <w:top w:val="nil"/>
              <w:left w:val="single" w:sz="4" w:space="0" w:color="auto"/>
              <w:bottom w:val="single" w:sz="4" w:space="0" w:color="auto"/>
              <w:right w:val="single" w:sz="4" w:space="0" w:color="auto"/>
            </w:tcBorders>
            <w:shd w:val="clear" w:color="auto" w:fill="auto"/>
            <w:noWrap/>
            <w:vAlign w:val="bottom"/>
            <w:hideMark/>
          </w:tcPr>
          <w:p w14:paraId="358D9A2F" w14:textId="4DABACE6" w:rsidR="004F4AE0" w:rsidRPr="004F4AE0" w:rsidRDefault="004F4AE0" w:rsidP="004F4AE0">
            <w:pPr>
              <w:rPr>
                <w:rFonts w:ascii="Arial" w:hAnsi="Arial"/>
                <w:sz w:val="22"/>
              </w:rPr>
            </w:pPr>
            <w:r w:rsidRPr="004F4AE0">
              <w:rPr>
                <w:rFonts w:ascii="Arial" w:hAnsi="Arial"/>
                <w:sz w:val="22"/>
              </w:rPr>
              <w:t xml:space="preserve">Mr J Spencer </w:t>
            </w:r>
            <w:r w:rsidR="00504850">
              <w:rPr>
                <w:rFonts w:ascii="Arial" w:hAnsi="Arial"/>
                <w:sz w:val="22"/>
              </w:rPr>
              <w:t>–</w:t>
            </w:r>
            <w:r w:rsidRPr="004F4AE0">
              <w:rPr>
                <w:rFonts w:ascii="Arial" w:hAnsi="Arial"/>
                <w:sz w:val="22"/>
              </w:rPr>
              <w:t xml:space="preserve"> Chief Operating Officer</w:t>
            </w:r>
          </w:p>
        </w:tc>
        <w:tc>
          <w:tcPr>
            <w:tcW w:w="2126" w:type="dxa"/>
            <w:tcBorders>
              <w:top w:val="nil"/>
              <w:left w:val="nil"/>
              <w:bottom w:val="single" w:sz="4" w:space="0" w:color="auto"/>
              <w:right w:val="single" w:sz="4" w:space="0" w:color="auto"/>
            </w:tcBorders>
            <w:shd w:val="clear" w:color="auto" w:fill="auto"/>
            <w:noWrap/>
            <w:vAlign w:val="bottom"/>
            <w:hideMark/>
          </w:tcPr>
          <w:p w14:paraId="1460C8E8" w14:textId="0F0CEDE2" w:rsidR="004F4AE0" w:rsidRPr="004F4AE0" w:rsidRDefault="004F4AE0" w:rsidP="004F4AE0">
            <w:pPr>
              <w:jc w:val="center"/>
              <w:rPr>
                <w:rFonts w:ascii="Arial" w:hAnsi="Arial"/>
                <w:sz w:val="22"/>
              </w:rPr>
            </w:pPr>
            <w:r w:rsidRPr="004F4AE0">
              <w:rPr>
                <w:rFonts w:ascii="Arial" w:hAnsi="Arial"/>
                <w:sz w:val="22"/>
              </w:rPr>
              <w:t xml:space="preserve">25 </w:t>
            </w:r>
            <w:r w:rsidR="00504850">
              <w:rPr>
                <w:rFonts w:ascii="Arial" w:hAnsi="Arial"/>
                <w:sz w:val="22"/>
              </w:rPr>
              <w:t>–</w:t>
            </w:r>
            <w:r w:rsidRPr="004F4AE0">
              <w:rPr>
                <w:rFonts w:ascii="Arial" w:hAnsi="Arial"/>
                <w:sz w:val="22"/>
              </w:rPr>
              <w:t xml:space="preserve"> 30</w:t>
            </w:r>
          </w:p>
        </w:tc>
        <w:tc>
          <w:tcPr>
            <w:tcW w:w="2126" w:type="dxa"/>
            <w:tcBorders>
              <w:top w:val="nil"/>
              <w:left w:val="nil"/>
              <w:bottom w:val="single" w:sz="4" w:space="0" w:color="auto"/>
              <w:right w:val="single" w:sz="4" w:space="0" w:color="auto"/>
            </w:tcBorders>
            <w:shd w:val="clear" w:color="auto" w:fill="auto"/>
            <w:noWrap/>
            <w:vAlign w:val="bottom"/>
            <w:hideMark/>
          </w:tcPr>
          <w:p w14:paraId="600818DD" w14:textId="1619E5C4" w:rsidR="004F4AE0" w:rsidRPr="004F4AE0" w:rsidRDefault="004F4AE0" w:rsidP="004F4AE0">
            <w:pPr>
              <w:jc w:val="center"/>
              <w:rPr>
                <w:rFonts w:ascii="Arial" w:hAnsi="Arial"/>
                <w:sz w:val="22"/>
              </w:rPr>
            </w:pPr>
            <w:r w:rsidRPr="004F4AE0">
              <w:rPr>
                <w:rFonts w:ascii="Arial" w:hAnsi="Arial"/>
                <w:sz w:val="22"/>
              </w:rPr>
              <w:t xml:space="preserve">30 </w:t>
            </w:r>
            <w:r w:rsidR="00504850">
              <w:rPr>
                <w:rFonts w:ascii="Arial" w:hAnsi="Arial"/>
                <w:sz w:val="22"/>
              </w:rPr>
              <w:t>–</w:t>
            </w:r>
            <w:r w:rsidRPr="004F4AE0">
              <w:rPr>
                <w:rFonts w:ascii="Arial" w:hAnsi="Arial"/>
                <w:sz w:val="22"/>
              </w:rPr>
              <w:t xml:space="preserve"> 35</w:t>
            </w:r>
          </w:p>
        </w:tc>
        <w:tc>
          <w:tcPr>
            <w:tcW w:w="2127" w:type="dxa"/>
            <w:tcBorders>
              <w:top w:val="nil"/>
              <w:left w:val="nil"/>
              <w:bottom w:val="single" w:sz="4" w:space="0" w:color="auto"/>
              <w:right w:val="single" w:sz="4" w:space="0" w:color="auto"/>
            </w:tcBorders>
            <w:shd w:val="clear" w:color="auto" w:fill="auto"/>
            <w:noWrap/>
            <w:vAlign w:val="bottom"/>
            <w:hideMark/>
          </w:tcPr>
          <w:p w14:paraId="31AEB30C" w14:textId="0B813BE3" w:rsidR="004F4AE0" w:rsidRPr="004F4AE0" w:rsidRDefault="004F4AE0" w:rsidP="004F4AE0">
            <w:pPr>
              <w:jc w:val="center"/>
              <w:rPr>
                <w:rFonts w:ascii="Arial" w:hAnsi="Arial"/>
                <w:sz w:val="22"/>
              </w:rPr>
            </w:pPr>
            <w:r w:rsidRPr="004F4AE0">
              <w:rPr>
                <w:rFonts w:ascii="Arial" w:hAnsi="Arial"/>
                <w:sz w:val="22"/>
              </w:rPr>
              <w:t xml:space="preserve">0.0 </w:t>
            </w:r>
            <w:r w:rsidR="00504850">
              <w:rPr>
                <w:rFonts w:ascii="Arial" w:hAnsi="Arial"/>
                <w:sz w:val="22"/>
              </w:rPr>
              <w:t>–</w:t>
            </w:r>
            <w:r w:rsidRPr="004F4AE0">
              <w:rPr>
                <w:rFonts w:ascii="Arial" w:hAnsi="Arial"/>
                <w:sz w:val="22"/>
              </w:rPr>
              <w:t xml:space="preserve"> 2.5</w:t>
            </w:r>
          </w:p>
        </w:tc>
      </w:tr>
    </w:tbl>
    <w:p w14:paraId="2085DB77" w14:textId="77777777" w:rsidR="004F4AE0" w:rsidRDefault="004F4AE0" w:rsidP="00FB6278">
      <w:pPr>
        <w:pStyle w:val="MEHBoldheading1"/>
        <w:rPr>
          <w:b w:val="0"/>
          <w:bCs/>
          <w:sz w:val="22"/>
        </w:rPr>
      </w:pPr>
    </w:p>
    <w:tbl>
      <w:tblPr>
        <w:tblW w:w="15446" w:type="dxa"/>
        <w:tblLook w:val="04A0" w:firstRow="1" w:lastRow="0" w:firstColumn="1" w:lastColumn="0" w:noHBand="0" w:noVBand="1"/>
      </w:tblPr>
      <w:tblGrid>
        <w:gridCol w:w="9067"/>
        <w:gridCol w:w="2127"/>
        <w:gridCol w:w="2126"/>
        <w:gridCol w:w="2126"/>
      </w:tblGrid>
      <w:tr w:rsidR="00504850" w:rsidRPr="00504850" w14:paraId="7DCAE244" w14:textId="77777777" w:rsidTr="00504850">
        <w:trPr>
          <w:trHeight w:val="1040"/>
        </w:trPr>
        <w:tc>
          <w:tcPr>
            <w:tcW w:w="906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2F7FA8" w14:textId="75D3AD8F" w:rsidR="00504850" w:rsidRDefault="00504850" w:rsidP="00504850">
            <w:pPr>
              <w:rPr>
                <w:rFonts w:ascii="Arial" w:hAnsi="Arial"/>
                <w:b/>
                <w:bCs/>
                <w:sz w:val="22"/>
              </w:rPr>
            </w:pPr>
            <w:r w:rsidRPr="00504850">
              <w:rPr>
                <w:rFonts w:ascii="Arial" w:hAnsi="Arial"/>
                <w:b/>
                <w:bCs/>
                <w:sz w:val="22"/>
              </w:rPr>
              <w:t xml:space="preserve">Name and </w:t>
            </w:r>
            <w:r>
              <w:rPr>
                <w:rFonts w:ascii="Arial" w:hAnsi="Arial"/>
                <w:b/>
                <w:bCs/>
                <w:sz w:val="22"/>
              </w:rPr>
              <w:t>T</w:t>
            </w:r>
            <w:r w:rsidRPr="00504850">
              <w:rPr>
                <w:rFonts w:ascii="Arial" w:hAnsi="Arial"/>
                <w:b/>
                <w:bCs/>
                <w:sz w:val="22"/>
              </w:rPr>
              <w:t>itle</w:t>
            </w:r>
          </w:p>
          <w:p w14:paraId="0BFA1D61" w14:textId="77777777" w:rsidR="00504850" w:rsidRDefault="00504850" w:rsidP="00504850">
            <w:pPr>
              <w:rPr>
                <w:rFonts w:ascii="Arial" w:hAnsi="Arial"/>
                <w:b/>
                <w:bCs/>
                <w:sz w:val="22"/>
              </w:rPr>
            </w:pPr>
          </w:p>
          <w:p w14:paraId="33C40C5D" w14:textId="77777777" w:rsidR="00504850" w:rsidRDefault="00504850" w:rsidP="00504850">
            <w:pPr>
              <w:rPr>
                <w:rFonts w:ascii="Arial" w:hAnsi="Arial"/>
                <w:b/>
                <w:bCs/>
                <w:sz w:val="22"/>
              </w:rPr>
            </w:pPr>
          </w:p>
          <w:p w14:paraId="440656B8" w14:textId="77777777" w:rsidR="00504850" w:rsidRDefault="00504850" w:rsidP="00504850">
            <w:pPr>
              <w:rPr>
                <w:rFonts w:ascii="Arial" w:hAnsi="Arial"/>
                <w:b/>
                <w:bCs/>
                <w:sz w:val="22"/>
              </w:rPr>
            </w:pPr>
          </w:p>
          <w:p w14:paraId="38FCC842" w14:textId="77777777" w:rsidR="00504850" w:rsidRDefault="00504850" w:rsidP="00504850">
            <w:pPr>
              <w:rPr>
                <w:rFonts w:ascii="Arial" w:hAnsi="Arial"/>
                <w:b/>
                <w:bCs/>
                <w:sz w:val="22"/>
              </w:rPr>
            </w:pPr>
          </w:p>
          <w:p w14:paraId="300C45D3" w14:textId="4239A85D" w:rsidR="00504850" w:rsidRPr="00504850" w:rsidRDefault="00504850" w:rsidP="00504850">
            <w:pPr>
              <w:rPr>
                <w:rFonts w:ascii="Arial" w:hAnsi="Arial"/>
                <w:b/>
                <w:bCs/>
                <w:sz w:val="22"/>
              </w:rPr>
            </w:pPr>
          </w:p>
        </w:tc>
        <w:tc>
          <w:tcPr>
            <w:tcW w:w="2127" w:type="dxa"/>
            <w:tcBorders>
              <w:top w:val="single" w:sz="4" w:space="0" w:color="auto"/>
              <w:left w:val="nil"/>
              <w:bottom w:val="nil"/>
              <w:right w:val="single" w:sz="4" w:space="0" w:color="auto"/>
            </w:tcBorders>
            <w:shd w:val="clear" w:color="auto" w:fill="auto"/>
            <w:hideMark/>
          </w:tcPr>
          <w:p w14:paraId="61DF6E97" w14:textId="77777777" w:rsidR="00504850" w:rsidRPr="00504850" w:rsidRDefault="00504850" w:rsidP="00504850">
            <w:pPr>
              <w:jc w:val="center"/>
              <w:rPr>
                <w:rFonts w:ascii="Arial" w:hAnsi="Arial"/>
                <w:b/>
                <w:bCs/>
                <w:sz w:val="22"/>
              </w:rPr>
            </w:pPr>
            <w:r w:rsidRPr="00504850">
              <w:rPr>
                <w:rFonts w:ascii="Arial" w:hAnsi="Arial"/>
                <w:b/>
                <w:bCs/>
                <w:sz w:val="22"/>
              </w:rPr>
              <w:t xml:space="preserve">Value of automatic lump sums </w:t>
            </w:r>
            <w:proofErr w:type="gramStart"/>
            <w:r w:rsidRPr="00504850">
              <w:rPr>
                <w:rFonts w:ascii="Arial" w:hAnsi="Arial"/>
                <w:b/>
                <w:bCs/>
                <w:sz w:val="22"/>
              </w:rPr>
              <w:t>at</w:t>
            </w:r>
            <w:proofErr w:type="gramEnd"/>
            <w:r w:rsidRPr="00504850">
              <w:rPr>
                <w:rFonts w:ascii="Arial" w:hAnsi="Arial"/>
                <w:b/>
                <w:bCs/>
                <w:sz w:val="22"/>
              </w:rPr>
              <w:t xml:space="preserve"> 31 March 2021</w:t>
            </w:r>
          </w:p>
        </w:tc>
        <w:tc>
          <w:tcPr>
            <w:tcW w:w="2126" w:type="dxa"/>
            <w:tcBorders>
              <w:top w:val="single" w:sz="4" w:space="0" w:color="auto"/>
              <w:left w:val="nil"/>
              <w:bottom w:val="nil"/>
              <w:right w:val="single" w:sz="4" w:space="0" w:color="auto"/>
            </w:tcBorders>
            <w:shd w:val="clear" w:color="auto" w:fill="auto"/>
            <w:hideMark/>
          </w:tcPr>
          <w:p w14:paraId="53A286DF" w14:textId="77777777" w:rsidR="00504850" w:rsidRPr="00504850" w:rsidRDefault="00504850" w:rsidP="00504850">
            <w:pPr>
              <w:jc w:val="center"/>
              <w:rPr>
                <w:rFonts w:ascii="Arial" w:hAnsi="Arial"/>
                <w:b/>
                <w:bCs/>
                <w:sz w:val="22"/>
              </w:rPr>
            </w:pPr>
            <w:r w:rsidRPr="00504850">
              <w:rPr>
                <w:rFonts w:ascii="Arial" w:hAnsi="Arial"/>
                <w:b/>
                <w:bCs/>
                <w:sz w:val="22"/>
              </w:rPr>
              <w:t xml:space="preserve">Value of automatic lump sums </w:t>
            </w:r>
            <w:proofErr w:type="gramStart"/>
            <w:r w:rsidRPr="00504850">
              <w:rPr>
                <w:rFonts w:ascii="Arial" w:hAnsi="Arial"/>
                <w:b/>
                <w:bCs/>
                <w:sz w:val="22"/>
              </w:rPr>
              <w:t>at</w:t>
            </w:r>
            <w:proofErr w:type="gramEnd"/>
            <w:r w:rsidRPr="00504850">
              <w:rPr>
                <w:rFonts w:ascii="Arial" w:hAnsi="Arial"/>
                <w:b/>
                <w:bCs/>
                <w:sz w:val="22"/>
              </w:rPr>
              <w:t xml:space="preserve"> 31 March 2022</w:t>
            </w:r>
          </w:p>
        </w:tc>
        <w:tc>
          <w:tcPr>
            <w:tcW w:w="2126" w:type="dxa"/>
            <w:tcBorders>
              <w:top w:val="single" w:sz="4" w:space="0" w:color="auto"/>
              <w:left w:val="nil"/>
              <w:bottom w:val="nil"/>
              <w:right w:val="single" w:sz="4" w:space="0" w:color="auto"/>
            </w:tcBorders>
            <w:shd w:val="clear" w:color="auto" w:fill="auto"/>
            <w:hideMark/>
          </w:tcPr>
          <w:p w14:paraId="1D1D080F" w14:textId="77777777" w:rsidR="00504850" w:rsidRPr="00504850" w:rsidRDefault="00504850" w:rsidP="00504850">
            <w:pPr>
              <w:jc w:val="center"/>
              <w:rPr>
                <w:rFonts w:ascii="Arial" w:hAnsi="Arial"/>
                <w:b/>
                <w:bCs/>
                <w:sz w:val="22"/>
              </w:rPr>
            </w:pPr>
            <w:r w:rsidRPr="00504850">
              <w:rPr>
                <w:rFonts w:ascii="Arial" w:hAnsi="Arial"/>
                <w:b/>
                <w:bCs/>
                <w:sz w:val="22"/>
              </w:rPr>
              <w:t>Real increase in year in the value of automatic lump sums</w:t>
            </w:r>
          </w:p>
        </w:tc>
      </w:tr>
      <w:tr w:rsidR="00504850" w:rsidRPr="00504850" w14:paraId="6A70B522" w14:textId="77777777" w:rsidTr="00504850">
        <w:trPr>
          <w:trHeight w:val="520"/>
        </w:trPr>
        <w:tc>
          <w:tcPr>
            <w:tcW w:w="9067" w:type="dxa"/>
            <w:vMerge/>
            <w:tcBorders>
              <w:top w:val="single" w:sz="4" w:space="0" w:color="auto"/>
              <w:left w:val="single" w:sz="4" w:space="0" w:color="auto"/>
              <w:bottom w:val="single" w:sz="4" w:space="0" w:color="000000"/>
              <w:right w:val="single" w:sz="4" w:space="0" w:color="auto"/>
            </w:tcBorders>
            <w:vAlign w:val="center"/>
            <w:hideMark/>
          </w:tcPr>
          <w:p w14:paraId="6B573B18" w14:textId="77777777" w:rsidR="00504850" w:rsidRPr="00504850" w:rsidRDefault="00504850" w:rsidP="00504850">
            <w:pPr>
              <w:rPr>
                <w:rFonts w:ascii="Arial" w:hAnsi="Arial"/>
                <w:b/>
                <w:bCs/>
                <w:sz w:val="22"/>
              </w:rPr>
            </w:pPr>
          </w:p>
        </w:tc>
        <w:tc>
          <w:tcPr>
            <w:tcW w:w="2127" w:type="dxa"/>
            <w:tcBorders>
              <w:top w:val="nil"/>
              <w:left w:val="nil"/>
              <w:bottom w:val="single" w:sz="4" w:space="0" w:color="auto"/>
              <w:right w:val="single" w:sz="4" w:space="0" w:color="auto"/>
            </w:tcBorders>
            <w:shd w:val="clear" w:color="auto" w:fill="auto"/>
            <w:hideMark/>
          </w:tcPr>
          <w:p w14:paraId="0C82F33F" w14:textId="604E3DBD" w:rsidR="00504850" w:rsidRPr="00504850" w:rsidRDefault="00504850" w:rsidP="00504850">
            <w:pPr>
              <w:jc w:val="center"/>
              <w:rPr>
                <w:rFonts w:ascii="Arial" w:hAnsi="Arial"/>
                <w:b/>
                <w:bCs/>
                <w:sz w:val="22"/>
              </w:rPr>
            </w:pPr>
            <w:r w:rsidRPr="00504850">
              <w:rPr>
                <w:rFonts w:ascii="Arial" w:hAnsi="Arial"/>
                <w:b/>
                <w:bCs/>
                <w:sz w:val="22"/>
              </w:rPr>
              <w:t>(</w:t>
            </w:r>
            <w:proofErr w:type="gramStart"/>
            <w:r w:rsidRPr="00504850">
              <w:rPr>
                <w:rFonts w:ascii="Arial" w:hAnsi="Arial"/>
                <w:b/>
                <w:bCs/>
                <w:sz w:val="22"/>
              </w:rPr>
              <w:t>bands</w:t>
            </w:r>
            <w:proofErr w:type="gramEnd"/>
            <w:r w:rsidRPr="00504850">
              <w:rPr>
                <w:rFonts w:ascii="Arial" w:hAnsi="Arial"/>
                <w:b/>
                <w:bCs/>
                <w:sz w:val="22"/>
              </w:rPr>
              <w:t xml:space="preserve"> of £5,000)</w:t>
            </w:r>
            <w:r w:rsidRPr="00504850">
              <w:rPr>
                <w:rFonts w:ascii="Arial" w:hAnsi="Arial"/>
                <w:b/>
                <w:bCs/>
                <w:sz w:val="22"/>
              </w:rPr>
              <w:br/>
              <w:t>£</w:t>
            </w:r>
            <w:r>
              <w:rPr>
                <w:rFonts w:ascii="Arial" w:hAnsi="Arial"/>
                <w:b/>
                <w:bCs/>
                <w:sz w:val="22"/>
              </w:rPr>
              <w:t>’</w:t>
            </w:r>
            <w:r w:rsidRPr="00504850">
              <w:rPr>
                <w:rFonts w:ascii="Arial" w:hAnsi="Arial"/>
                <w:b/>
                <w:bCs/>
                <w:sz w:val="22"/>
              </w:rPr>
              <w:t>000s</w:t>
            </w:r>
          </w:p>
        </w:tc>
        <w:tc>
          <w:tcPr>
            <w:tcW w:w="2126" w:type="dxa"/>
            <w:tcBorders>
              <w:top w:val="nil"/>
              <w:left w:val="nil"/>
              <w:bottom w:val="single" w:sz="4" w:space="0" w:color="auto"/>
              <w:right w:val="single" w:sz="4" w:space="0" w:color="auto"/>
            </w:tcBorders>
            <w:shd w:val="clear" w:color="auto" w:fill="auto"/>
            <w:hideMark/>
          </w:tcPr>
          <w:p w14:paraId="16BA5E2E" w14:textId="7B80C53C" w:rsidR="00504850" w:rsidRPr="00504850" w:rsidRDefault="00504850" w:rsidP="00504850">
            <w:pPr>
              <w:jc w:val="center"/>
              <w:rPr>
                <w:rFonts w:ascii="Arial" w:hAnsi="Arial"/>
                <w:b/>
                <w:bCs/>
                <w:sz w:val="22"/>
              </w:rPr>
            </w:pPr>
            <w:r w:rsidRPr="00504850">
              <w:rPr>
                <w:rFonts w:ascii="Arial" w:hAnsi="Arial"/>
                <w:b/>
                <w:bCs/>
                <w:sz w:val="22"/>
              </w:rPr>
              <w:t>(</w:t>
            </w:r>
            <w:proofErr w:type="gramStart"/>
            <w:r w:rsidRPr="00504850">
              <w:rPr>
                <w:rFonts w:ascii="Arial" w:hAnsi="Arial"/>
                <w:b/>
                <w:bCs/>
                <w:sz w:val="22"/>
              </w:rPr>
              <w:t>bands</w:t>
            </w:r>
            <w:proofErr w:type="gramEnd"/>
            <w:r w:rsidRPr="00504850">
              <w:rPr>
                <w:rFonts w:ascii="Arial" w:hAnsi="Arial"/>
                <w:b/>
                <w:bCs/>
                <w:sz w:val="22"/>
              </w:rPr>
              <w:t xml:space="preserve"> of £5,000)</w:t>
            </w:r>
            <w:r w:rsidRPr="00504850">
              <w:rPr>
                <w:rFonts w:ascii="Arial" w:hAnsi="Arial"/>
                <w:b/>
                <w:bCs/>
                <w:sz w:val="22"/>
              </w:rPr>
              <w:br/>
              <w:t>£</w:t>
            </w:r>
            <w:r>
              <w:rPr>
                <w:rFonts w:ascii="Arial" w:hAnsi="Arial"/>
                <w:b/>
                <w:bCs/>
                <w:sz w:val="22"/>
              </w:rPr>
              <w:t>’</w:t>
            </w:r>
            <w:r w:rsidRPr="00504850">
              <w:rPr>
                <w:rFonts w:ascii="Arial" w:hAnsi="Arial"/>
                <w:b/>
                <w:bCs/>
                <w:sz w:val="22"/>
              </w:rPr>
              <w:t>000s</w:t>
            </w:r>
          </w:p>
        </w:tc>
        <w:tc>
          <w:tcPr>
            <w:tcW w:w="2126" w:type="dxa"/>
            <w:tcBorders>
              <w:top w:val="nil"/>
              <w:left w:val="nil"/>
              <w:bottom w:val="single" w:sz="4" w:space="0" w:color="auto"/>
              <w:right w:val="single" w:sz="4" w:space="0" w:color="auto"/>
            </w:tcBorders>
            <w:shd w:val="clear" w:color="auto" w:fill="auto"/>
            <w:hideMark/>
          </w:tcPr>
          <w:p w14:paraId="06BBB739" w14:textId="390D92F9" w:rsidR="00504850" w:rsidRPr="00504850" w:rsidRDefault="00504850" w:rsidP="00504850">
            <w:pPr>
              <w:jc w:val="center"/>
              <w:rPr>
                <w:rFonts w:ascii="Arial" w:hAnsi="Arial"/>
                <w:b/>
                <w:bCs/>
                <w:sz w:val="22"/>
              </w:rPr>
            </w:pPr>
            <w:r w:rsidRPr="00504850">
              <w:rPr>
                <w:rFonts w:ascii="Arial" w:hAnsi="Arial"/>
                <w:b/>
                <w:bCs/>
                <w:sz w:val="22"/>
              </w:rPr>
              <w:t>(</w:t>
            </w:r>
            <w:proofErr w:type="gramStart"/>
            <w:r w:rsidRPr="00504850">
              <w:rPr>
                <w:rFonts w:ascii="Arial" w:hAnsi="Arial"/>
                <w:b/>
                <w:bCs/>
                <w:sz w:val="22"/>
              </w:rPr>
              <w:t>bands</w:t>
            </w:r>
            <w:proofErr w:type="gramEnd"/>
            <w:r w:rsidRPr="00504850">
              <w:rPr>
                <w:rFonts w:ascii="Arial" w:hAnsi="Arial"/>
                <w:b/>
                <w:bCs/>
                <w:sz w:val="22"/>
              </w:rPr>
              <w:t xml:space="preserve"> of £2,500)</w:t>
            </w:r>
            <w:r w:rsidRPr="00504850">
              <w:rPr>
                <w:rFonts w:ascii="Arial" w:hAnsi="Arial"/>
                <w:b/>
                <w:bCs/>
                <w:sz w:val="22"/>
              </w:rPr>
              <w:br/>
              <w:t>£</w:t>
            </w:r>
            <w:r>
              <w:rPr>
                <w:rFonts w:ascii="Arial" w:hAnsi="Arial"/>
                <w:b/>
                <w:bCs/>
                <w:sz w:val="22"/>
              </w:rPr>
              <w:t>’</w:t>
            </w:r>
            <w:r w:rsidRPr="00504850">
              <w:rPr>
                <w:rFonts w:ascii="Arial" w:hAnsi="Arial"/>
                <w:b/>
                <w:bCs/>
                <w:sz w:val="22"/>
              </w:rPr>
              <w:t>000s</w:t>
            </w:r>
          </w:p>
        </w:tc>
      </w:tr>
      <w:tr w:rsidR="00504850" w:rsidRPr="00504850" w14:paraId="38D078A7" w14:textId="77777777" w:rsidTr="00504850">
        <w:trPr>
          <w:trHeight w:val="260"/>
        </w:trPr>
        <w:tc>
          <w:tcPr>
            <w:tcW w:w="9067" w:type="dxa"/>
            <w:tcBorders>
              <w:top w:val="nil"/>
              <w:left w:val="single" w:sz="4" w:space="0" w:color="auto"/>
              <w:bottom w:val="single" w:sz="4" w:space="0" w:color="auto"/>
              <w:right w:val="nil"/>
            </w:tcBorders>
            <w:shd w:val="clear" w:color="auto" w:fill="auto"/>
            <w:noWrap/>
            <w:vAlign w:val="bottom"/>
            <w:hideMark/>
          </w:tcPr>
          <w:p w14:paraId="00E1D8BC" w14:textId="2CEAFA30" w:rsidR="00504850" w:rsidRPr="00504850" w:rsidRDefault="00504850" w:rsidP="00504850">
            <w:pPr>
              <w:rPr>
                <w:rFonts w:ascii="Arial" w:hAnsi="Arial"/>
                <w:sz w:val="22"/>
              </w:rPr>
            </w:pPr>
            <w:r w:rsidRPr="00504850">
              <w:rPr>
                <w:rFonts w:ascii="Arial" w:hAnsi="Arial"/>
                <w:sz w:val="22"/>
              </w:rPr>
              <w:t xml:space="preserve">Mr Martin </w:t>
            </w:r>
            <w:proofErr w:type="spellStart"/>
            <w:r w:rsidRPr="00504850">
              <w:rPr>
                <w:rFonts w:ascii="Arial" w:hAnsi="Arial"/>
                <w:sz w:val="22"/>
              </w:rPr>
              <w:t>Kuper</w:t>
            </w:r>
            <w:proofErr w:type="spellEnd"/>
            <w:r w:rsidRPr="00504850">
              <w:rPr>
                <w:rFonts w:ascii="Arial" w:hAnsi="Arial"/>
                <w:sz w:val="22"/>
              </w:rPr>
              <w:t xml:space="preserve"> </w:t>
            </w:r>
            <w:r>
              <w:rPr>
                <w:rFonts w:ascii="Arial" w:hAnsi="Arial"/>
                <w:sz w:val="22"/>
              </w:rPr>
              <w:t>–</w:t>
            </w:r>
            <w:r w:rsidRPr="00504850">
              <w:rPr>
                <w:rFonts w:ascii="Arial" w:hAnsi="Arial"/>
                <w:sz w:val="22"/>
              </w:rPr>
              <w:t xml:space="preserve"> Chief Executive</w:t>
            </w:r>
          </w:p>
        </w:tc>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73444FAD" w14:textId="77777777" w:rsidR="00504850" w:rsidRPr="00504850" w:rsidRDefault="00504850" w:rsidP="00504850">
            <w:pPr>
              <w:jc w:val="center"/>
              <w:rPr>
                <w:rFonts w:ascii="Arial" w:hAnsi="Arial"/>
                <w:sz w:val="22"/>
              </w:rPr>
            </w:pPr>
            <w:r w:rsidRPr="00504850">
              <w:rPr>
                <w:rFonts w:ascii="Arial" w:hAnsi="Arial"/>
                <w:sz w:val="22"/>
              </w:rPr>
              <w:t>155- 160</w:t>
            </w:r>
          </w:p>
        </w:tc>
        <w:tc>
          <w:tcPr>
            <w:tcW w:w="2126" w:type="dxa"/>
            <w:tcBorders>
              <w:top w:val="nil"/>
              <w:left w:val="nil"/>
              <w:bottom w:val="single" w:sz="4" w:space="0" w:color="auto"/>
              <w:right w:val="single" w:sz="4" w:space="0" w:color="auto"/>
            </w:tcBorders>
            <w:shd w:val="clear" w:color="auto" w:fill="auto"/>
            <w:noWrap/>
            <w:vAlign w:val="bottom"/>
            <w:hideMark/>
          </w:tcPr>
          <w:p w14:paraId="1EB1A692" w14:textId="2E936FAB" w:rsidR="00504850" w:rsidRPr="00504850" w:rsidRDefault="00504850" w:rsidP="00504850">
            <w:pPr>
              <w:jc w:val="center"/>
              <w:rPr>
                <w:rFonts w:ascii="Arial" w:hAnsi="Arial"/>
                <w:sz w:val="22"/>
              </w:rPr>
            </w:pPr>
            <w:r w:rsidRPr="00504850">
              <w:rPr>
                <w:rFonts w:ascii="Arial" w:hAnsi="Arial"/>
                <w:sz w:val="22"/>
              </w:rPr>
              <w:t xml:space="preserve">165 </w:t>
            </w:r>
            <w:r>
              <w:rPr>
                <w:rFonts w:ascii="Arial" w:hAnsi="Arial"/>
                <w:sz w:val="22"/>
              </w:rPr>
              <w:t>–</w:t>
            </w:r>
            <w:r w:rsidRPr="00504850">
              <w:rPr>
                <w:rFonts w:ascii="Arial" w:hAnsi="Arial"/>
                <w:sz w:val="22"/>
              </w:rPr>
              <w:t xml:space="preserve"> 170</w:t>
            </w:r>
          </w:p>
        </w:tc>
        <w:tc>
          <w:tcPr>
            <w:tcW w:w="2126" w:type="dxa"/>
            <w:tcBorders>
              <w:top w:val="nil"/>
              <w:left w:val="nil"/>
              <w:bottom w:val="single" w:sz="4" w:space="0" w:color="auto"/>
              <w:right w:val="single" w:sz="4" w:space="0" w:color="auto"/>
            </w:tcBorders>
            <w:shd w:val="clear" w:color="auto" w:fill="auto"/>
            <w:noWrap/>
            <w:vAlign w:val="bottom"/>
            <w:hideMark/>
          </w:tcPr>
          <w:p w14:paraId="205004AF" w14:textId="65AC5B04" w:rsidR="00504850" w:rsidRPr="00504850" w:rsidRDefault="00504850" w:rsidP="00504850">
            <w:pPr>
              <w:jc w:val="center"/>
              <w:rPr>
                <w:rFonts w:ascii="Arial" w:hAnsi="Arial"/>
                <w:sz w:val="22"/>
              </w:rPr>
            </w:pPr>
            <w:r w:rsidRPr="00504850">
              <w:rPr>
                <w:rFonts w:ascii="Arial" w:hAnsi="Arial"/>
                <w:sz w:val="22"/>
              </w:rPr>
              <w:t xml:space="preserve">10.0 </w:t>
            </w:r>
            <w:r>
              <w:rPr>
                <w:rFonts w:ascii="Arial" w:hAnsi="Arial"/>
                <w:sz w:val="22"/>
              </w:rPr>
              <w:t>–</w:t>
            </w:r>
            <w:r w:rsidRPr="00504850">
              <w:rPr>
                <w:rFonts w:ascii="Arial" w:hAnsi="Arial"/>
                <w:sz w:val="22"/>
              </w:rPr>
              <w:t xml:space="preserve"> 12.5</w:t>
            </w:r>
          </w:p>
        </w:tc>
      </w:tr>
      <w:tr w:rsidR="00504850" w:rsidRPr="00504850" w14:paraId="5735AD91" w14:textId="77777777" w:rsidTr="00504850">
        <w:trPr>
          <w:trHeight w:val="260"/>
        </w:trPr>
        <w:tc>
          <w:tcPr>
            <w:tcW w:w="9067" w:type="dxa"/>
            <w:tcBorders>
              <w:top w:val="nil"/>
              <w:left w:val="single" w:sz="4" w:space="0" w:color="auto"/>
              <w:bottom w:val="single" w:sz="4" w:space="0" w:color="auto"/>
              <w:right w:val="single" w:sz="4" w:space="0" w:color="auto"/>
            </w:tcBorders>
            <w:shd w:val="clear" w:color="auto" w:fill="auto"/>
            <w:noWrap/>
            <w:vAlign w:val="bottom"/>
            <w:hideMark/>
          </w:tcPr>
          <w:p w14:paraId="30B178A8" w14:textId="6B66312D" w:rsidR="00504850" w:rsidRPr="00504850" w:rsidRDefault="00504850" w:rsidP="00504850">
            <w:pPr>
              <w:rPr>
                <w:rFonts w:ascii="Arial" w:hAnsi="Arial"/>
                <w:sz w:val="22"/>
              </w:rPr>
            </w:pPr>
            <w:r w:rsidRPr="00504850">
              <w:rPr>
                <w:rFonts w:ascii="Arial" w:hAnsi="Arial"/>
                <w:sz w:val="22"/>
              </w:rPr>
              <w:t xml:space="preserve">Mr D Probert </w:t>
            </w:r>
            <w:r>
              <w:rPr>
                <w:rFonts w:ascii="Arial" w:hAnsi="Arial"/>
                <w:sz w:val="22"/>
              </w:rPr>
              <w:t>–</w:t>
            </w:r>
            <w:r w:rsidRPr="00504850">
              <w:rPr>
                <w:rFonts w:ascii="Arial" w:hAnsi="Arial"/>
                <w:sz w:val="22"/>
              </w:rPr>
              <w:t xml:space="preserve"> Chief Executive</w:t>
            </w:r>
          </w:p>
        </w:tc>
        <w:tc>
          <w:tcPr>
            <w:tcW w:w="2127" w:type="dxa"/>
            <w:tcBorders>
              <w:top w:val="nil"/>
              <w:left w:val="nil"/>
              <w:bottom w:val="single" w:sz="4" w:space="0" w:color="auto"/>
              <w:right w:val="single" w:sz="4" w:space="0" w:color="auto"/>
            </w:tcBorders>
            <w:shd w:val="clear" w:color="auto" w:fill="auto"/>
            <w:noWrap/>
            <w:vAlign w:val="bottom"/>
            <w:hideMark/>
          </w:tcPr>
          <w:p w14:paraId="236EA4A4" w14:textId="32226675" w:rsidR="00504850" w:rsidRPr="00504850" w:rsidRDefault="00504850" w:rsidP="00504850">
            <w:pPr>
              <w:jc w:val="center"/>
              <w:rPr>
                <w:rFonts w:ascii="Arial" w:hAnsi="Arial"/>
                <w:sz w:val="22"/>
              </w:rPr>
            </w:pPr>
            <w:r w:rsidRPr="00504850">
              <w:rPr>
                <w:rFonts w:ascii="Arial" w:hAnsi="Arial"/>
                <w:sz w:val="22"/>
              </w:rPr>
              <w:t xml:space="preserve">115 </w:t>
            </w:r>
            <w:r>
              <w:rPr>
                <w:rFonts w:ascii="Arial" w:hAnsi="Arial"/>
                <w:sz w:val="22"/>
              </w:rPr>
              <w:t>–</w:t>
            </w:r>
            <w:r w:rsidRPr="00504850">
              <w:rPr>
                <w:rFonts w:ascii="Arial" w:hAnsi="Arial"/>
                <w:sz w:val="22"/>
              </w:rPr>
              <w:t xml:space="preserve"> 120</w:t>
            </w:r>
          </w:p>
        </w:tc>
        <w:tc>
          <w:tcPr>
            <w:tcW w:w="2126" w:type="dxa"/>
            <w:tcBorders>
              <w:top w:val="nil"/>
              <w:left w:val="nil"/>
              <w:bottom w:val="single" w:sz="4" w:space="0" w:color="auto"/>
              <w:right w:val="single" w:sz="4" w:space="0" w:color="auto"/>
            </w:tcBorders>
            <w:shd w:val="clear" w:color="auto" w:fill="auto"/>
            <w:noWrap/>
            <w:vAlign w:val="bottom"/>
            <w:hideMark/>
          </w:tcPr>
          <w:p w14:paraId="66AEF8B9" w14:textId="54644D1D" w:rsidR="00504850" w:rsidRPr="00504850" w:rsidRDefault="00504850" w:rsidP="00504850">
            <w:pPr>
              <w:jc w:val="center"/>
              <w:rPr>
                <w:rFonts w:ascii="Arial" w:hAnsi="Arial"/>
                <w:sz w:val="22"/>
              </w:rPr>
            </w:pPr>
            <w:r w:rsidRPr="00504850">
              <w:rPr>
                <w:rFonts w:ascii="Arial" w:hAnsi="Arial"/>
                <w:sz w:val="22"/>
              </w:rPr>
              <w:t xml:space="preserve">115 </w:t>
            </w:r>
            <w:r>
              <w:rPr>
                <w:rFonts w:ascii="Arial" w:hAnsi="Arial"/>
                <w:sz w:val="22"/>
              </w:rPr>
              <w:t>–</w:t>
            </w:r>
            <w:r w:rsidRPr="00504850">
              <w:rPr>
                <w:rFonts w:ascii="Arial" w:hAnsi="Arial"/>
                <w:sz w:val="22"/>
              </w:rPr>
              <w:t xml:space="preserve"> 120</w:t>
            </w:r>
          </w:p>
        </w:tc>
        <w:tc>
          <w:tcPr>
            <w:tcW w:w="2126" w:type="dxa"/>
            <w:tcBorders>
              <w:top w:val="nil"/>
              <w:left w:val="nil"/>
              <w:bottom w:val="single" w:sz="4" w:space="0" w:color="auto"/>
              <w:right w:val="single" w:sz="4" w:space="0" w:color="auto"/>
            </w:tcBorders>
            <w:shd w:val="clear" w:color="auto" w:fill="auto"/>
            <w:noWrap/>
            <w:vAlign w:val="bottom"/>
            <w:hideMark/>
          </w:tcPr>
          <w:p w14:paraId="6188C68B" w14:textId="41B30449" w:rsidR="00504850" w:rsidRPr="00504850" w:rsidRDefault="00504850" w:rsidP="00504850">
            <w:pPr>
              <w:jc w:val="center"/>
              <w:rPr>
                <w:rFonts w:ascii="Arial" w:hAnsi="Arial"/>
                <w:sz w:val="22"/>
              </w:rPr>
            </w:pPr>
            <w:r w:rsidRPr="00504850">
              <w:rPr>
                <w:rFonts w:ascii="Arial" w:hAnsi="Arial"/>
                <w:sz w:val="22"/>
              </w:rPr>
              <w:t xml:space="preserve">0.0 </w:t>
            </w:r>
            <w:r>
              <w:rPr>
                <w:rFonts w:ascii="Arial" w:hAnsi="Arial"/>
                <w:sz w:val="22"/>
              </w:rPr>
              <w:t>–</w:t>
            </w:r>
            <w:r w:rsidRPr="00504850">
              <w:rPr>
                <w:rFonts w:ascii="Arial" w:hAnsi="Arial"/>
                <w:sz w:val="22"/>
              </w:rPr>
              <w:t xml:space="preserve"> 2.5</w:t>
            </w:r>
          </w:p>
        </w:tc>
      </w:tr>
      <w:tr w:rsidR="00504850" w:rsidRPr="00504850" w14:paraId="1D20F51B" w14:textId="77777777" w:rsidTr="00504850">
        <w:trPr>
          <w:trHeight w:val="260"/>
        </w:trPr>
        <w:tc>
          <w:tcPr>
            <w:tcW w:w="9067" w:type="dxa"/>
            <w:tcBorders>
              <w:top w:val="nil"/>
              <w:left w:val="single" w:sz="4" w:space="0" w:color="auto"/>
              <w:bottom w:val="single" w:sz="4" w:space="0" w:color="auto"/>
              <w:right w:val="single" w:sz="4" w:space="0" w:color="auto"/>
            </w:tcBorders>
            <w:shd w:val="clear" w:color="auto" w:fill="auto"/>
            <w:noWrap/>
            <w:vAlign w:val="bottom"/>
            <w:hideMark/>
          </w:tcPr>
          <w:p w14:paraId="4150832B" w14:textId="38090C67" w:rsidR="00504850" w:rsidRPr="00504850" w:rsidRDefault="00504850" w:rsidP="00504850">
            <w:pPr>
              <w:rPr>
                <w:rFonts w:ascii="Arial" w:hAnsi="Arial"/>
                <w:sz w:val="22"/>
              </w:rPr>
            </w:pPr>
            <w:r w:rsidRPr="00504850">
              <w:rPr>
                <w:rFonts w:ascii="Arial" w:hAnsi="Arial"/>
                <w:sz w:val="22"/>
              </w:rPr>
              <w:t xml:space="preserve">Mr J Wilson </w:t>
            </w:r>
            <w:r>
              <w:rPr>
                <w:rFonts w:ascii="Arial" w:hAnsi="Arial"/>
                <w:sz w:val="22"/>
              </w:rPr>
              <w:t>–</w:t>
            </w:r>
            <w:r w:rsidRPr="00504850">
              <w:rPr>
                <w:rFonts w:ascii="Arial" w:hAnsi="Arial"/>
                <w:sz w:val="22"/>
              </w:rPr>
              <w:t xml:space="preserve"> Chief Financial Officer </w:t>
            </w:r>
          </w:p>
        </w:tc>
        <w:tc>
          <w:tcPr>
            <w:tcW w:w="2127" w:type="dxa"/>
            <w:tcBorders>
              <w:top w:val="nil"/>
              <w:left w:val="nil"/>
              <w:bottom w:val="single" w:sz="4" w:space="0" w:color="auto"/>
              <w:right w:val="single" w:sz="4" w:space="0" w:color="auto"/>
            </w:tcBorders>
            <w:shd w:val="clear" w:color="auto" w:fill="auto"/>
            <w:noWrap/>
            <w:vAlign w:val="bottom"/>
            <w:hideMark/>
          </w:tcPr>
          <w:p w14:paraId="48C4ED40" w14:textId="470473D7" w:rsidR="00504850" w:rsidRPr="00504850" w:rsidRDefault="00504850" w:rsidP="00504850">
            <w:pPr>
              <w:jc w:val="center"/>
              <w:rPr>
                <w:rFonts w:ascii="Arial" w:hAnsi="Arial"/>
                <w:sz w:val="22"/>
              </w:rPr>
            </w:pPr>
            <w:r w:rsidRPr="00504850">
              <w:rPr>
                <w:rFonts w:ascii="Arial" w:hAnsi="Arial"/>
                <w:sz w:val="22"/>
              </w:rPr>
              <w:t xml:space="preserve">85 </w:t>
            </w:r>
            <w:r>
              <w:rPr>
                <w:rFonts w:ascii="Arial" w:hAnsi="Arial"/>
                <w:sz w:val="22"/>
              </w:rPr>
              <w:t>–</w:t>
            </w:r>
            <w:r w:rsidRPr="00504850">
              <w:rPr>
                <w:rFonts w:ascii="Arial" w:hAnsi="Arial"/>
                <w:sz w:val="22"/>
              </w:rPr>
              <w:t xml:space="preserve"> 90</w:t>
            </w:r>
          </w:p>
        </w:tc>
        <w:tc>
          <w:tcPr>
            <w:tcW w:w="2126" w:type="dxa"/>
            <w:tcBorders>
              <w:top w:val="nil"/>
              <w:left w:val="nil"/>
              <w:bottom w:val="single" w:sz="4" w:space="0" w:color="auto"/>
              <w:right w:val="single" w:sz="4" w:space="0" w:color="auto"/>
            </w:tcBorders>
            <w:shd w:val="clear" w:color="auto" w:fill="auto"/>
            <w:noWrap/>
            <w:vAlign w:val="bottom"/>
            <w:hideMark/>
          </w:tcPr>
          <w:p w14:paraId="45CE87EB" w14:textId="77777777" w:rsidR="00504850" w:rsidRPr="00504850" w:rsidRDefault="00504850" w:rsidP="00504850">
            <w:pPr>
              <w:jc w:val="center"/>
              <w:rPr>
                <w:rFonts w:ascii="Arial" w:hAnsi="Arial"/>
                <w:sz w:val="22"/>
              </w:rPr>
            </w:pPr>
            <w:r w:rsidRPr="00504850">
              <w:rPr>
                <w:rFonts w:ascii="Arial" w:hAnsi="Arial"/>
                <w:sz w:val="22"/>
              </w:rPr>
              <w:t>0 -5</w:t>
            </w:r>
          </w:p>
        </w:tc>
        <w:tc>
          <w:tcPr>
            <w:tcW w:w="2126" w:type="dxa"/>
            <w:tcBorders>
              <w:top w:val="nil"/>
              <w:left w:val="nil"/>
              <w:bottom w:val="single" w:sz="4" w:space="0" w:color="auto"/>
              <w:right w:val="single" w:sz="4" w:space="0" w:color="auto"/>
            </w:tcBorders>
            <w:shd w:val="clear" w:color="auto" w:fill="auto"/>
            <w:noWrap/>
            <w:vAlign w:val="bottom"/>
            <w:hideMark/>
          </w:tcPr>
          <w:p w14:paraId="1F4109C8" w14:textId="032B1136" w:rsidR="00504850" w:rsidRPr="00504850" w:rsidRDefault="00504850" w:rsidP="00504850">
            <w:pPr>
              <w:jc w:val="center"/>
              <w:rPr>
                <w:rFonts w:ascii="Arial" w:hAnsi="Arial"/>
                <w:sz w:val="22"/>
              </w:rPr>
            </w:pPr>
            <w:r w:rsidRPr="00504850">
              <w:rPr>
                <w:rFonts w:ascii="Arial" w:hAnsi="Arial"/>
                <w:sz w:val="22"/>
              </w:rPr>
              <w:t xml:space="preserve">0.0 </w:t>
            </w:r>
            <w:r>
              <w:rPr>
                <w:rFonts w:ascii="Arial" w:hAnsi="Arial"/>
                <w:sz w:val="22"/>
              </w:rPr>
              <w:t>–</w:t>
            </w:r>
            <w:r w:rsidRPr="00504850">
              <w:rPr>
                <w:rFonts w:ascii="Arial" w:hAnsi="Arial"/>
                <w:sz w:val="22"/>
              </w:rPr>
              <w:t xml:space="preserve"> 2.5</w:t>
            </w:r>
          </w:p>
        </w:tc>
      </w:tr>
      <w:tr w:rsidR="00504850" w:rsidRPr="00504850" w14:paraId="0A3AE366" w14:textId="77777777" w:rsidTr="00504850">
        <w:trPr>
          <w:trHeight w:val="260"/>
        </w:trPr>
        <w:tc>
          <w:tcPr>
            <w:tcW w:w="9067" w:type="dxa"/>
            <w:tcBorders>
              <w:top w:val="nil"/>
              <w:left w:val="single" w:sz="4" w:space="0" w:color="auto"/>
              <w:bottom w:val="single" w:sz="4" w:space="0" w:color="auto"/>
              <w:right w:val="single" w:sz="4" w:space="0" w:color="auto"/>
            </w:tcBorders>
            <w:shd w:val="clear" w:color="auto" w:fill="auto"/>
            <w:noWrap/>
            <w:vAlign w:val="bottom"/>
            <w:hideMark/>
          </w:tcPr>
          <w:p w14:paraId="1467D02C" w14:textId="7F17C2A6" w:rsidR="00504850" w:rsidRPr="00504850" w:rsidRDefault="00504850" w:rsidP="00504850">
            <w:pPr>
              <w:rPr>
                <w:rFonts w:ascii="Arial" w:hAnsi="Arial"/>
                <w:sz w:val="22"/>
              </w:rPr>
            </w:pPr>
            <w:r w:rsidRPr="00504850">
              <w:rPr>
                <w:rFonts w:ascii="Arial" w:hAnsi="Arial"/>
                <w:sz w:val="22"/>
              </w:rPr>
              <w:t xml:space="preserve">Ms T Luckett </w:t>
            </w:r>
            <w:r>
              <w:rPr>
                <w:rFonts w:ascii="Arial" w:hAnsi="Arial"/>
                <w:sz w:val="22"/>
              </w:rPr>
              <w:t>–</w:t>
            </w:r>
            <w:r w:rsidRPr="00504850">
              <w:rPr>
                <w:rFonts w:ascii="Arial" w:hAnsi="Arial"/>
                <w:sz w:val="22"/>
              </w:rPr>
              <w:t xml:space="preserve"> Director of Nursing &amp; Allied Health Professions</w:t>
            </w:r>
          </w:p>
        </w:tc>
        <w:tc>
          <w:tcPr>
            <w:tcW w:w="2127" w:type="dxa"/>
            <w:tcBorders>
              <w:top w:val="nil"/>
              <w:left w:val="nil"/>
              <w:bottom w:val="single" w:sz="4" w:space="0" w:color="auto"/>
              <w:right w:val="single" w:sz="4" w:space="0" w:color="auto"/>
            </w:tcBorders>
            <w:shd w:val="clear" w:color="auto" w:fill="auto"/>
            <w:noWrap/>
            <w:vAlign w:val="bottom"/>
            <w:hideMark/>
          </w:tcPr>
          <w:p w14:paraId="6DA9E6C6" w14:textId="27E1AC1D" w:rsidR="00504850" w:rsidRPr="00504850" w:rsidRDefault="00504850" w:rsidP="00504850">
            <w:pPr>
              <w:jc w:val="center"/>
              <w:rPr>
                <w:rFonts w:ascii="Arial" w:hAnsi="Arial"/>
                <w:sz w:val="22"/>
              </w:rPr>
            </w:pPr>
            <w:r w:rsidRPr="00504850">
              <w:rPr>
                <w:rFonts w:ascii="Arial" w:hAnsi="Arial"/>
                <w:sz w:val="22"/>
              </w:rPr>
              <w:t xml:space="preserve">150 </w:t>
            </w:r>
            <w:r>
              <w:rPr>
                <w:rFonts w:ascii="Arial" w:hAnsi="Arial"/>
                <w:sz w:val="22"/>
              </w:rPr>
              <w:t>–</w:t>
            </w:r>
            <w:r w:rsidRPr="00504850">
              <w:rPr>
                <w:rFonts w:ascii="Arial" w:hAnsi="Arial"/>
                <w:sz w:val="22"/>
              </w:rPr>
              <w:t xml:space="preserve"> 155</w:t>
            </w:r>
          </w:p>
        </w:tc>
        <w:tc>
          <w:tcPr>
            <w:tcW w:w="2126" w:type="dxa"/>
            <w:tcBorders>
              <w:top w:val="nil"/>
              <w:left w:val="nil"/>
              <w:bottom w:val="single" w:sz="4" w:space="0" w:color="auto"/>
              <w:right w:val="single" w:sz="4" w:space="0" w:color="auto"/>
            </w:tcBorders>
            <w:shd w:val="clear" w:color="auto" w:fill="auto"/>
            <w:noWrap/>
            <w:vAlign w:val="bottom"/>
            <w:hideMark/>
          </w:tcPr>
          <w:p w14:paraId="2A071C03" w14:textId="395ABF71" w:rsidR="00504850" w:rsidRPr="00504850" w:rsidRDefault="00504850" w:rsidP="00504850">
            <w:pPr>
              <w:jc w:val="center"/>
              <w:rPr>
                <w:rFonts w:ascii="Arial" w:hAnsi="Arial"/>
                <w:sz w:val="22"/>
              </w:rPr>
            </w:pPr>
            <w:r w:rsidRPr="00504850">
              <w:rPr>
                <w:rFonts w:ascii="Arial" w:hAnsi="Arial"/>
                <w:sz w:val="22"/>
              </w:rPr>
              <w:t xml:space="preserve">165 </w:t>
            </w:r>
            <w:r>
              <w:rPr>
                <w:rFonts w:ascii="Arial" w:hAnsi="Arial"/>
                <w:sz w:val="22"/>
              </w:rPr>
              <w:t>–</w:t>
            </w:r>
            <w:r w:rsidRPr="00504850">
              <w:rPr>
                <w:rFonts w:ascii="Arial" w:hAnsi="Arial"/>
                <w:sz w:val="22"/>
              </w:rPr>
              <w:t xml:space="preserve"> 170</w:t>
            </w:r>
          </w:p>
        </w:tc>
        <w:tc>
          <w:tcPr>
            <w:tcW w:w="2126" w:type="dxa"/>
            <w:tcBorders>
              <w:top w:val="nil"/>
              <w:left w:val="nil"/>
              <w:bottom w:val="single" w:sz="4" w:space="0" w:color="auto"/>
              <w:right w:val="single" w:sz="4" w:space="0" w:color="auto"/>
            </w:tcBorders>
            <w:shd w:val="clear" w:color="auto" w:fill="auto"/>
            <w:noWrap/>
            <w:vAlign w:val="bottom"/>
            <w:hideMark/>
          </w:tcPr>
          <w:p w14:paraId="6DCA7016" w14:textId="77777777" w:rsidR="00504850" w:rsidRPr="00504850" w:rsidRDefault="00504850" w:rsidP="00504850">
            <w:pPr>
              <w:jc w:val="center"/>
              <w:rPr>
                <w:rFonts w:ascii="Arial" w:hAnsi="Arial"/>
                <w:sz w:val="22"/>
              </w:rPr>
            </w:pPr>
            <w:proofErr w:type="gramStart"/>
            <w:r w:rsidRPr="00504850">
              <w:rPr>
                <w:rFonts w:ascii="Arial" w:hAnsi="Arial"/>
                <w:sz w:val="22"/>
              </w:rPr>
              <w:t>12.5  -</w:t>
            </w:r>
            <w:proofErr w:type="gramEnd"/>
            <w:r w:rsidRPr="00504850">
              <w:rPr>
                <w:rFonts w:ascii="Arial" w:hAnsi="Arial"/>
                <w:sz w:val="22"/>
              </w:rPr>
              <w:t xml:space="preserve"> 15.0</w:t>
            </w:r>
          </w:p>
        </w:tc>
      </w:tr>
      <w:tr w:rsidR="00504850" w:rsidRPr="00504850" w14:paraId="26F28522" w14:textId="77777777" w:rsidTr="00504850">
        <w:trPr>
          <w:trHeight w:val="260"/>
        </w:trPr>
        <w:tc>
          <w:tcPr>
            <w:tcW w:w="9067" w:type="dxa"/>
            <w:tcBorders>
              <w:top w:val="nil"/>
              <w:left w:val="single" w:sz="4" w:space="0" w:color="auto"/>
              <w:bottom w:val="single" w:sz="4" w:space="0" w:color="auto"/>
              <w:right w:val="single" w:sz="4" w:space="0" w:color="auto"/>
            </w:tcBorders>
            <w:shd w:val="clear" w:color="auto" w:fill="auto"/>
            <w:noWrap/>
            <w:vAlign w:val="bottom"/>
            <w:hideMark/>
          </w:tcPr>
          <w:p w14:paraId="103266A5" w14:textId="6883808B" w:rsidR="00504850" w:rsidRPr="00504850" w:rsidRDefault="00504850" w:rsidP="00504850">
            <w:pPr>
              <w:rPr>
                <w:rFonts w:ascii="Arial" w:hAnsi="Arial"/>
                <w:sz w:val="22"/>
              </w:rPr>
            </w:pPr>
            <w:r w:rsidRPr="00504850">
              <w:rPr>
                <w:rFonts w:ascii="Arial" w:hAnsi="Arial"/>
                <w:sz w:val="22"/>
              </w:rPr>
              <w:t xml:space="preserve">Ms S Needham </w:t>
            </w:r>
            <w:r>
              <w:rPr>
                <w:rFonts w:ascii="Arial" w:hAnsi="Arial"/>
                <w:sz w:val="22"/>
              </w:rPr>
              <w:t>–</w:t>
            </w:r>
            <w:r w:rsidRPr="00504850">
              <w:rPr>
                <w:rFonts w:ascii="Arial" w:hAnsi="Arial"/>
                <w:sz w:val="22"/>
              </w:rPr>
              <w:t xml:space="preserve"> Director of Nursing &amp; Allied Health Professions</w:t>
            </w:r>
          </w:p>
        </w:tc>
        <w:tc>
          <w:tcPr>
            <w:tcW w:w="2127" w:type="dxa"/>
            <w:tcBorders>
              <w:top w:val="nil"/>
              <w:left w:val="nil"/>
              <w:bottom w:val="single" w:sz="4" w:space="0" w:color="auto"/>
              <w:right w:val="single" w:sz="4" w:space="0" w:color="auto"/>
            </w:tcBorders>
            <w:shd w:val="clear" w:color="auto" w:fill="auto"/>
            <w:noWrap/>
            <w:vAlign w:val="bottom"/>
            <w:hideMark/>
          </w:tcPr>
          <w:p w14:paraId="78989052" w14:textId="77777777" w:rsidR="00504850" w:rsidRPr="00504850" w:rsidRDefault="00504850" w:rsidP="00504850">
            <w:pPr>
              <w:jc w:val="center"/>
              <w:rPr>
                <w:rFonts w:ascii="Arial" w:hAnsi="Arial"/>
                <w:sz w:val="22"/>
              </w:rPr>
            </w:pPr>
            <w:r w:rsidRPr="00504850">
              <w:rPr>
                <w:rFonts w:ascii="Arial" w:hAnsi="Arial"/>
                <w:sz w:val="22"/>
              </w:rPr>
              <w:t xml:space="preserve">55 </w:t>
            </w:r>
            <w:proofErr w:type="gramStart"/>
            <w:r w:rsidRPr="00504850">
              <w:rPr>
                <w:rFonts w:ascii="Arial" w:hAnsi="Arial"/>
                <w:sz w:val="22"/>
              </w:rPr>
              <w:t>-  60</w:t>
            </w:r>
            <w:proofErr w:type="gramEnd"/>
          </w:p>
        </w:tc>
        <w:tc>
          <w:tcPr>
            <w:tcW w:w="2126" w:type="dxa"/>
            <w:tcBorders>
              <w:top w:val="nil"/>
              <w:left w:val="nil"/>
              <w:bottom w:val="single" w:sz="4" w:space="0" w:color="auto"/>
              <w:right w:val="single" w:sz="4" w:space="0" w:color="auto"/>
            </w:tcBorders>
            <w:shd w:val="clear" w:color="auto" w:fill="auto"/>
            <w:noWrap/>
            <w:vAlign w:val="bottom"/>
            <w:hideMark/>
          </w:tcPr>
          <w:p w14:paraId="0FE58577" w14:textId="1BEEFF26" w:rsidR="00504850" w:rsidRPr="00504850" w:rsidRDefault="00504850" w:rsidP="00504850">
            <w:pPr>
              <w:jc w:val="center"/>
              <w:rPr>
                <w:rFonts w:ascii="Arial" w:hAnsi="Arial"/>
                <w:sz w:val="22"/>
              </w:rPr>
            </w:pPr>
            <w:r w:rsidRPr="00504850">
              <w:rPr>
                <w:rFonts w:ascii="Arial" w:hAnsi="Arial"/>
                <w:sz w:val="22"/>
              </w:rPr>
              <w:t xml:space="preserve">55 </w:t>
            </w:r>
            <w:r>
              <w:rPr>
                <w:rFonts w:ascii="Arial" w:hAnsi="Arial"/>
                <w:sz w:val="22"/>
              </w:rPr>
              <w:t>–</w:t>
            </w:r>
            <w:r w:rsidRPr="00504850">
              <w:rPr>
                <w:rFonts w:ascii="Arial" w:hAnsi="Arial"/>
                <w:sz w:val="22"/>
              </w:rPr>
              <w:t xml:space="preserve"> 60</w:t>
            </w:r>
          </w:p>
        </w:tc>
        <w:tc>
          <w:tcPr>
            <w:tcW w:w="2126" w:type="dxa"/>
            <w:tcBorders>
              <w:top w:val="nil"/>
              <w:left w:val="nil"/>
              <w:bottom w:val="single" w:sz="4" w:space="0" w:color="auto"/>
              <w:right w:val="single" w:sz="4" w:space="0" w:color="auto"/>
            </w:tcBorders>
            <w:shd w:val="clear" w:color="auto" w:fill="auto"/>
            <w:noWrap/>
            <w:vAlign w:val="bottom"/>
            <w:hideMark/>
          </w:tcPr>
          <w:p w14:paraId="733DDA74" w14:textId="4EE6D5BB" w:rsidR="00504850" w:rsidRPr="00504850" w:rsidRDefault="00504850" w:rsidP="00504850">
            <w:pPr>
              <w:jc w:val="center"/>
              <w:rPr>
                <w:rFonts w:ascii="Arial" w:hAnsi="Arial"/>
                <w:sz w:val="22"/>
              </w:rPr>
            </w:pPr>
            <w:r w:rsidRPr="00504850">
              <w:rPr>
                <w:rFonts w:ascii="Arial" w:hAnsi="Arial"/>
                <w:sz w:val="22"/>
              </w:rPr>
              <w:t xml:space="preserve">0.0 </w:t>
            </w:r>
            <w:r>
              <w:rPr>
                <w:rFonts w:ascii="Arial" w:hAnsi="Arial"/>
                <w:sz w:val="22"/>
              </w:rPr>
              <w:t>–</w:t>
            </w:r>
            <w:r w:rsidRPr="00504850">
              <w:rPr>
                <w:rFonts w:ascii="Arial" w:hAnsi="Arial"/>
                <w:sz w:val="22"/>
              </w:rPr>
              <w:t xml:space="preserve"> 2.5</w:t>
            </w:r>
          </w:p>
        </w:tc>
      </w:tr>
      <w:tr w:rsidR="00504850" w:rsidRPr="00504850" w14:paraId="539BBC56" w14:textId="77777777" w:rsidTr="00504850">
        <w:trPr>
          <w:trHeight w:val="260"/>
        </w:trPr>
        <w:tc>
          <w:tcPr>
            <w:tcW w:w="9067" w:type="dxa"/>
            <w:tcBorders>
              <w:top w:val="nil"/>
              <w:left w:val="single" w:sz="4" w:space="0" w:color="auto"/>
              <w:bottom w:val="single" w:sz="4" w:space="0" w:color="auto"/>
              <w:right w:val="single" w:sz="4" w:space="0" w:color="auto"/>
            </w:tcBorders>
            <w:shd w:val="clear" w:color="auto" w:fill="auto"/>
            <w:noWrap/>
            <w:vAlign w:val="bottom"/>
            <w:hideMark/>
          </w:tcPr>
          <w:p w14:paraId="40EA3FE5" w14:textId="5536CB1B" w:rsidR="00504850" w:rsidRPr="00504850" w:rsidRDefault="00504850" w:rsidP="00504850">
            <w:pPr>
              <w:rPr>
                <w:rFonts w:ascii="Arial" w:hAnsi="Arial"/>
                <w:sz w:val="22"/>
              </w:rPr>
            </w:pPr>
            <w:r w:rsidRPr="00504850">
              <w:rPr>
                <w:rFonts w:ascii="Arial" w:hAnsi="Arial"/>
                <w:sz w:val="22"/>
              </w:rPr>
              <w:t xml:space="preserve">Ms L Wickham </w:t>
            </w:r>
            <w:r>
              <w:rPr>
                <w:rFonts w:ascii="Arial" w:hAnsi="Arial"/>
                <w:sz w:val="22"/>
              </w:rPr>
              <w:t>–</w:t>
            </w:r>
            <w:r w:rsidRPr="00504850">
              <w:rPr>
                <w:rFonts w:ascii="Arial" w:hAnsi="Arial"/>
                <w:sz w:val="22"/>
              </w:rPr>
              <w:t xml:space="preserve"> Medical Director </w:t>
            </w:r>
          </w:p>
        </w:tc>
        <w:tc>
          <w:tcPr>
            <w:tcW w:w="2127" w:type="dxa"/>
            <w:tcBorders>
              <w:top w:val="nil"/>
              <w:left w:val="nil"/>
              <w:bottom w:val="single" w:sz="4" w:space="0" w:color="auto"/>
              <w:right w:val="single" w:sz="4" w:space="0" w:color="auto"/>
            </w:tcBorders>
            <w:shd w:val="clear" w:color="auto" w:fill="auto"/>
            <w:noWrap/>
            <w:vAlign w:val="bottom"/>
            <w:hideMark/>
          </w:tcPr>
          <w:p w14:paraId="75A20629" w14:textId="46C5FC76" w:rsidR="00504850" w:rsidRPr="00504850" w:rsidRDefault="00504850" w:rsidP="00504850">
            <w:pPr>
              <w:jc w:val="center"/>
              <w:rPr>
                <w:rFonts w:ascii="Arial" w:hAnsi="Arial"/>
                <w:sz w:val="22"/>
              </w:rPr>
            </w:pPr>
            <w:r w:rsidRPr="00504850">
              <w:rPr>
                <w:rFonts w:ascii="Arial" w:hAnsi="Arial"/>
                <w:sz w:val="22"/>
              </w:rPr>
              <w:t xml:space="preserve">85 </w:t>
            </w:r>
            <w:r>
              <w:rPr>
                <w:rFonts w:ascii="Arial" w:hAnsi="Arial"/>
                <w:sz w:val="22"/>
              </w:rPr>
              <w:t>–</w:t>
            </w:r>
            <w:r w:rsidRPr="00504850">
              <w:rPr>
                <w:rFonts w:ascii="Arial" w:hAnsi="Arial"/>
                <w:sz w:val="22"/>
              </w:rPr>
              <w:t xml:space="preserve"> 90</w:t>
            </w:r>
          </w:p>
        </w:tc>
        <w:tc>
          <w:tcPr>
            <w:tcW w:w="2126" w:type="dxa"/>
            <w:tcBorders>
              <w:top w:val="nil"/>
              <w:left w:val="nil"/>
              <w:bottom w:val="single" w:sz="4" w:space="0" w:color="auto"/>
              <w:right w:val="single" w:sz="4" w:space="0" w:color="auto"/>
            </w:tcBorders>
            <w:shd w:val="clear" w:color="auto" w:fill="auto"/>
            <w:noWrap/>
            <w:vAlign w:val="bottom"/>
            <w:hideMark/>
          </w:tcPr>
          <w:p w14:paraId="63D34828" w14:textId="40D6B3EE" w:rsidR="00504850" w:rsidRPr="00504850" w:rsidRDefault="00504850" w:rsidP="00504850">
            <w:pPr>
              <w:jc w:val="center"/>
              <w:rPr>
                <w:rFonts w:ascii="Arial" w:hAnsi="Arial"/>
                <w:sz w:val="22"/>
              </w:rPr>
            </w:pPr>
            <w:r w:rsidRPr="00504850">
              <w:rPr>
                <w:rFonts w:ascii="Arial" w:hAnsi="Arial"/>
                <w:sz w:val="22"/>
              </w:rPr>
              <w:t xml:space="preserve">80 </w:t>
            </w:r>
            <w:r>
              <w:rPr>
                <w:rFonts w:ascii="Arial" w:hAnsi="Arial"/>
                <w:sz w:val="22"/>
              </w:rPr>
              <w:t>–</w:t>
            </w:r>
            <w:r w:rsidRPr="00504850">
              <w:rPr>
                <w:rFonts w:ascii="Arial" w:hAnsi="Arial"/>
                <w:sz w:val="22"/>
              </w:rPr>
              <w:t xml:space="preserve"> 90</w:t>
            </w:r>
          </w:p>
        </w:tc>
        <w:tc>
          <w:tcPr>
            <w:tcW w:w="2126" w:type="dxa"/>
            <w:tcBorders>
              <w:top w:val="nil"/>
              <w:left w:val="nil"/>
              <w:bottom w:val="single" w:sz="4" w:space="0" w:color="auto"/>
              <w:right w:val="single" w:sz="4" w:space="0" w:color="auto"/>
            </w:tcBorders>
            <w:shd w:val="clear" w:color="auto" w:fill="auto"/>
            <w:noWrap/>
            <w:vAlign w:val="bottom"/>
            <w:hideMark/>
          </w:tcPr>
          <w:p w14:paraId="3B840AB6" w14:textId="27FE2FA7" w:rsidR="00504850" w:rsidRPr="00504850" w:rsidRDefault="00504850" w:rsidP="00504850">
            <w:pPr>
              <w:jc w:val="center"/>
              <w:rPr>
                <w:rFonts w:ascii="Arial" w:hAnsi="Arial"/>
                <w:sz w:val="22"/>
              </w:rPr>
            </w:pPr>
            <w:r w:rsidRPr="00504850">
              <w:rPr>
                <w:rFonts w:ascii="Arial" w:hAnsi="Arial"/>
                <w:sz w:val="22"/>
              </w:rPr>
              <w:t xml:space="preserve">0.0 </w:t>
            </w:r>
            <w:r>
              <w:rPr>
                <w:rFonts w:ascii="Arial" w:hAnsi="Arial"/>
                <w:sz w:val="22"/>
              </w:rPr>
              <w:t>–</w:t>
            </w:r>
            <w:r w:rsidRPr="00504850">
              <w:rPr>
                <w:rFonts w:ascii="Arial" w:hAnsi="Arial"/>
                <w:sz w:val="22"/>
              </w:rPr>
              <w:t xml:space="preserve"> 2.5</w:t>
            </w:r>
          </w:p>
        </w:tc>
      </w:tr>
      <w:tr w:rsidR="00504850" w:rsidRPr="00504850" w14:paraId="7A8ED6D6" w14:textId="77777777" w:rsidTr="00504850">
        <w:trPr>
          <w:trHeight w:val="260"/>
        </w:trPr>
        <w:tc>
          <w:tcPr>
            <w:tcW w:w="9067" w:type="dxa"/>
            <w:tcBorders>
              <w:top w:val="nil"/>
              <w:left w:val="single" w:sz="4" w:space="0" w:color="auto"/>
              <w:bottom w:val="single" w:sz="4" w:space="0" w:color="auto"/>
              <w:right w:val="single" w:sz="4" w:space="0" w:color="auto"/>
            </w:tcBorders>
            <w:shd w:val="clear" w:color="auto" w:fill="auto"/>
            <w:noWrap/>
            <w:vAlign w:val="bottom"/>
            <w:hideMark/>
          </w:tcPr>
          <w:p w14:paraId="18950F61" w14:textId="3E49EF61" w:rsidR="00504850" w:rsidRPr="00504850" w:rsidRDefault="00504850" w:rsidP="00504850">
            <w:pPr>
              <w:rPr>
                <w:rFonts w:ascii="Arial" w:hAnsi="Arial"/>
                <w:sz w:val="22"/>
              </w:rPr>
            </w:pPr>
            <w:r w:rsidRPr="00504850">
              <w:rPr>
                <w:rFonts w:ascii="Arial" w:hAnsi="Arial"/>
                <w:sz w:val="22"/>
              </w:rPr>
              <w:t xml:space="preserve">Ms J Moss Director of Strategy &amp; </w:t>
            </w:r>
            <w:r w:rsidR="009E0400">
              <w:rPr>
                <w:rFonts w:ascii="Arial" w:hAnsi="Arial"/>
                <w:sz w:val="22"/>
              </w:rPr>
              <w:t>B</w:t>
            </w:r>
            <w:r>
              <w:rPr>
                <w:rFonts w:ascii="Arial" w:hAnsi="Arial"/>
                <w:sz w:val="22"/>
              </w:rPr>
              <w:t>usiness</w:t>
            </w:r>
            <w:r w:rsidRPr="00504850">
              <w:rPr>
                <w:rFonts w:ascii="Arial" w:hAnsi="Arial"/>
                <w:sz w:val="22"/>
              </w:rPr>
              <w:t xml:space="preserve"> Development </w:t>
            </w:r>
          </w:p>
        </w:tc>
        <w:tc>
          <w:tcPr>
            <w:tcW w:w="2127" w:type="dxa"/>
            <w:tcBorders>
              <w:top w:val="nil"/>
              <w:left w:val="nil"/>
              <w:bottom w:val="single" w:sz="4" w:space="0" w:color="auto"/>
              <w:right w:val="single" w:sz="4" w:space="0" w:color="auto"/>
            </w:tcBorders>
            <w:shd w:val="clear" w:color="auto" w:fill="auto"/>
            <w:noWrap/>
            <w:vAlign w:val="bottom"/>
            <w:hideMark/>
          </w:tcPr>
          <w:p w14:paraId="297BB170" w14:textId="7320AE56" w:rsidR="00504850" w:rsidRPr="00504850" w:rsidRDefault="00504850" w:rsidP="00504850">
            <w:pPr>
              <w:jc w:val="center"/>
              <w:rPr>
                <w:rFonts w:ascii="Arial" w:hAnsi="Arial"/>
                <w:sz w:val="22"/>
              </w:rPr>
            </w:pPr>
            <w:r w:rsidRPr="00504850">
              <w:rPr>
                <w:rFonts w:ascii="Arial" w:hAnsi="Arial"/>
                <w:sz w:val="22"/>
              </w:rPr>
              <w:t xml:space="preserve">60 </w:t>
            </w:r>
            <w:r>
              <w:rPr>
                <w:rFonts w:ascii="Arial" w:hAnsi="Arial"/>
                <w:sz w:val="22"/>
              </w:rPr>
              <w:t>–</w:t>
            </w:r>
            <w:r w:rsidRPr="00504850">
              <w:rPr>
                <w:rFonts w:ascii="Arial" w:hAnsi="Arial"/>
                <w:sz w:val="22"/>
              </w:rPr>
              <w:t xml:space="preserve"> 65</w:t>
            </w:r>
          </w:p>
        </w:tc>
        <w:tc>
          <w:tcPr>
            <w:tcW w:w="2126" w:type="dxa"/>
            <w:tcBorders>
              <w:top w:val="nil"/>
              <w:left w:val="nil"/>
              <w:bottom w:val="single" w:sz="4" w:space="0" w:color="auto"/>
              <w:right w:val="single" w:sz="4" w:space="0" w:color="auto"/>
            </w:tcBorders>
            <w:shd w:val="clear" w:color="auto" w:fill="auto"/>
            <w:noWrap/>
            <w:vAlign w:val="bottom"/>
            <w:hideMark/>
          </w:tcPr>
          <w:p w14:paraId="0952EE2E" w14:textId="1E81C857" w:rsidR="00504850" w:rsidRPr="00504850" w:rsidRDefault="00504850" w:rsidP="00504850">
            <w:pPr>
              <w:jc w:val="center"/>
              <w:rPr>
                <w:rFonts w:ascii="Arial" w:hAnsi="Arial"/>
                <w:sz w:val="22"/>
              </w:rPr>
            </w:pPr>
            <w:r w:rsidRPr="00504850">
              <w:rPr>
                <w:rFonts w:ascii="Arial" w:hAnsi="Arial"/>
                <w:sz w:val="22"/>
              </w:rPr>
              <w:t xml:space="preserve">65 </w:t>
            </w:r>
            <w:r>
              <w:rPr>
                <w:rFonts w:ascii="Arial" w:hAnsi="Arial"/>
                <w:sz w:val="22"/>
              </w:rPr>
              <w:t>–</w:t>
            </w:r>
            <w:r w:rsidRPr="00504850">
              <w:rPr>
                <w:rFonts w:ascii="Arial" w:hAnsi="Arial"/>
                <w:sz w:val="22"/>
              </w:rPr>
              <w:t xml:space="preserve"> 70</w:t>
            </w:r>
          </w:p>
        </w:tc>
        <w:tc>
          <w:tcPr>
            <w:tcW w:w="2126" w:type="dxa"/>
            <w:tcBorders>
              <w:top w:val="nil"/>
              <w:left w:val="nil"/>
              <w:bottom w:val="single" w:sz="4" w:space="0" w:color="auto"/>
              <w:right w:val="single" w:sz="4" w:space="0" w:color="auto"/>
            </w:tcBorders>
            <w:shd w:val="clear" w:color="auto" w:fill="auto"/>
            <w:noWrap/>
            <w:vAlign w:val="bottom"/>
            <w:hideMark/>
          </w:tcPr>
          <w:p w14:paraId="4D88220B" w14:textId="41EBC977" w:rsidR="00504850" w:rsidRPr="00504850" w:rsidRDefault="00504850" w:rsidP="00504850">
            <w:pPr>
              <w:jc w:val="center"/>
              <w:rPr>
                <w:rFonts w:ascii="Arial" w:hAnsi="Arial"/>
                <w:sz w:val="22"/>
              </w:rPr>
            </w:pPr>
            <w:r w:rsidRPr="00504850">
              <w:rPr>
                <w:rFonts w:ascii="Arial" w:hAnsi="Arial"/>
                <w:sz w:val="22"/>
              </w:rPr>
              <w:t xml:space="preserve">0.0 </w:t>
            </w:r>
            <w:r>
              <w:rPr>
                <w:rFonts w:ascii="Arial" w:hAnsi="Arial"/>
                <w:sz w:val="22"/>
              </w:rPr>
              <w:t>–</w:t>
            </w:r>
            <w:r w:rsidRPr="00504850">
              <w:rPr>
                <w:rFonts w:ascii="Arial" w:hAnsi="Arial"/>
                <w:sz w:val="22"/>
              </w:rPr>
              <w:t xml:space="preserve"> 2.5</w:t>
            </w:r>
          </w:p>
        </w:tc>
      </w:tr>
      <w:tr w:rsidR="00504850" w:rsidRPr="00504850" w14:paraId="57A6FFBC" w14:textId="77777777" w:rsidTr="00504850">
        <w:trPr>
          <w:trHeight w:val="260"/>
        </w:trPr>
        <w:tc>
          <w:tcPr>
            <w:tcW w:w="9067" w:type="dxa"/>
            <w:tcBorders>
              <w:top w:val="nil"/>
              <w:left w:val="single" w:sz="4" w:space="0" w:color="auto"/>
              <w:bottom w:val="single" w:sz="4" w:space="0" w:color="auto"/>
              <w:right w:val="single" w:sz="4" w:space="0" w:color="auto"/>
            </w:tcBorders>
            <w:shd w:val="clear" w:color="auto" w:fill="auto"/>
            <w:noWrap/>
            <w:vAlign w:val="bottom"/>
            <w:hideMark/>
          </w:tcPr>
          <w:p w14:paraId="54D4BD96" w14:textId="4F75AB0E" w:rsidR="00504850" w:rsidRPr="00504850" w:rsidRDefault="00504850" w:rsidP="00504850">
            <w:pPr>
              <w:rPr>
                <w:rFonts w:ascii="Arial" w:hAnsi="Arial"/>
                <w:sz w:val="22"/>
              </w:rPr>
            </w:pPr>
            <w:r w:rsidRPr="00504850">
              <w:rPr>
                <w:rFonts w:ascii="Arial" w:hAnsi="Arial"/>
                <w:sz w:val="22"/>
              </w:rPr>
              <w:t xml:space="preserve">Mr J Spencer </w:t>
            </w:r>
            <w:r>
              <w:rPr>
                <w:rFonts w:ascii="Arial" w:hAnsi="Arial"/>
                <w:sz w:val="22"/>
              </w:rPr>
              <w:t>–</w:t>
            </w:r>
            <w:r w:rsidRPr="00504850">
              <w:rPr>
                <w:rFonts w:ascii="Arial" w:hAnsi="Arial"/>
                <w:sz w:val="22"/>
              </w:rPr>
              <w:t xml:space="preserve"> Chief Operating Officer</w:t>
            </w:r>
          </w:p>
        </w:tc>
        <w:tc>
          <w:tcPr>
            <w:tcW w:w="2127" w:type="dxa"/>
            <w:tcBorders>
              <w:top w:val="nil"/>
              <w:left w:val="nil"/>
              <w:bottom w:val="single" w:sz="4" w:space="0" w:color="auto"/>
              <w:right w:val="single" w:sz="4" w:space="0" w:color="auto"/>
            </w:tcBorders>
            <w:shd w:val="clear" w:color="auto" w:fill="auto"/>
            <w:noWrap/>
            <w:vAlign w:val="bottom"/>
            <w:hideMark/>
          </w:tcPr>
          <w:p w14:paraId="007A086D" w14:textId="0131EB7F" w:rsidR="00504850" w:rsidRPr="00504850" w:rsidRDefault="00504850" w:rsidP="00504850">
            <w:pPr>
              <w:jc w:val="center"/>
              <w:rPr>
                <w:rFonts w:ascii="Arial" w:hAnsi="Arial"/>
                <w:sz w:val="22"/>
              </w:rPr>
            </w:pPr>
            <w:r w:rsidRPr="00504850">
              <w:rPr>
                <w:rFonts w:ascii="Arial" w:hAnsi="Arial"/>
                <w:sz w:val="22"/>
              </w:rPr>
              <w:t xml:space="preserve">55 </w:t>
            </w:r>
            <w:r>
              <w:rPr>
                <w:rFonts w:ascii="Arial" w:hAnsi="Arial"/>
                <w:sz w:val="22"/>
              </w:rPr>
              <w:t>–</w:t>
            </w:r>
            <w:r w:rsidRPr="00504850">
              <w:rPr>
                <w:rFonts w:ascii="Arial" w:hAnsi="Arial"/>
                <w:sz w:val="22"/>
              </w:rPr>
              <w:t xml:space="preserve"> 60</w:t>
            </w:r>
          </w:p>
        </w:tc>
        <w:tc>
          <w:tcPr>
            <w:tcW w:w="2126" w:type="dxa"/>
            <w:tcBorders>
              <w:top w:val="nil"/>
              <w:left w:val="nil"/>
              <w:bottom w:val="single" w:sz="4" w:space="0" w:color="auto"/>
              <w:right w:val="single" w:sz="4" w:space="0" w:color="auto"/>
            </w:tcBorders>
            <w:shd w:val="clear" w:color="auto" w:fill="auto"/>
            <w:noWrap/>
            <w:vAlign w:val="bottom"/>
            <w:hideMark/>
          </w:tcPr>
          <w:p w14:paraId="64A1E469" w14:textId="4923E178" w:rsidR="00504850" w:rsidRPr="00504850" w:rsidRDefault="00504850" w:rsidP="00504850">
            <w:pPr>
              <w:jc w:val="center"/>
              <w:rPr>
                <w:rFonts w:ascii="Arial" w:hAnsi="Arial"/>
                <w:sz w:val="22"/>
              </w:rPr>
            </w:pPr>
            <w:r w:rsidRPr="00504850">
              <w:rPr>
                <w:rFonts w:ascii="Arial" w:hAnsi="Arial"/>
                <w:sz w:val="22"/>
              </w:rPr>
              <w:t xml:space="preserve">60 </w:t>
            </w:r>
            <w:r>
              <w:rPr>
                <w:rFonts w:ascii="Arial" w:hAnsi="Arial"/>
                <w:sz w:val="22"/>
              </w:rPr>
              <w:t>–</w:t>
            </w:r>
            <w:r w:rsidRPr="00504850">
              <w:rPr>
                <w:rFonts w:ascii="Arial" w:hAnsi="Arial"/>
                <w:sz w:val="22"/>
              </w:rPr>
              <w:t xml:space="preserve"> 65</w:t>
            </w:r>
          </w:p>
        </w:tc>
        <w:tc>
          <w:tcPr>
            <w:tcW w:w="2126" w:type="dxa"/>
            <w:tcBorders>
              <w:top w:val="nil"/>
              <w:left w:val="nil"/>
              <w:bottom w:val="single" w:sz="4" w:space="0" w:color="auto"/>
              <w:right w:val="single" w:sz="4" w:space="0" w:color="auto"/>
            </w:tcBorders>
            <w:shd w:val="clear" w:color="auto" w:fill="auto"/>
            <w:noWrap/>
            <w:vAlign w:val="bottom"/>
            <w:hideMark/>
          </w:tcPr>
          <w:p w14:paraId="31C46D6F" w14:textId="5356F110" w:rsidR="00504850" w:rsidRPr="00504850" w:rsidRDefault="00504850" w:rsidP="00504850">
            <w:pPr>
              <w:jc w:val="center"/>
              <w:rPr>
                <w:rFonts w:ascii="Arial" w:hAnsi="Arial"/>
                <w:sz w:val="22"/>
              </w:rPr>
            </w:pPr>
            <w:r w:rsidRPr="00504850">
              <w:rPr>
                <w:rFonts w:ascii="Arial" w:hAnsi="Arial"/>
                <w:sz w:val="22"/>
              </w:rPr>
              <w:t xml:space="preserve">2.5 </w:t>
            </w:r>
            <w:r>
              <w:rPr>
                <w:rFonts w:ascii="Arial" w:hAnsi="Arial"/>
                <w:sz w:val="22"/>
              </w:rPr>
              <w:t>–</w:t>
            </w:r>
            <w:r w:rsidRPr="00504850">
              <w:rPr>
                <w:rFonts w:ascii="Arial" w:hAnsi="Arial"/>
                <w:sz w:val="22"/>
              </w:rPr>
              <w:t xml:space="preserve"> 5.0</w:t>
            </w:r>
          </w:p>
        </w:tc>
      </w:tr>
    </w:tbl>
    <w:p w14:paraId="40E36DA5" w14:textId="588419BC" w:rsidR="00504850" w:rsidRDefault="00504850" w:rsidP="00FB6278">
      <w:pPr>
        <w:pStyle w:val="MEHBoldheading1"/>
        <w:rPr>
          <w:b w:val="0"/>
          <w:bCs/>
          <w:sz w:val="22"/>
        </w:rPr>
      </w:pPr>
    </w:p>
    <w:p w14:paraId="5EDC1AD6" w14:textId="496AD618" w:rsidR="00504850" w:rsidRDefault="00504850" w:rsidP="00FB6278">
      <w:pPr>
        <w:pStyle w:val="MEHBoldheading1"/>
        <w:rPr>
          <w:b w:val="0"/>
          <w:bCs/>
          <w:sz w:val="22"/>
        </w:rPr>
      </w:pPr>
    </w:p>
    <w:tbl>
      <w:tblPr>
        <w:tblW w:w="15446" w:type="dxa"/>
        <w:tblLook w:val="04A0" w:firstRow="1" w:lastRow="0" w:firstColumn="1" w:lastColumn="0" w:noHBand="0" w:noVBand="1"/>
      </w:tblPr>
      <w:tblGrid>
        <w:gridCol w:w="9067"/>
        <w:gridCol w:w="2127"/>
        <w:gridCol w:w="2126"/>
        <w:gridCol w:w="2126"/>
      </w:tblGrid>
      <w:tr w:rsidR="00504850" w:rsidRPr="00504850" w14:paraId="5CD71AD3" w14:textId="77777777" w:rsidTr="00504850">
        <w:trPr>
          <w:trHeight w:val="1040"/>
        </w:trPr>
        <w:tc>
          <w:tcPr>
            <w:tcW w:w="906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3F3DA28" w14:textId="6B792D41" w:rsidR="00504850" w:rsidRPr="00504850" w:rsidRDefault="00504850" w:rsidP="00504850">
            <w:pPr>
              <w:rPr>
                <w:rFonts w:ascii="Arial" w:hAnsi="Arial"/>
                <w:b/>
                <w:bCs/>
                <w:sz w:val="22"/>
              </w:rPr>
            </w:pPr>
            <w:r w:rsidRPr="00504850">
              <w:rPr>
                <w:rFonts w:ascii="Arial" w:hAnsi="Arial"/>
                <w:b/>
                <w:bCs/>
                <w:sz w:val="22"/>
              </w:rPr>
              <w:lastRenderedPageBreak/>
              <w:t>Name and Title</w:t>
            </w:r>
          </w:p>
          <w:p w14:paraId="7E55E1C9" w14:textId="77777777" w:rsidR="00504850" w:rsidRPr="00504850" w:rsidRDefault="00504850" w:rsidP="00504850">
            <w:pPr>
              <w:rPr>
                <w:rFonts w:ascii="Arial" w:hAnsi="Arial"/>
                <w:b/>
                <w:bCs/>
                <w:sz w:val="22"/>
              </w:rPr>
            </w:pPr>
          </w:p>
          <w:p w14:paraId="5693F7A9" w14:textId="77777777" w:rsidR="00504850" w:rsidRPr="00504850" w:rsidRDefault="00504850" w:rsidP="00504850">
            <w:pPr>
              <w:rPr>
                <w:rFonts w:ascii="Arial" w:hAnsi="Arial"/>
                <w:b/>
                <w:bCs/>
                <w:sz w:val="22"/>
              </w:rPr>
            </w:pPr>
          </w:p>
          <w:p w14:paraId="22B43CC6" w14:textId="52BE5BB0" w:rsidR="00504850" w:rsidRDefault="00504850" w:rsidP="00504850">
            <w:pPr>
              <w:rPr>
                <w:rFonts w:ascii="Arial" w:hAnsi="Arial"/>
                <w:b/>
                <w:bCs/>
                <w:sz w:val="22"/>
              </w:rPr>
            </w:pPr>
          </w:p>
          <w:p w14:paraId="6BD04747" w14:textId="77777777" w:rsidR="00504850" w:rsidRPr="00504850" w:rsidRDefault="00504850" w:rsidP="00504850">
            <w:pPr>
              <w:rPr>
                <w:rFonts w:ascii="Arial" w:hAnsi="Arial"/>
                <w:b/>
                <w:bCs/>
                <w:sz w:val="22"/>
              </w:rPr>
            </w:pPr>
          </w:p>
          <w:p w14:paraId="59ABCC75" w14:textId="77777777" w:rsidR="00504850" w:rsidRPr="00504850" w:rsidRDefault="00504850" w:rsidP="00504850">
            <w:pPr>
              <w:rPr>
                <w:rFonts w:ascii="Arial" w:hAnsi="Arial"/>
                <w:b/>
                <w:bCs/>
                <w:sz w:val="22"/>
              </w:rPr>
            </w:pPr>
          </w:p>
          <w:p w14:paraId="33D0842F" w14:textId="778C3A77" w:rsidR="00504850" w:rsidRPr="00504850" w:rsidRDefault="00504850" w:rsidP="00504850">
            <w:pPr>
              <w:rPr>
                <w:rFonts w:ascii="Arial" w:hAnsi="Arial"/>
                <w:b/>
                <w:bCs/>
                <w:sz w:val="22"/>
              </w:rPr>
            </w:pPr>
          </w:p>
        </w:tc>
        <w:tc>
          <w:tcPr>
            <w:tcW w:w="2127" w:type="dxa"/>
            <w:tcBorders>
              <w:top w:val="single" w:sz="4" w:space="0" w:color="auto"/>
              <w:left w:val="nil"/>
              <w:bottom w:val="nil"/>
              <w:right w:val="single" w:sz="4" w:space="0" w:color="auto"/>
            </w:tcBorders>
            <w:shd w:val="clear" w:color="auto" w:fill="auto"/>
            <w:hideMark/>
          </w:tcPr>
          <w:p w14:paraId="616BC821" w14:textId="77777777" w:rsidR="00504850" w:rsidRPr="00504850" w:rsidRDefault="00504850" w:rsidP="00504850">
            <w:pPr>
              <w:jc w:val="center"/>
              <w:rPr>
                <w:rFonts w:ascii="Arial" w:hAnsi="Arial"/>
                <w:b/>
                <w:bCs/>
                <w:sz w:val="22"/>
              </w:rPr>
            </w:pPr>
            <w:r w:rsidRPr="00504850">
              <w:rPr>
                <w:rFonts w:ascii="Arial" w:hAnsi="Arial"/>
                <w:b/>
                <w:bCs/>
                <w:sz w:val="22"/>
              </w:rPr>
              <w:t xml:space="preserve">Cash equivalent transfer value </w:t>
            </w:r>
            <w:proofErr w:type="gramStart"/>
            <w:r w:rsidRPr="00504850">
              <w:rPr>
                <w:rFonts w:ascii="Arial" w:hAnsi="Arial"/>
                <w:b/>
                <w:bCs/>
                <w:sz w:val="22"/>
              </w:rPr>
              <w:t>at</w:t>
            </w:r>
            <w:proofErr w:type="gramEnd"/>
            <w:r w:rsidRPr="00504850">
              <w:rPr>
                <w:rFonts w:ascii="Arial" w:hAnsi="Arial"/>
                <w:b/>
                <w:bCs/>
                <w:sz w:val="22"/>
              </w:rPr>
              <w:t xml:space="preserve"> 31 March 2021</w:t>
            </w:r>
          </w:p>
        </w:tc>
        <w:tc>
          <w:tcPr>
            <w:tcW w:w="2126" w:type="dxa"/>
            <w:tcBorders>
              <w:top w:val="single" w:sz="4" w:space="0" w:color="auto"/>
              <w:left w:val="nil"/>
              <w:bottom w:val="nil"/>
              <w:right w:val="single" w:sz="4" w:space="0" w:color="auto"/>
            </w:tcBorders>
            <w:shd w:val="clear" w:color="auto" w:fill="auto"/>
            <w:hideMark/>
          </w:tcPr>
          <w:p w14:paraId="7EE977A5" w14:textId="77777777" w:rsidR="00504850" w:rsidRPr="00504850" w:rsidRDefault="00504850" w:rsidP="00504850">
            <w:pPr>
              <w:jc w:val="center"/>
              <w:rPr>
                <w:rFonts w:ascii="Arial" w:hAnsi="Arial"/>
                <w:b/>
                <w:bCs/>
                <w:sz w:val="22"/>
              </w:rPr>
            </w:pPr>
            <w:r w:rsidRPr="00504850">
              <w:rPr>
                <w:rFonts w:ascii="Arial" w:hAnsi="Arial"/>
                <w:b/>
                <w:bCs/>
                <w:sz w:val="22"/>
              </w:rPr>
              <w:t xml:space="preserve">Cash equivalent transfer value </w:t>
            </w:r>
            <w:proofErr w:type="gramStart"/>
            <w:r w:rsidRPr="00504850">
              <w:rPr>
                <w:rFonts w:ascii="Arial" w:hAnsi="Arial"/>
                <w:b/>
                <w:bCs/>
                <w:sz w:val="22"/>
              </w:rPr>
              <w:t>at</w:t>
            </w:r>
            <w:proofErr w:type="gramEnd"/>
            <w:r w:rsidRPr="00504850">
              <w:rPr>
                <w:rFonts w:ascii="Arial" w:hAnsi="Arial"/>
                <w:b/>
                <w:bCs/>
                <w:sz w:val="22"/>
              </w:rPr>
              <w:t xml:space="preserve"> 31 March 2022</w:t>
            </w:r>
          </w:p>
        </w:tc>
        <w:tc>
          <w:tcPr>
            <w:tcW w:w="2126" w:type="dxa"/>
            <w:tcBorders>
              <w:top w:val="single" w:sz="4" w:space="0" w:color="auto"/>
              <w:left w:val="nil"/>
              <w:bottom w:val="nil"/>
              <w:right w:val="single" w:sz="4" w:space="0" w:color="auto"/>
            </w:tcBorders>
            <w:shd w:val="clear" w:color="auto" w:fill="auto"/>
            <w:hideMark/>
          </w:tcPr>
          <w:p w14:paraId="5D9FF717" w14:textId="77777777" w:rsidR="00504850" w:rsidRPr="00504850" w:rsidRDefault="00504850" w:rsidP="00504850">
            <w:pPr>
              <w:jc w:val="center"/>
              <w:rPr>
                <w:rFonts w:ascii="Arial" w:hAnsi="Arial"/>
                <w:b/>
                <w:bCs/>
                <w:sz w:val="22"/>
              </w:rPr>
            </w:pPr>
            <w:r w:rsidRPr="00504850">
              <w:rPr>
                <w:rFonts w:ascii="Arial" w:hAnsi="Arial"/>
                <w:b/>
                <w:bCs/>
                <w:sz w:val="22"/>
              </w:rPr>
              <w:t>Real increase in cash equivalent transfer value in 2021/22</w:t>
            </w:r>
          </w:p>
        </w:tc>
      </w:tr>
      <w:tr w:rsidR="00504850" w:rsidRPr="00504850" w14:paraId="685ACFC7" w14:textId="77777777" w:rsidTr="00504850">
        <w:trPr>
          <w:trHeight w:val="520"/>
        </w:trPr>
        <w:tc>
          <w:tcPr>
            <w:tcW w:w="9067" w:type="dxa"/>
            <w:vMerge/>
            <w:tcBorders>
              <w:top w:val="single" w:sz="4" w:space="0" w:color="auto"/>
              <w:left w:val="single" w:sz="4" w:space="0" w:color="auto"/>
              <w:bottom w:val="single" w:sz="4" w:space="0" w:color="000000"/>
              <w:right w:val="single" w:sz="4" w:space="0" w:color="auto"/>
            </w:tcBorders>
            <w:vAlign w:val="center"/>
            <w:hideMark/>
          </w:tcPr>
          <w:p w14:paraId="432CF8F4" w14:textId="77777777" w:rsidR="00504850" w:rsidRPr="00504850" w:rsidRDefault="00504850" w:rsidP="00504850">
            <w:pPr>
              <w:rPr>
                <w:rFonts w:ascii="Arial" w:hAnsi="Arial"/>
                <w:b/>
                <w:bCs/>
                <w:sz w:val="22"/>
              </w:rPr>
            </w:pPr>
          </w:p>
        </w:tc>
        <w:tc>
          <w:tcPr>
            <w:tcW w:w="2127" w:type="dxa"/>
            <w:tcBorders>
              <w:top w:val="nil"/>
              <w:left w:val="nil"/>
              <w:bottom w:val="single" w:sz="4" w:space="0" w:color="auto"/>
              <w:right w:val="single" w:sz="4" w:space="0" w:color="auto"/>
            </w:tcBorders>
            <w:shd w:val="clear" w:color="auto" w:fill="auto"/>
            <w:hideMark/>
          </w:tcPr>
          <w:p w14:paraId="2F577C7D" w14:textId="77777777" w:rsidR="00504850" w:rsidRPr="00504850" w:rsidRDefault="00504850" w:rsidP="00504850">
            <w:pPr>
              <w:jc w:val="center"/>
              <w:rPr>
                <w:rFonts w:ascii="Arial" w:hAnsi="Arial"/>
                <w:b/>
                <w:bCs/>
                <w:sz w:val="22"/>
              </w:rPr>
            </w:pPr>
            <w:r w:rsidRPr="00504850">
              <w:rPr>
                <w:rFonts w:ascii="Arial" w:hAnsi="Arial"/>
                <w:b/>
                <w:bCs/>
                <w:sz w:val="22"/>
              </w:rPr>
              <w:br/>
              <w:t>£'000s</w:t>
            </w:r>
          </w:p>
        </w:tc>
        <w:tc>
          <w:tcPr>
            <w:tcW w:w="2126" w:type="dxa"/>
            <w:tcBorders>
              <w:top w:val="nil"/>
              <w:left w:val="nil"/>
              <w:bottom w:val="single" w:sz="4" w:space="0" w:color="auto"/>
              <w:right w:val="single" w:sz="4" w:space="0" w:color="auto"/>
            </w:tcBorders>
            <w:shd w:val="clear" w:color="auto" w:fill="auto"/>
            <w:hideMark/>
          </w:tcPr>
          <w:p w14:paraId="4A4F84B4" w14:textId="77777777" w:rsidR="00504850" w:rsidRPr="00504850" w:rsidRDefault="00504850" w:rsidP="00504850">
            <w:pPr>
              <w:jc w:val="center"/>
              <w:rPr>
                <w:rFonts w:ascii="Arial" w:hAnsi="Arial"/>
                <w:b/>
                <w:bCs/>
                <w:sz w:val="22"/>
              </w:rPr>
            </w:pPr>
            <w:r w:rsidRPr="00504850">
              <w:rPr>
                <w:rFonts w:ascii="Arial" w:hAnsi="Arial"/>
                <w:b/>
                <w:bCs/>
                <w:sz w:val="22"/>
              </w:rPr>
              <w:br/>
              <w:t>£'000s</w:t>
            </w:r>
          </w:p>
        </w:tc>
        <w:tc>
          <w:tcPr>
            <w:tcW w:w="2126" w:type="dxa"/>
            <w:tcBorders>
              <w:top w:val="nil"/>
              <w:left w:val="nil"/>
              <w:bottom w:val="single" w:sz="4" w:space="0" w:color="auto"/>
              <w:right w:val="single" w:sz="4" w:space="0" w:color="auto"/>
            </w:tcBorders>
            <w:shd w:val="clear" w:color="auto" w:fill="auto"/>
            <w:hideMark/>
          </w:tcPr>
          <w:p w14:paraId="67A2B731" w14:textId="77777777" w:rsidR="00504850" w:rsidRPr="00504850" w:rsidRDefault="00504850" w:rsidP="00504850">
            <w:pPr>
              <w:jc w:val="center"/>
              <w:rPr>
                <w:rFonts w:ascii="Arial" w:hAnsi="Arial"/>
                <w:b/>
                <w:bCs/>
                <w:sz w:val="22"/>
              </w:rPr>
            </w:pPr>
            <w:r w:rsidRPr="00504850">
              <w:rPr>
                <w:rFonts w:ascii="Arial" w:hAnsi="Arial"/>
                <w:b/>
                <w:bCs/>
                <w:sz w:val="22"/>
              </w:rPr>
              <w:br/>
              <w:t>£'000s</w:t>
            </w:r>
          </w:p>
        </w:tc>
      </w:tr>
      <w:tr w:rsidR="00504850" w:rsidRPr="00504850" w14:paraId="0B739FBD" w14:textId="77777777" w:rsidTr="00504850">
        <w:trPr>
          <w:trHeight w:val="260"/>
        </w:trPr>
        <w:tc>
          <w:tcPr>
            <w:tcW w:w="9067" w:type="dxa"/>
            <w:tcBorders>
              <w:top w:val="nil"/>
              <w:left w:val="single" w:sz="4" w:space="0" w:color="auto"/>
              <w:bottom w:val="single" w:sz="4" w:space="0" w:color="auto"/>
              <w:right w:val="nil"/>
            </w:tcBorders>
            <w:shd w:val="clear" w:color="auto" w:fill="auto"/>
            <w:noWrap/>
            <w:vAlign w:val="bottom"/>
            <w:hideMark/>
          </w:tcPr>
          <w:p w14:paraId="7EE20498" w14:textId="77777777" w:rsidR="00504850" w:rsidRPr="00504850" w:rsidRDefault="00504850" w:rsidP="00504850">
            <w:pPr>
              <w:rPr>
                <w:rFonts w:ascii="Arial" w:hAnsi="Arial"/>
                <w:sz w:val="22"/>
              </w:rPr>
            </w:pPr>
            <w:r w:rsidRPr="00504850">
              <w:rPr>
                <w:rFonts w:ascii="Arial" w:hAnsi="Arial"/>
                <w:sz w:val="22"/>
              </w:rPr>
              <w:t xml:space="preserve">Mr Martin </w:t>
            </w:r>
            <w:proofErr w:type="spellStart"/>
            <w:r w:rsidRPr="00504850">
              <w:rPr>
                <w:rFonts w:ascii="Arial" w:hAnsi="Arial"/>
                <w:sz w:val="22"/>
              </w:rPr>
              <w:t>Kuper</w:t>
            </w:r>
            <w:proofErr w:type="spellEnd"/>
            <w:r w:rsidRPr="00504850">
              <w:rPr>
                <w:rFonts w:ascii="Arial" w:hAnsi="Arial"/>
                <w:sz w:val="22"/>
              </w:rPr>
              <w:t xml:space="preserve"> - Chief Executive</w:t>
            </w:r>
          </w:p>
        </w:tc>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3FD72C5C" w14:textId="77777777" w:rsidR="00504850" w:rsidRPr="00504850" w:rsidRDefault="00504850" w:rsidP="00504850">
            <w:pPr>
              <w:jc w:val="center"/>
              <w:rPr>
                <w:rFonts w:ascii="Arial" w:hAnsi="Arial"/>
                <w:sz w:val="22"/>
              </w:rPr>
            </w:pPr>
            <w:r w:rsidRPr="00504850">
              <w:rPr>
                <w:rFonts w:ascii="Arial" w:hAnsi="Arial"/>
                <w:sz w:val="22"/>
              </w:rPr>
              <w:t>1,290</w:t>
            </w:r>
          </w:p>
        </w:tc>
        <w:tc>
          <w:tcPr>
            <w:tcW w:w="2126" w:type="dxa"/>
            <w:tcBorders>
              <w:top w:val="nil"/>
              <w:left w:val="nil"/>
              <w:bottom w:val="single" w:sz="4" w:space="0" w:color="auto"/>
              <w:right w:val="single" w:sz="4" w:space="0" w:color="auto"/>
            </w:tcBorders>
            <w:shd w:val="clear" w:color="auto" w:fill="auto"/>
            <w:noWrap/>
            <w:vAlign w:val="bottom"/>
            <w:hideMark/>
          </w:tcPr>
          <w:p w14:paraId="3CCDAA0D" w14:textId="77777777" w:rsidR="00504850" w:rsidRPr="00504850" w:rsidRDefault="00504850" w:rsidP="00504850">
            <w:pPr>
              <w:jc w:val="center"/>
              <w:rPr>
                <w:rFonts w:ascii="Arial" w:hAnsi="Arial"/>
                <w:sz w:val="22"/>
              </w:rPr>
            </w:pPr>
            <w:r w:rsidRPr="00504850">
              <w:rPr>
                <w:rFonts w:ascii="Arial" w:hAnsi="Arial"/>
                <w:sz w:val="22"/>
              </w:rPr>
              <w:t>1,405</w:t>
            </w:r>
          </w:p>
        </w:tc>
        <w:tc>
          <w:tcPr>
            <w:tcW w:w="2126" w:type="dxa"/>
            <w:tcBorders>
              <w:top w:val="nil"/>
              <w:left w:val="nil"/>
              <w:bottom w:val="single" w:sz="4" w:space="0" w:color="auto"/>
              <w:right w:val="single" w:sz="4" w:space="0" w:color="auto"/>
            </w:tcBorders>
            <w:shd w:val="clear" w:color="auto" w:fill="auto"/>
            <w:noWrap/>
            <w:vAlign w:val="bottom"/>
            <w:hideMark/>
          </w:tcPr>
          <w:p w14:paraId="39018C64" w14:textId="77777777" w:rsidR="00504850" w:rsidRPr="00504850" w:rsidRDefault="00504850" w:rsidP="00504850">
            <w:pPr>
              <w:jc w:val="center"/>
              <w:rPr>
                <w:rFonts w:ascii="Arial" w:hAnsi="Arial"/>
                <w:sz w:val="22"/>
              </w:rPr>
            </w:pPr>
            <w:r w:rsidRPr="00504850">
              <w:rPr>
                <w:rFonts w:ascii="Arial" w:hAnsi="Arial"/>
                <w:sz w:val="22"/>
              </w:rPr>
              <w:t>90</w:t>
            </w:r>
          </w:p>
        </w:tc>
      </w:tr>
      <w:tr w:rsidR="00504850" w:rsidRPr="00504850" w14:paraId="4E8B99B8" w14:textId="77777777" w:rsidTr="00504850">
        <w:trPr>
          <w:trHeight w:val="260"/>
        </w:trPr>
        <w:tc>
          <w:tcPr>
            <w:tcW w:w="9067" w:type="dxa"/>
            <w:tcBorders>
              <w:top w:val="nil"/>
              <w:left w:val="single" w:sz="4" w:space="0" w:color="auto"/>
              <w:bottom w:val="single" w:sz="4" w:space="0" w:color="auto"/>
              <w:right w:val="single" w:sz="4" w:space="0" w:color="auto"/>
            </w:tcBorders>
            <w:shd w:val="clear" w:color="auto" w:fill="auto"/>
            <w:noWrap/>
            <w:vAlign w:val="bottom"/>
            <w:hideMark/>
          </w:tcPr>
          <w:p w14:paraId="6DC3CD1B" w14:textId="77777777" w:rsidR="00504850" w:rsidRPr="00504850" w:rsidRDefault="00504850" w:rsidP="00504850">
            <w:pPr>
              <w:rPr>
                <w:rFonts w:ascii="Arial" w:hAnsi="Arial"/>
                <w:sz w:val="22"/>
              </w:rPr>
            </w:pPr>
            <w:r w:rsidRPr="00504850">
              <w:rPr>
                <w:rFonts w:ascii="Arial" w:hAnsi="Arial"/>
                <w:sz w:val="22"/>
              </w:rPr>
              <w:t>Mr D Probert - Chief Executive</w:t>
            </w:r>
          </w:p>
        </w:tc>
        <w:tc>
          <w:tcPr>
            <w:tcW w:w="2127" w:type="dxa"/>
            <w:tcBorders>
              <w:top w:val="nil"/>
              <w:left w:val="nil"/>
              <w:bottom w:val="single" w:sz="4" w:space="0" w:color="auto"/>
              <w:right w:val="single" w:sz="4" w:space="0" w:color="auto"/>
            </w:tcBorders>
            <w:shd w:val="clear" w:color="auto" w:fill="auto"/>
            <w:noWrap/>
            <w:vAlign w:val="bottom"/>
            <w:hideMark/>
          </w:tcPr>
          <w:p w14:paraId="0BA06E89" w14:textId="77777777" w:rsidR="00504850" w:rsidRPr="00504850" w:rsidRDefault="00504850" w:rsidP="00504850">
            <w:pPr>
              <w:jc w:val="center"/>
              <w:rPr>
                <w:rFonts w:ascii="Arial" w:hAnsi="Arial"/>
                <w:sz w:val="22"/>
              </w:rPr>
            </w:pPr>
            <w:r w:rsidRPr="00504850">
              <w:rPr>
                <w:rFonts w:ascii="Arial" w:hAnsi="Arial"/>
                <w:sz w:val="22"/>
              </w:rPr>
              <w:t>919</w:t>
            </w:r>
          </w:p>
        </w:tc>
        <w:tc>
          <w:tcPr>
            <w:tcW w:w="2126" w:type="dxa"/>
            <w:tcBorders>
              <w:top w:val="nil"/>
              <w:left w:val="nil"/>
              <w:bottom w:val="single" w:sz="4" w:space="0" w:color="auto"/>
              <w:right w:val="single" w:sz="4" w:space="0" w:color="auto"/>
            </w:tcBorders>
            <w:shd w:val="clear" w:color="auto" w:fill="auto"/>
            <w:noWrap/>
            <w:vAlign w:val="bottom"/>
            <w:hideMark/>
          </w:tcPr>
          <w:p w14:paraId="24BD3CA3" w14:textId="77777777" w:rsidR="00504850" w:rsidRPr="00504850" w:rsidRDefault="00504850" w:rsidP="00504850">
            <w:pPr>
              <w:jc w:val="center"/>
              <w:rPr>
                <w:rFonts w:ascii="Arial" w:hAnsi="Arial"/>
                <w:sz w:val="22"/>
              </w:rPr>
            </w:pPr>
            <w:r w:rsidRPr="00504850">
              <w:rPr>
                <w:rFonts w:ascii="Arial" w:hAnsi="Arial"/>
                <w:sz w:val="22"/>
              </w:rPr>
              <w:t>997</w:t>
            </w:r>
          </w:p>
        </w:tc>
        <w:tc>
          <w:tcPr>
            <w:tcW w:w="2126" w:type="dxa"/>
            <w:tcBorders>
              <w:top w:val="nil"/>
              <w:left w:val="nil"/>
              <w:bottom w:val="single" w:sz="4" w:space="0" w:color="auto"/>
              <w:right w:val="single" w:sz="4" w:space="0" w:color="auto"/>
            </w:tcBorders>
            <w:shd w:val="clear" w:color="auto" w:fill="auto"/>
            <w:noWrap/>
            <w:vAlign w:val="bottom"/>
            <w:hideMark/>
          </w:tcPr>
          <w:p w14:paraId="0ACBFBE8" w14:textId="77777777" w:rsidR="00504850" w:rsidRPr="00504850" w:rsidRDefault="00504850" w:rsidP="00504850">
            <w:pPr>
              <w:jc w:val="center"/>
              <w:rPr>
                <w:rFonts w:ascii="Arial" w:hAnsi="Arial"/>
                <w:sz w:val="22"/>
              </w:rPr>
            </w:pPr>
            <w:r w:rsidRPr="00504850">
              <w:rPr>
                <w:rFonts w:ascii="Arial" w:hAnsi="Arial"/>
                <w:sz w:val="22"/>
              </w:rPr>
              <w:t>62</w:t>
            </w:r>
          </w:p>
        </w:tc>
      </w:tr>
      <w:tr w:rsidR="00504850" w:rsidRPr="00504850" w14:paraId="077654E4" w14:textId="77777777" w:rsidTr="00504850">
        <w:trPr>
          <w:trHeight w:val="260"/>
        </w:trPr>
        <w:tc>
          <w:tcPr>
            <w:tcW w:w="9067" w:type="dxa"/>
            <w:tcBorders>
              <w:top w:val="nil"/>
              <w:left w:val="single" w:sz="4" w:space="0" w:color="auto"/>
              <w:bottom w:val="single" w:sz="4" w:space="0" w:color="auto"/>
              <w:right w:val="single" w:sz="4" w:space="0" w:color="auto"/>
            </w:tcBorders>
            <w:shd w:val="clear" w:color="auto" w:fill="auto"/>
            <w:noWrap/>
            <w:vAlign w:val="bottom"/>
            <w:hideMark/>
          </w:tcPr>
          <w:p w14:paraId="5C9508A6" w14:textId="77777777" w:rsidR="00504850" w:rsidRPr="00504850" w:rsidRDefault="00504850" w:rsidP="00504850">
            <w:pPr>
              <w:rPr>
                <w:rFonts w:ascii="Arial" w:hAnsi="Arial"/>
                <w:sz w:val="22"/>
              </w:rPr>
            </w:pPr>
            <w:r w:rsidRPr="00504850">
              <w:rPr>
                <w:rFonts w:ascii="Arial" w:hAnsi="Arial"/>
                <w:sz w:val="22"/>
              </w:rPr>
              <w:t xml:space="preserve">Mr J Wilson - Chief Financial Officer </w:t>
            </w:r>
          </w:p>
        </w:tc>
        <w:tc>
          <w:tcPr>
            <w:tcW w:w="2127" w:type="dxa"/>
            <w:tcBorders>
              <w:top w:val="nil"/>
              <w:left w:val="nil"/>
              <w:bottom w:val="single" w:sz="4" w:space="0" w:color="auto"/>
              <w:right w:val="single" w:sz="4" w:space="0" w:color="auto"/>
            </w:tcBorders>
            <w:shd w:val="clear" w:color="auto" w:fill="auto"/>
            <w:noWrap/>
            <w:vAlign w:val="bottom"/>
            <w:hideMark/>
          </w:tcPr>
          <w:p w14:paraId="5C79BC38" w14:textId="77777777" w:rsidR="00504850" w:rsidRPr="00504850" w:rsidRDefault="00504850" w:rsidP="00504850">
            <w:pPr>
              <w:jc w:val="center"/>
              <w:rPr>
                <w:rFonts w:ascii="Arial" w:hAnsi="Arial"/>
                <w:sz w:val="22"/>
              </w:rPr>
            </w:pPr>
            <w:r w:rsidRPr="00504850">
              <w:rPr>
                <w:rFonts w:ascii="Arial" w:hAnsi="Arial"/>
                <w:sz w:val="22"/>
              </w:rPr>
              <w:t>536</w:t>
            </w:r>
          </w:p>
        </w:tc>
        <w:tc>
          <w:tcPr>
            <w:tcW w:w="2126" w:type="dxa"/>
            <w:tcBorders>
              <w:top w:val="nil"/>
              <w:left w:val="nil"/>
              <w:bottom w:val="single" w:sz="4" w:space="0" w:color="auto"/>
              <w:right w:val="single" w:sz="4" w:space="0" w:color="auto"/>
            </w:tcBorders>
            <w:shd w:val="clear" w:color="auto" w:fill="auto"/>
            <w:noWrap/>
            <w:vAlign w:val="bottom"/>
            <w:hideMark/>
          </w:tcPr>
          <w:p w14:paraId="45368A1C" w14:textId="77777777" w:rsidR="00504850" w:rsidRPr="00504850" w:rsidRDefault="00504850" w:rsidP="00504850">
            <w:pPr>
              <w:jc w:val="center"/>
              <w:rPr>
                <w:rFonts w:ascii="Arial" w:hAnsi="Arial"/>
                <w:sz w:val="22"/>
              </w:rPr>
            </w:pPr>
            <w:r w:rsidRPr="00504850">
              <w:rPr>
                <w:rFonts w:ascii="Arial" w:hAnsi="Arial"/>
                <w:sz w:val="22"/>
              </w:rPr>
              <w:t>0</w:t>
            </w:r>
          </w:p>
        </w:tc>
        <w:tc>
          <w:tcPr>
            <w:tcW w:w="2126" w:type="dxa"/>
            <w:tcBorders>
              <w:top w:val="nil"/>
              <w:left w:val="nil"/>
              <w:bottom w:val="single" w:sz="4" w:space="0" w:color="auto"/>
              <w:right w:val="single" w:sz="4" w:space="0" w:color="auto"/>
            </w:tcBorders>
            <w:shd w:val="clear" w:color="auto" w:fill="auto"/>
            <w:noWrap/>
            <w:vAlign w:val="bottom"/>
            <w:hideMark/>
          </w:tcPr>
          <w:p w14:paraId="585D1EE0" w14:textId="77777777" w:rsidR="00504850" w:rsidRPr="00504850" w:rsidRDefault="00504850" w:rsidP="00504850">
            <w:pPr>
              <w:jc w:val="center"/>
              <w:rPr>
                <w:rFonts w:ascii="Arial" w:hAnsi="Arial"/>
                <w:sz w:val="22"/>
              </w:rPr>
            </w:pPr>
            <w:r w:rsidRPr="00504850">
              <w:rPr>
                <w:rFonts w:ascii="Arial" w:hAnsi="Arial"/>
                <w:sz w:val="22"/>
              </w:rPr>
              <w:t>0</w:t>
            </w:r>
          </w:p>
        </w:tc>
      </w:tr>
      <w:tr w:rsidR="00504850" w:rsidRPr="00504850" w14:paraId="2F7E5757" w14:textId="77777777" w:rsidTr="00504850">
        <w:trPr>
          <w:trHeight w:val="260"/>
        </w:trPr>
        <w:tc>
          <w:tcPr>
            <w:tcW w:w="9067" w:type="dxa"/>
            <w:tcBorders>
              <w:top w:val="nil"/>
              <w:left w:val="single" w:sz="4" w:space="0" w:color="auto"/>
              <w:bottom w:val="single" w:sz="4" w:space="0" w:color="auto"/>
              <w:right w:val="single" w:sz="4" w:space="0" w:color="auto"/>
            </w:tcBorders>
            <w:shd w:val="clear" w:color="auto" w:fill="auto"/>
            <w:noWrap/>
            <w:vAlign w:val="bottom"/>
            <w:hideMark/>
          </w:tcPr>
          <w:p w14:paraId="61A35650" w14:textId="77777777" w:rsidR="00504850" w:rsidRPr="00504850" w:rsidRDefault="00504850" w:rsidP="00504850">
            <w:pPr>
              <w:rPr>
                <w:rFonts w:ascii="Arial" w:hAnsi="Arial"/>
                <w:sz w:val="22"/>
              </w:rPr>
            </w:pPr>
            <w:r w:rsidRPr="00504850">
              <w:rPr>
                <w:rFonts w:ascii="Arial" w:hAnsi="Arial"/>
                <w:sz w:val="22"/>
              </w:rPr>
              <w:t>Ms T Luckett - Director of Nursing &amp; Allied Health Professions</w:t>
            </w:r>
          </w:p>
        </w:tc>
        <w:tc>
          <w:tcPr>
            <w:tcW w:w="2127" w:type="dxa"/>
            <w:tcBorders>
              <w:top w:val="nil"/>
              <w:left w:val="nil"/>
              <w:bottom w:val="single" w:sz="4" w:space="0" w:color="auto"/>
              <w:right w:val="single" w:sz="4" w:space="0" w:color="auto"/>
            </w:tcBorders>
            <w:shd w:val="clear" w:color="auto" w:fill="auto"/>
            <w:noWrap/>
            <w:vAlign w:val="bottom"/>
            <w:hideMark/>
          </w:tcPr>
          <w:p w14:paraId="523330B3" w14:textId="77777777" w:rsidR="00504850" w:rsidRPr="00504850" w:rsidRDefault="00504850" w:rsidP="00504850">
            <w:pPr>
              <w:jc w:val="center"/>
              <w:rPr>
                <w:rFonts w:ascii="Arial" w:hAnsi="Arial"/>
                <w:sz w:val="22"/>
              </w:rPr>
            </w:pPr>
            <w:r w:rsidRPr="00504850">
              <w:rPr>
                <w:rFonts w:ascii="Arial" w:hAnsi="Arial"/>
                <w:sz w:val="22"/>
              </w:rPr>
              <w:t>1,136</w:t>
            </w:r>
          </w:p>
        </w:tc>
        <w:tc>
          <w:tcPr>
            <w:tcW w:w="2126" w:type="dxa"/>
            <w:tcBorders>
              <w:top w:val="nil"/>
              <w:left w:val="nil"/>
              <w:bottom w:val="single" w:sz="4" w:space="0" w:color="auto"/>
              <w:right w:val="single" w:sz="4" w:space="0" w:color="auto"/>
            </w:tcBorders>
            <w:shd w:val="clear" w:color="auto" w:fill="auto"/>
            <w:noWrap/>
            <w:vAlign w:val="bottom"/>
            <w:hideMark/>
          </w:tcPr>
          <w:p w14:paraId="10E0239D" w14:textId="77777777" w:rsidR="00504850" w:rsidRPr="00504850" w:rsidRDefault="00504850" w:rsidP="00504850">
            <w:pPr>
              <w:jc w:val="center"/>
              <w:rPr>
                <w:rFonts w:ascii="Arial" w:hAnsi="Arial"/>
                <w:sz w:val="22"/>
              </w:rPr>
            </w:pPr>
            <w:r w:rsidRPr="00504850">
              <w:rPr>
                <w:rFonts w:ascii="Arial" w:hAnsi="Arial"/>
                <w:sz w:val="22"/>
              </w:rPr>
              <w:t>1,268</w:t>
            </w:r>
          </w:p>
        </w:tc>
        <w:tc>
          <w:tcPr>
            <w:tcW w:w="2126" w:type="dxa"/>
            <w:tcBorders>
              <w:top w:val="nil"/>
              <w:left w:val="nil"/>
              <w:bottom w:val="single" w:sz="4" w:space="0" w:color="auto"/>
              <w:right w:val="single" w:sz="4" w:space="0" w:color="auto"/>
            </w:tcBorders>
            <w:shd w:val="clear" w:color="auto" w:fill="auto"/>
            <w:noWrap/>
            <w:vAlign w:val="bottom"/>
            <w:hideMark/>
          </w:tcPr>
          <w:p w14:paraId="01C2F6AF" w14:textId="77777777" w:rsidR="00504850" w:rsidRPr="00504850" w:rsidRDefault="00504850" w:rsidP="00504850">
            <w:pPr>
              <w:jc w:val="center"/>
              <w:rPr>
                <w:rFonts w:ascii="Arial" w:hAnsi="Arial"/>
                <w:sz w:val="22"/>
              </w:rPr>
            </w:pPr>
            <w:r w:rsidRPr="00504850">
              <w:rPr>
                <w:rFonts w:ascii="Arial" w:hAnsi="Arial"/>
                <w:sz w:val="22"/>
              </w:rPr>
              <w:t>111</w:t>
            </w:r>
          </w:p>
        </w:tc>
      </w:tr>
      <w:tr w:rsidR="00504850" w:rsidRPr="00504850" w14:paraId="3A4206F2" w14:textId="77777777" w:rsidTr="00504850">
        <w:trPr>
          <w:trHeight w:val="260"/>
        </w:trPr>
        <w:tc>
          <w:tcPr>
            <w:tcW w:w="9067" w:type="dxa"/>
            <w:tcBorders>
              <w:top w:val="nil"/>
              <w:left w:val="single" w:sz="4" w:space="0" w:color="auto"/>
              <w:bottom w:val="single" w:sz="4" w:space="0" w:color="auto"/>
              <w:right w:val="single" w:sz="4" w:space="0" w:color="auto"/>
            </w:tcBorders>
            <w:shd w:val="clear" w:color="auto" w:fill="auto"/>
            <w:noWrap/>
            <w:vAlign w:val="bottom"/>
            <w:hideMark/>
          </w:tcPr>
          <w:p w14:paraId="1CE96E31" w14:textId="77777777" w:rsidR="00504850" w:rsidRPr="00504850" w:rsidRDefault="00504850" w:rsidP="00504850">
            <w:pPr>
              <w:rPr>
                <w:rFonts w:ascii="Arial" w:hAnsi="Arial"/>
                <w:sz w:val="22"/>
              </w:rPr>
            </w:pPr>
            <w:r w:rsidRPr="00504850">
              <w:rPr>
                <w:rFonts w:ascii="Arial" w:hAnsi="Arial"/>
                <w:sz w:val="22"/>
              </w:rPr>
              <w:t>Ms S Needham - Director of Nursing &amp; Allied Health Professions</w:t>
            </w:r>
          </w:p>
        </w:tc>
        <w:tc>
          <w:tcPr>
            <w:tcW w:w="2127" w:type="dxa"/>
            <w:tcBorders>
              <w:top w:val="nil"/>
              <w:left w:val="nil"/>
              <w:bottom w:val="single" w:sz="4" w:space="0" w:color="auto"/>
              <w:right w:val="single" w:sz="4" w:space="0" w:color="auto"/>
            </w:tcBorders>
            <w:shd w:val="clear" w:color="auto" w:fill="auto"/>
            <w:noWrap/>
            <w:vAlign w:val="bottom"/>
            <w:hideMark/>
          </w:tcPr>
          <w:p w14:paraId="42350027" w14:textId="77777777" w:rsidR="00504850" w:rsidRPr="00504850" w:rsidRDefault="00504850" w:rsidP="00504850">
            <w:pPr>
              <w:jc w:val="center"/>
              <w:rPr>
                <w:rFonts w:ascii="Arial" w:hAnsi="Arial"/>
                <w:sz w:val="22"/>
              </w:rPr>
            </w:pPr>
            <w:r w:rsidRPr="00504850">
              <w:rPr>
                <w:rFonts w:ascii="Arial" w:hAnsi="Arial"/>
                <w:sz w:val="22"/>
              </w:rPr>
              <w:t>454</w:t>
            </w:r>
          </w:p>
        </w:tc>
        <w:tc>
          <w:tcPr>
            <w:tcW w:w="2126" w:type="dxa"/>
            <w:tcBorders>
              <w:top w:val="nil"/>
              <w:left w:val="nil"/>
              <w:bottom w:val="single" w:sz="4" w:space="0" w:color="auto"/>
              <w:right w:val="single" w:sz="4" w:space="0" w:color="auto"/>
            </w:tcBorders>
            <w:shd w:val="clear" w:color="auto" w:fill="auto"/>
            <w:noWrap/>
            <w:vAlign w:val="bottom"/>
            <w:hideMark/>
          </w:tcPr>
          <w:p w14:paraId="0653B469" w14:textId="77777777" w:rsidR="00504850" w:rsidRPr="00504850" w:rsidRDefault="00504850" w:rsidP="00504850">
            <w:pPr>
              <w:jc w:val="center"/>
              <w:rPr>
                <w:rFonts w:ascii="Arial" w:hAnsi="Arial"/>
                <w:sz w:val="22"/>
              </w:rPr>
            </w:pPr>
            <w:r w:rsidRPr="00504850">
              <w:rPr>
                <w:rFonts w:ascii="Arial" w:hAnsi="Arial"/>
                <w:sz w:val="22"/>
              </w:rPr>
              <w:t>494</w:t>
            </w:r>
          </w:p>
        </w:tc>
        <w:tc>
          <w:tcPr>
            <w:tcW w:w="2126" w:type="dxa"/>
            <w:tcBorders>
              <w:top w:val="nil"/>
              <w:left w:val="nil"/>
              <w:bottom w:val="single" w:sz="4" w:space="0" w:color="auto"/>
              <w:right w:val="single" w:sz="4" w:space="0" w:color="auto"/>
            </w:tcBorders>
            <w:shd w:val="clear" w:color="auto" w:fill="auto"/>
            <w:noWrap/>
            <w:vAlign w:val="bottom"/>
            <w:hideMark/>
          </w:tcPr>
          <w:p w14:paraId="543CC442" w14:textId="77777777" w:rsidR="00504850" w:rsidRPr="00504850" w:rsidRDefault="00504850" w:rsidP="00504850">
            <w:pPr>
              <w:jc w:val="center"/>
              <w:rPr>
                <w:rFonts w:ascii="Arial" w:hAnsi="Arial"/>
                <w:sz w:val="22"/>
              </w:rPr>
            </w:pPr>
            <w:r w:rsidRPr="00504850">
              <w:rPr>
                <w:rFonts w:ascii="Arial" w:hAnsi="Arial"/>
                <w:sz w:val="22"/>
              </w:rPr>
              <w:t>36</w:t>
            </w:r>
          </w:p>
        </w:tc>
      </w:tr>
      <w:tr w:rsidR="00504850" w:rsidRPr="00504850" w14:paraId="67B2031B" w14:textId="77777777" w:rsidTr="00504850">
        <w:trPr>
          <w:trHeight w:val="260"/>
        </w:trPr>
        <w:tc>
          <w:tcPr>
            <w:tcW w:w="9067" w:type="dxa"/>
            <w:tcBorders>
              <w:top w:val="nil"/>
              <w:left w:val="single" w:sz="4" w:space="0" w:color="auto"/>
              <w:bottom w:val="single" w:sz="4" w:space="0" w:color="auto"/>
              <w:right w:val="single" w:sz="4" w:space="0" w:color="auto"/>
            </w:tcBorders>
            <w:shd w:val="clear" w:color="auto" w:fill="auto"/>
            <w:noWrap/>
            <w:vAlign w:val="bottom"/>
            <w:hideMark/>
          </w:tcPr>
          <w:p w14:paraId="12114C21" w14:textId="77777777" w:rsidR="00504850" w:rsidRPr="00504850" w:rsidRDefault="00504850" w:rsidP="00504850">
            <w:pPr>
              <w:rPr>
                <w:rFonts w:ascii="Arial" w:hAnsi="Arial"/>
                <w:sz w:val="22"/>
              </w:rPr>
            </w:pPr>
            <w:r w:rsidRPr="00504850">
              <w:rPr>
                <w:rFonts w:ascii="Arial" w:hAnsi="Arial"/>
                <w:sz w:val="22"/>
              </w:rPr>
              <w:t xml:space="preserve">Ms L Wickham - Medical Director </w:t>
            </w:r>
          </w:p>
        </w:tc>
        <w:tc>
          <w:tcPr>
            <w:tcW w:w="2127" w:type="dxa"/>
            <w:tcBorders>
              <w:top w:val="nil"/>
              <w:left w:val="nil"/>
              <w:bottom w:val="single" w:sz="4" w:space="0" w:color="auto"/>
              <w:right w:val="single" w:sz="4" w:space="0" w:color="auto"/>
            </w:tcBorders>
            <w:shd w:val="clear" w:color="auto" w:fill="auto"/>
            <w:noWrap/>
            <w:vAlign w:val="bottom"/>
            <w:hideMark/>
          </w:tcPr>
          <w:p w14:paraId="3CA25C24" w14:textId="77777777" w:rsidR="00504850" w:rsidRPr="00504850" w:rsidRDefault="00504850" w:rsidP="00504850">
            <w:pPr>
              <w:jc w:val="center"/>
              <w:rPr>
                <w:rFonts w:ascii="Arial" w:hAnsi="Arial"/>
                <w:sz w:val="22"/>
              </w:rPr>
            </w:pPr>
            <w:r w:rsidRPr="00504850">
              <w:rPr>
                <w:rFonts w:ascii="Arial" w:hAnsi="Arial"/>
                <w:sz w:val="22"/>
              </w:rPr>
              <w:t>690</w:t>
            </w:r>
          </w:p>
        </w:tc>
        <w:tc>
          <w:tcPr>
            <w:tcW w:w="2126" w:type="dxa"/>
            <w:tcBorders>
              <w:top w:val="nil"/>
              <w:left w:val="nil"/>
              <w:bottom w:val="single" w:sz="4" w:space="0" w:color="auto"/>
              <w:right w:val="single" w:sz="4" w:space="0" w:color="auto"/>
            </w:tcBorders>
            <w:shd w:val="clear" w:color="auto" w:fill="auto"/>
            <w:noWrap/>
            <w:vAlign w:val="bottom"/>
            <w:hideMark/>
          </w:tcPr>
          <w:p w14:paraId="3BB595DD" w14:textId="77777777" w:rsidR="00504850" w:rsidRPr="00504850" w:rsidRDefault="00504850" w:rsidP="00504850">
            <w:pPr>
              <w:jc w:val="center"/>
              <w:rPr>
                <w:rFonts w:ascii="Arial" w:hAnsi="Arial"/>
                <w:sz w:val="22"/>
              </w:rPr>
            </w:pPr>
            <w:r w:rsidRPr="00504850">
              <w:rPr>
                <w:rFonts w:ascii="Arial" w:hAnsi="Arial"/>
                <w:sz w:val="22"/>
              </w:rPr>
              <w:t>730</w:t>
            </w:r>
          </w:p>
        </w:tc>
        <w:tc>
          <w:tcPr>
            <w:tcW w:w="2126" w:type="dxa"/>
            <w:tcBorders>
              <w:top w:val="nil"/>
              <w:left w:val="nil"/>
              <w:bottom w:val="single" w:sz="4" w:space="0" w:color="auto"/>
              <w:right w:val="single" w:sz="4" w:space="0" w:color="auto"/>
            </w:tcBorders>
            <w:shd w:val="clear" w:color="auto" w:fill="auto"/>
            <w:noWrap/>
            <w:vAlign w:val="bottom"/>
            <w:hideMark/>
          </w:tcPr>
          <w:p w14:paraId="40430F62" w14:textId="77777777" w:rsidR="00504850" w:rsidRPr="00504850" w:rsidRDefault="00504850" w:rsidP="00504850">
            <w:pPr>
              <w:jc w:val="center"/>
              <w:rPr>
                <w:rFonts w:ascii="Arial" w:hAnsi="Arial"/>
                <w:sz w:val="22"/>
              </w:rPr>
            </w:pPr>
            <w:r w:rsidRPr="00504850">
              <w:rPr>
                <w:rFonts w:ascii="Arial" w:hAnsi="Arial"/>
                <w:sz w:val="22"/>
              </w:rPr>
              <w:t>18</w:t>
            </w:r>
          </w:p>
        </w:tc>
      </w:tr>
      <w:tr w:rsidR="00504850" w:rsidRPr="00504850" w14:paraId="03E0E84C" w14:textId="77777777" w:rsidTr="00504850">
        <w:trPr>
          <w:trHeight w:val="260"/>
        </w:trPr>
        <w:tc>
          <w:tcPr>
            <w:tcW w:w="9067" w:type="dxa"/>
            <w:tcBorders>
              <w:top w:val="nil"/>
              <w:left w:val="single" w:sz="4" w:space="0" w:color="auto"/>
              <w:bottom w:val="single" w:sz="4" w:space="0" w:color="auto"/>
              <w:right w:val="single" w:sz="4" w:space="0" w:color="auto"/>
            </w:tcBorders>
            <w:shd w:val="clear" w:color="auto" w:fill="auto"/>
            <w:noWrap/>
            <w:vAlign w:val="bottom"/>
            <w:hideMark/>
          </w:tcPr>
          <w:p w14:paraId="332E2137" w14:textId="77777777" w:rsidR="00504850" w:rsidRPr="00504850" w:rsidRDefault="00504850" w:rsidP="00504850">
            <w:pPr>
              <w:rPr>
                <w:rFonts w:ascii="Arial" w:hAnsi="Arial"/>
                <w:sz w:val="22"/>
              </w:rPr>
            </w:pPr>
            <w:r w:rsidRPr="00504850">
              <w:rPr>
                <w:rFonts w:ascii="Arial" w:hAnsi="Arial"/>
                <w:sz w:val="22"/>
              </w:rPr>
              <w:t xml:space="preserve">Ms J Moss Director of Strategy &amp; </w:t>
            </w:r>
            <w:proofErr w:type="spellStart"/>
            <w:r w:rsidRPr="00504850">
              <w:rPr>
                <w:rFonts w:ascii="Arial" w:hAnsi="Arial"/>
                <w:sz w:val="22"/>
              </w:rPr>
              <w:t>Buisness</w:t>
            </w:r>
            <w:proofErr w:type="spellEnd"/>
            <w:r w:rsidRPr="00504850">
              <w:rPr>
                <w:rFonts w:ascii="Arial" w:hAnsi="Arial"/>
                <w:sz w:val="22"/>
              </w:rPr>
              <w:t xml:space="preserve"> Development </w:t>
            </w:r>
          </w:p>
        </w:tc>
        <w:tc>
          <w:tcPr>
            <w:tcW w:w="2127" w:type="dxa"/>
            <w:tcBorders>
              <w:top w:val="nil"/>
              <w:left w:val="nil"/>
              <w:bottom w:val="single" w:sz="4" w:space="0" w:color="auto"/>
              <w:right w:val="single" w:sz="4" w:space="0" w:color="auto"/>
            </w:tcBorders>
            <w:shd w:val="clear" w:color="auto" w:fill="auto"/>
            <w:noWrap/>
            <w:vAlign w:val="bottom"/>
            <w:hideMark/>
          </w:tcPr>
          <w:p w14:paraId="0BBCFEDE" w14:textId="77777777" w:rsidR="00504850" w:rsidRPr="00504850" w:rsidRDefault="00504850" w:rsidP="00504850">
            <w:pPr>
              <w:jc w:val="center"/>
              <w:rPr>
                <w:rFonts w:ascii="Arial" w:hAnsi="Arial"/>
                <w:sz w:val="22"/>
              </w:rPr>
            </w:pPr>
            <w:r w:rsidRPr="00504850">
              <w:rPr>
                <w:rFonts w:ascii="Arial" w:hAnsi="Arial"/>
                <w:sz w:val="22"/>
              </w:rPr>
              <w:t>476</w:t>
            </w:r>
          </w:p>
        </w:tc>
        <w:tc>
          <w:tcPr>
            <w:tcW w:w="2126" w:type="dxa"/>
            <w:tcBorders>
              <w:top w:val="nil"/>
              <w:left w:val="nil"/>
              <w:bottom w:val="single" w:sz="4" w:space="0" w:color="auto"/>
              <w:right w:val="single" w:sz="4" w:space="0" w:color="auto"/>
            </w:tcBorders>
            <w:shd w:val="clear" w:color="auto" w:fill="auto"/>
            <w:noWrap/>
            <w:vAlign w:val="bottom"/>
            <w:hideMark/>
          </w:tcPr>
          <w:p w14:paraId="6C8A53DA" w14:textId="77777777" w:rsidR="00504850" w:rsidRPr="00504850" w:rsidRDefault="00504850" w:rsidP="00504850">
            <w:pPr>
              <w:jc w:val="center"/>
              <w:rPr>
                <w:rFonts w:ascii="Arial" w:hAnsi="Arial"/>
                <w:sz w:val="22"/>
              </w:rPr>
            </w:pPr>
            <w:r w:rsidRPr="00504850">
              <w:rPr>
                <w:rFonts w:ascii="Arial" w:hAnsi="Arial"/>
                <w:sz w:val="22"/>
              </w:rPr>
              <w:t>529</w:t>
            </w:r>
          </w:p>
        </w:tc>
        <w:tc>
          <w:tcPr>
            <w:tcW w:w="2126" w:type="dxa"/>
            <w:tcBorders>
              <w:top w:val="nil"/>
              <w:left w:val="nil"/>
              <w:bottom w:val="single" w:sz="4" w:space="0" w:color="auto"/>
              <w:right w:val="single" w:sz="4" w:space="0" w:color="auto"/>
            </w:tcBorders>
            <w:shd w:val="clear" w:color="auto" w:fill="auto"/>
            <w:noWrap/>
            <w:vAlign w:val="bottom"/>
            <w:hideMark/>
          </w:tcPr>
          <w:p w14:paraId="11BFBDCC" w14:textId="77777777" w:rsidR="00504850" w:rsidRPr="00504850" w:rsidRDefault="00504850" w:rsidP="00504850">
            <w:pPr>
              <w:jc w:val="center"/>
              <w:rPr>
                <w:rFonts w:ascii="Arial" w:hAnsi="Arial"/>
                <w:sz w:val="22"/>
              </w:rPr>
            </w:pPr>
            <w:r w:rsidRPr="00504850">
              <w:rPr>
                <w:rFonts w:ascii="Arial" w:hAnsi="Arial"/>
                <w:sz w:val="22"/>
              </w:rPr>
              <w:t>30</w:t>
            </w:r>
          </w:p>
        </w:tc>
      </w:tr>
      <w:tr w:rsidR="00504850" w:rsidRPr="00504850" w14:paraId="223509BC" w14:textId="77777777" w:rsidTr="00504850">
        <w:trPr>
          <w:trHeight w:val="260"/>
        </w:trPr>
        <w:tc>
          <w:tcPr>
            <w:tcW w:w="9067" w:type="dxa"/>
            <w:tcBorders>
              <w:top w:val="nil"/>
              <w:left w:val="single" w:sz="4" w:space="0" w:color="auto"/>
              <w:bottom w:val="single" w:sz="4" w:space="0" w:color="auto"/>
              <w:right w:val="single" w:sz="4" w:space="0" w:color="auto"/>
            </w:tcBorders>
            <w:shd w:val="clear" w:color="auto" w:fill="auto"/>
            <w:noWrap/>
            <w:vAlign w:val="bottom"/>
            <w:hideMark/>
          </w:tcPr>
          <w:p w14:paraId="663C4D07" w14:textId="77777777" w:rsidR="00504850" w:rsidRPr="00504850" w:rsidRDefault="00504850" w:rsidP="00504850">
            <w:pPr>
              <w:rPr>
                <w:rFonts w:ascii="Arial" w:hAnsi="Arial"/>
                <w:sz w:val="22"/>
              </w:rPr>
            </w:pPr>
            <w:r w:rsidRPr="00504850">
              <w:rPr>
                <w:rFonts w:ascii="Arial" w:hAnsi="Arial"/>
                <w:sz w:val="22"/>
              </w:rPr>
              <w:t>Mr J Spencer - Chief Operating Officer</w:t>
            </w:r>
          </w:p>
        </w:tc>
        <w:tc>
          <w:tcPr>
            <w:tcW w:w="2127" w:type="dxa"/>
            <w:tcBorders>
              <w:top w:val="nil"/>
              <w:left w:val="nil"/>
              <w:bottom w:val="single" w:sz="4" w:space="0" w:color="auto"/>
              <w:right w:val="single" w:sz="4" w:space="0" w:color="auto"/>
            </w:tcBorders>
            <w:shd w:val="clear" w:color="auto" w:fill="auto"/>
            <w:noWrap/>
            <w:vAlign w:val="bottom"/>
            <w:hideMark/>
          </w:tcPr>
          <w:p w14:paraId="3263DFD5" w14:textId="77777777" w:rsidR="00504850" w:rsidRPr="00504850" w:rsidRDefault="00504850" w:rsidP="00504850">
            <w:pPr>
              <w:jc w:val="center"/>
              <w:rPr>
                <w:rFonts w:ascii="Arial" w:hAnsi="Arial"/>
                <w:sz w:val="22"/>
              </w:rPr>
            </w:pPr>
            <w:r w:rsidRPr="00504850">
              <w:rPr>
                <w:rFonts w:ascii="Arial" w:hAnsi="Arial"/>
                <w:sz w:val="22"/>
              </w:rPr>
              <w:t>422</w:t>
            </w:r>
          </w:p>
        </w:tc>
        <w:tc>
          <w:tcPr>
            <w:tcW w:w="2126" w:type="dxa"/>
            <w:tcBorders>
              <w:top w:val="nil"/>
              <w:left w:val="nil"/>
              <w:bottom w:val="single" w:sz="4" w:space="0" w:color="auto"/>
              <w:right w:val="single" w:sz="4" w:space="0" w:color="auto"/>
            </w:tcBorders>
            <w:shd w:val="clear" w:color="auto" w:fill="auto"/>
            <w:noWrap/>
            <w:vAlign w:val="bottom"/>
            <w:hideMark/>
          </w:tcPr>
          <w:p w14:paraId="3C8EC37F" w14:textId="77777777" w:rsidR="00504850" w:rsidRPr="00504850" w:rsidRDefault="00504850" w:rsidP="00504850">
            <w:pPr>
              <w:jc w:val="center"/>
              <w:rPr>
                <w:rFonts w:ascii="Arial" w:hAnsi="Arial"/>
                <w:sz w:val="22"/>
              </w:rPr>
            </w:pPr>
            <w:r w:rsidRPr="00504850">
              <w:rPr>
                <w:rFonts w:ascii="Arial" w:hAnsi="Arial"/>
                <w:sz w:val="22"/>
              </w:rPr>
              <w:t>462</w:t>
            </w:r>
          </w:p>
        </w:tc>
        <w:tc>
          <w:tcPr>
            <w:tcW w:w="2126" w:type="dxa"/>
            <w:tcBorders>
              <w:top w:val="nil"/>
              <w:left w:val="nil"/>
              <w:bottom w:val="single" w:sz="4" w:space="0" w:color="auto"/>
              <w:right w:val="single" w:sz="4" w:space="0" w:color="auto"/>
            </w:tcBorders>
            <w:shd w:val="clear" w:color="auto" w:fill="auto"/>
            <w:noWrap/>
            <w:vAlign w:val="bottom"/>
            <w:hideMark/>
          </w:tcPr>
          <w:p w14:paraId="4BEEC62A" w14:textId="77777777" w:rsidR="00504850" w:rsidRPr="00504850" w:rsidRDefault="00504850" w:rsidP="00504850">
            <w:pPr>
              <w:jc w:val="center"/>
              <w:rPr>
                <w:rFonts w:ascii="Arial" w:hAnsi="Arial"/>
                <w:sz w:val="22"/>
              </w:rPr>
            </w:pPr>
            <w:r w:rsidRPr="00504850">
              <w:rPr>
                <w:rFonts w:ascii="Arial" w:hAnsi="Arial"/>
                <w:sz w:val="22"/>
              </w:rPr>
              <w:t>34</w:t>
            </w:r>
          </w:p>
        </w:tc>
      </w:tr>
    </w:tbl>
    <w:p w14:paraId="426B4A8C" w14:textId="77777777" w:rsidR="00504850" w:rsidRPr="00504850" w:rsidRDefault="00504850" w:rsidP="00504850">
      <w:pPr>
        <w:pStyle w:val="MEHBoldheading1"/>
        <w:rPr>
          <w:b w:val="0"/>
          <w:bCs/>
          <w:sz w:val="22"/>
        </w:rPr>
      </w:pPr>
      <w:r w:rsidRPr="00504850">
        <w:rPr>
          <w:b w:val="0"/>
          <w:bCs/>
          <w:sz w:val="22"/>
        </w:rPr>
        <w:t>Prof P Khaw is not a member of the NHS Pension Scheme.</w:t>
      </w:r>
      <w:r w:rsidRPr="00504850">
        <w:rPr>
          <w:b w:val="0"/>
          <w:bCs/>
          <w:sz w:val="22"/>
        </w:rPr>
        <w:tab/>
      </w:r>
      <w:r w:rsidRPr="00504850">
        <w:rPr>
          <w:b w:val="0"/>
          <w:bCs/>
          <w:sz w:val="22"/>
        </w:rPr>
        <w:tab/>
      </w:r>
      <w:r w:rsidRPr="00504850">
        <w:rPr>
          <w:b w:val="0"/>
          <w:bCs/>
          <w:sz w:val="22"/>
        </w:rPr>
        <w:tab/>
      </w:r>
    </w:p>
    <w:p w14:paraId="5A4DAE95" w14:textId="75FCD580" w:rsidR="00504850" w:rsidRPr="00504850" w:rsidRDefault="00504850" w:rsidP="00504850">
      <w:pPr>
        <w:pStyle w:val="MEHBoldheading1"/>
        <w:rPr>
          <w:b w:val="0"/>
          <w:bCs/>
          <w:sz w:val="22"/>
        </w:rPr>
      </w:pPr>
      <w:r w:rsidRPr="00504850">
        <w:rPr>
          <w:b w:val="0"/>
          <w:bCs/>
          <w:sz w:val="22"/>
        </w:rPr>
        <w:t>J Wilson is not a member of the NHS Pension Scheme in 2021/22</w:t>
      </w:r>
      <w:r w:rsidRPr="00504850">
        <w:rPr>
          <w:b w:val="0"/>
          <w:bCs/>
          <w:sz w:val="22"/>
        </w:rPr>
        <w:tab/>
      </w:r>
      <w:r w:rsidRPr="00504850">
        <w:rPr>
          <w:b w:val="0"/>
          <w:bCs/>
          <w:sz w:val="22"/>
        </w:rPr>
        <w:tab/>
      </w:r>
      <w:r w:rsidRPr="00504850">
        <w:rPr>
          <w:b w:val="0"/>
          <w:bCs/>
          <w:sz w:val="22"/>
        </w:rPr>
        <w:tab/>
      </w:r>
      <w:r w:rsidRPr="00504850">
        <w:rPr>
          <w:b w:val="0"/>
          <w:bCs/>
          <w:sz w:val="22"/>
        </w:rPr>
        <w:tab/>
      </w:r>
      <w:r w:rsidRPr="00504850">
        <w:rPr>
          <w:b w:val="0"/>
          <w:bCs/>
          <w:sz w:val="22"/>
        </w:rPr>
        <w:tab/>
      </w:r>
      <w:r w:rsidRPr="00504850">
        <w:rPr>
          <w:b w:val="0"/>
          <w:bCs/>
          <w:sz w:val="22"/>
        </w:rPr>
        <w:tab/>
      </w:r>
      <w:r w:rsidRPr="00504850">
        <w:rPr>
          <w:b w:val="0"/>
          <w:bCs/>
          <w:sz w:val="22"/>
        </w:rPr>
        <w:tab/>
      </w:r>
    </w:p>
    <w:p w14:paraId="46A43E85" w14:textId="72DE503E" w:rsidR="00504850" w:rsidRPr="00504850" w:rsidRDefault="00504850" w:rsidP="00504850">
      <w:pPr>
        <w:pStyle w:val="MEHBoldheading1"/>
        <w:rPr>
          <w:b w:val="0"/>
          <w:bCs/>
          <w:sz w:val="22"/>
        </w:rPr>
      </w:pPr>
      <w:r w:rsidRPr="00504850">
        <w:rPr>
          <w:b w:val="0"/>
          <w:bCs/>
          <w:sz w:val="22"/>
        </w:rPr>
        <w:t>Non-executive directors do not receive pensionable remuneration.</w:t>
      </w:r>
      <w:r w:rsidRPr="00504850">
        <w:rPr>
          <w:b w:val="0"/>
          <w:bCs/>
          <w:sz w:val="22"/>
        </w:rPr>
        <w:tab/>
      </w:r>
      <w:r w:rsidRPr="00504850">
        <w:rPr>
          <w:b w:val="0"/>
          <w:bCs/>
          <w:sz w:val="22"/>
        </w:rPr>
        <w:tab/>
      </w:r>
      <w:r w:rsidRPr="00504850">
        <w:rPr>
          <w:b w:val="0"/>
          <w:bCs/>
          <w:sz w:val="22"/>
        </w:rPr>
        <w:tab/>
      </w:r>
      <w:r w:rsidRPr="00504850">
        <w:rPr>
          <w:b w:val="0"/>
          <w:bCs/>
          <w:sz w:val="22"/>
        </w:rPr>
        <w:tab/>
      </w:r>
      <w:r w:rsidRPr="00504850">
        <w:rPr>
          <w:b w:val="0"/>
          <w:bCs/>
          <w:sz w:val="22"/>
        </w:rPr>
        <w:tab/>
      </w:r>
    </w:p>
    <w:p w14:paraId="4C10411A" w14:textId="3E511791" w:rsidR="00504850" w:rsidRPr="00504850" w:rsidRDefault="00504850" w:rsidP="00504850">
      <w:pPr>
        <w:pStyle w:val="MEHBoldheading1"/>
        <w:rPr>
          <w:b w:val="0"/>
          <w:bCs/>
          <w:sz w:val="22"/>
        </w:rPr>
      </w:pPr>
      <w:r w:rsidRPr="00504850">
        <w:rPr>
          <w:b w:val="0"/>
          <w:bCs/>
          <w:sz w:val="22"/>
        </w:rPr>
        <w:t>A cash equivalent transfer value (CETV) is the actuarially assessed capital value of the pension scheme benefits accumulated by a member at a particular point in time. The benefits valued are the member's accumulated benefits and any contingent spouse's pension payable from the scheme. CETVs are calculated within the guidelines and framework prescribed by the Institute and Faculty of Actuaries.</w:t>
      </w:r>
      <w:r w:rsidRPr="00504850">
        <w:rPr>
          <w:b w:val="0"/>
          <w:bCs/>
          <w:sz w:val="22"/>
        </w:rPr>
        <w:tab/>
      </w:r>
      <w:r w:rsidRPr="00504850">
        <w:rPr>
          <w:b w:val="0"/>
          <w:bCs/>
          <w:sz w:val="22"/>
        </w:rPr>
        <w:tab/>
      </w:r>
      <w:r w:rsidRPr="00504850">
        <w:rPr>
          <w:b w:val="0"/>
          <w:bCs/>
          <w:sz w:val="22"/>
        </w:rPr>
        <w:tab/>
      </w:r>
      <w:r w:rsidRPr="00504850">
        <w:rPr>
          <w:b w:val="0"/>
          <w:bCs/>
          <w:sz w:val="22"/>
        </w:rPr>
        <w:tab/>
      </w:r>
      <w:r w:rsidRPr="00504850">
        <w:rPr>
          <w:b w:val="0"/>
          <w:bCs/>
          <w:sz w:val="22"/>
        </w:rPr>
        <w:tab/>
      </w:r>
    </w:p>
    <w:p w14:paraId="269E6906" w14:textId="77777777" w:rsidR="00504850" w:rsidRPr="00504850" w:rsidRDefault="00504850" w:rsidP="00504850">
      <w:pPr>
        <w:pStyle w:val="MEHBoldheading1"/>
        <w:rPr>
          <w:b w:val="0"/>
          <w:bCs/>
          <w:sz w:val="22"/>
        </w:rPr>
      </w:pPr>
      <w:r w:rsidRPr="00504850">
        <w:rPr>
          <w:b w:val="0"/>
          <w:bCs/>
          <w:sz w:val="22"/>
        </w:rPr>
        <w:t>The real Increase in CETV reflects the increase in CETV effectively funded by the employer.  It takes account of the increase in accrued pension due to inflation, contributions paid by the employee (including the value of any benefits transferred from another pension scheme or arrangement) and uses common market valuation factors for the start and end of the year.</w:t>
      </w:r>
      <w:r w:rsidRPr="00504850">
        <w:rPr>
          <w:b w:val="0"/>
          <w:bCs/>
          <w:sz w:val="22"/>
        </w:rPr>
        <w:tab/>
      </w:r>
      <w:r w:rsidRPr="00504850">
        <w:rPr>
          <w:b w:val="0"/>
          <w:bCs/>
          <w:sz w:val="22"/>
        </w:rPr>
        <w:tab/>
      </w:r>
      <w:r w:rsidRPr="00504850">
        <w:rPr>
          <w:b w:val="0"/>
          <w:bCs/>
          <w:sz w:val="22"/>
        </w:rPr>
        <w:tab/>
      </w:r>
    </w:p>
    <w:p w14:paraId="262FD835" w14:textId="77777777" w:rsidR="00504850" w:rsidRPr="00504850" w:rsidRDefault="00504850" w:rsidP="00504850">
      <w:pPr>
        <w:pStyle w:val="MEHBoldheading1"/>
        <w:rPr>
          <w:b w:val="0"/>
          <w:bCs/>
          <w:sz w:val="22"/>
        </w:rPr>
      </w:pPr>
      <w:r w:rsidRPr="00504850">
        <w:rPr>
          <w:b w:val="0"/>
          <w:bCs/>
          <w:sz w:val="22"/>
        </w:rPr>
        <w:t>The value of trust contributions to the NHS Pension Scheme in 2021/22 in respect of executive directors was £91k (2020/21: £89k).</w:t>
      </w:r>
      <w:r w:rsidRPr="00504850">
        <w:rPr>
          <w:b w:val="0"/>
          <w:bCs/>
          <w:sz w:val="22"/>
        </w:rPr>
        <w:tab/>
      </w:r>
      <w:r w:rsidRPr="00504850">
        <w:rPr>
          <w:b w:val="0"/>
          <w:bCs/>
          <w:sz w:val="22"/>
        </w:rPr>
        <w:tab/>
      </w:r>
      <w:r w:rsidRPr="00504850">
        <w:rPr>
          <w:b w:val="0"/>
          <w:bCs/>
          <w:sz w:val="22"/>
        </w:rPr>
        <w:tab/>
      </w:r>
    </w:p>
    <w:p w14:paraId="22A42F83" w14:textId="1486389B" w:rsidR="00504850" w:rsidRDefault="00504850" w:rsidP="00504850">
      <w:pPr>
        <w:pStyle w:val="MEHBoldheading1"/>
        <w:rPr>
          <w:b w:val="0"/>
          <w:bCs/>
          <w:sz w:val="22"/>
        </w:rPr>
      </w:pPr>
      <w:r w:rsidRPr="00504850">
        <w:rPr>
          <w:b w:val="0"/>
          <w:bCs/>
          <w:sz w:val="22"/>
        </w:rPr>
        <w:t xml:space="preserve">During the year, the Government announced that public sector pension schemes will be required to provide indexation on the Guaranteed Minimum Pension element of the pension. NHS Pensions has updated the methodology used to calculate CETV values as </w:t>
      </w:r>
      <w:proofErr w:type="gramStart"/>
      <w:r w:rsidRPr="00504850">
        <w:rPr>
          <w:b w:val="0"/>
          <w:bCs/>
          <w:sz w:val="22"/>
        </w:rPr>
        <w:t>at</w:t>
      </w:r>
      <w:proofErr w:type="gramEnd"/>
      <w:r w:rsidRPr="00504850">
        <w:rPr>
          <w:b w:val="0"/>
          <w:bCs/>
          <w:sz w:val="22"/>
        </w:rPr>
        <w:t xml:space="preserve"> 31 March 2021. The impact of the change in methodology is included within the reported real increase in CETV for the year.</w:t>
      </w:r>
      <w:r w:rsidRPr="00504850">
        <w:rPr>
          <w:b w:val="0"/>
          <w:bCs/>
          <w:sz w:val="22"/>
        </w:rPr>
        <w:tab/>
      </w:r>
      <w:r w:rsidRPr="00504850">
        <w:rPr>
          <w:b w:val="0"/>
          <w:bCs/>
          <w:sz w:val="22"/>
        </w:rPr>
        <w:tab/>
      </w:r>
      <w:r w:rsidRPr="00504850">
        <w:rPr>
          <w:b w:val="0"/>
          <w:bCs/>
          <w:sz w:val="22"/>
        </w:rPr>
        <w:tab/>
      </w:r>
    </w:p>
    <w:p w14:paraId="4A25C70C" w14:textId="77777777" w:rsidR="00504850" w:rsidRDefault="00504850" w:rsidP="00FB6278">
      <w:pPr>
        <w:pStyle w:val="MEHBoldheading1"/>
        <w:rPr>
          <w:b w:val="0"/>
          <w:bCs/>
          <w:sz w:val="22"/>
        </w:rPr>
      </w:pPr>
    </w:p>
    <w:p w14:paraId="2BF39948" w14:textId="62AAB670" w:rsidR="00504850" w:rsidRPr="00E45051" w:rsidRDefault="00504850" w:rsidP="00FB6278">
      <w:pPr>
        <w:pStyle w:val="MEHBoldheading1"/>
        <w:rPr>
          <w:b w:val="0"/>
          <w:bCs/>
          <w:sz w:val="22"/>
        </w:rPr>
        <w:sectPr w:rsidR="00504850" w:rsidRPr="00E45051" w:rsidSect="008B2FEE">
          <w:pgSz w:w="16838" w:h="11906" w:orient="landscape"/>
          <w:pgMar w:top="720" w:right="720" w:bottom="1134" w:left="720" w:header="340" w:footer="227" w:gutter="0"/>
          <w:cols w:space="720"/>
          <w:noEndnote/>
          <w:docGrid w:linePitch="326"/>
        </w:sectPr>
      </w:pPr>
    </w:p>
    <w:p w14:paraId="4C791025" w14:textId="0ACF62B6" w:rsidR="006C06BE" w:rsidRPr="00B21A66" w:rsidRDefault="00B21A66" w:rsidP="00FB6278">
      <w:pPr>
        <w:rPr>
          <w:rFonts w:ascii="Arial" w:hAnsi="Arial" w:cs="Arial"/>
          <w:b/>
          <w:bCs/>
          <w:sz w:val="28"/>
          <w:szCs w:val="28"/>
          <w:lang w:val="en-US"/>
        </w:rPr>
      </w:pPr>
      <w:r w:rsidRPr="00B21A66">
        <w:rPr>
          <w:rFonts w:ascii="Arial" w:hAnsi="Arial" w:cs="Arial"/>
          <w:b/>
          <w:bCs/>
          <w:sz w:val="28"/>
          <w:szCs w:val="28"/>
          <w:lang w:val="en-US"/>
        </w:rPr>
        <w:lastRenderedPageBreak/>
        <w:t xml:space="preserve"> </w:t>
      </w:r>
      <w:r w:rsidR="00AA5801" w:rsidRPr="00B21A66">
        <w:rPr>
          <w:rFonts w:ascii="Arial" w:hAnsi="Arial" w:cs="Arial"/>
          <w:b/>
          <w:bCs/>
          <w:sz w:val="28"/>
          <w:szCs w:val="28"/>
          <w:lang w:val="en-US"/>
        </w:rPr>
        <w:t xml:space="preserve">3.4 </w:t>
      </w:r>
      <w:r w:rsidR="006C06BE" w:rsidRPr="00B21A66">
        <w:rPr>
          <w:rFonts w:ascii="Arial" w:hAnsi="Arial" w:cs="Arial"/>
          <w:b/>
          <w:bCs/>
          <w:sz w:val="28"/>
          <w:szCs w:val="28"/>
          <w:lang w:val="en-US"/>
        </w:rPr>
        <w:t>Staff report</w:t>
      </w:r>
    </w:p>
    <w:p w14:paraId="5B6D3B80" w14:textId="77777777" w:rsidR="006C06BE" w:rsidRPr="009E33FB" w:rsidRDefault="006C06BE" w:rsidP="00FB6278">
      <w:pPr>
        <w:rPr>
          <w:rFonts w:ascii="Arial" w:hAnsi="Arial" w:cs="Arial"/>
          <w:sz w:val="22"/>
          <w:szCs w:val="22"/>
          <w:lang w:val="en-US"/>
        </w:rPr>
      </w:pPr>
    </w:p>
    <w:tbl>
      <w:tblPr>
        <w:tblStyle w:val="TableGrid"/>
        <w:tblW w:w="0" w:type="auto"/>
        <w:tblLook w:val="04A0" w:firstRow="1" w:lastRow="0" w:firstColumn="1" w:lastColumn="0" w:noHBand="0" w:noVBand="1"/>
      </w:tblPr>
      <w:tblGrid>
        <w:gridCol w:w="5021"/>
        <w:gridCol w:w="5021"/>
      </w:tblGrid>
      <w:tr w:rsidR="000A080B" w14:paraId="22E4C21D" w14:textId="77777777" w:rsidTr="00065A9B">
        <w:tc>
          <w:tcPr>
            <w:tcW w:w="10042" w:type="dxa"/>
            <w:gridSpan w:val="2"/>
          </w:tcPr>
          <w:p w14:paraId="4AC5D763" w14:textId="27A18765" w:rsidR="000A080B" w:rsidRDefault="000A080B" w:rsidP="00FB6278">
            <w:pPr>
              <w:rPr>
                <w:rFonts w:ascii="Arial" w:hAnsi="Arial" w:cs="Arial"/>
                <w:sz w:val="22"/>
                <w:szCs w:val="22"/>
                <w:lang w:val="en-US"/>
              </w:rPr>
            </w:pPr>
            <w:r w:rsidRPr="009E33FB">
              <w:rPr>
                <w:rFonts w:ascii="Arial" w:hAnsi="Arial" w:cs="Arial"/>
                <w:b/>
                <w:bCs/>
                <w:sz w:val="22"/>
                <w:szCs w:val="22"/>
              </w:rPr>
              <w:t>Staff sickness absence</w:t>
            </w:r>
          </w:p>
        </w:tc>
      </w:tr>
      <w:tr w:rsidR="000A080B" w14:paraId="07C8C393" w14:textId="77777777" w:rsidTr="00065A9B">
        <w:tc>
          <w:tcPr>
            <w:tcW w:w="5021" w:type="dxa"/>
          </w:tcPr>
          <w:p w14:paraId="02FBE34E" w14:textId="0DC75A83" w:rsidR="000A080B" w:rsidRPr="000A080B" w:rsidRDefault="000A080B" w:rsidP="00FB6278">
            <w:pPr>
              <w:rPr>
                <w:rFonts w:ascii="Arial" w:hAnsi="Arial" w:cs="Arial"/>
                <w:sz w:val="22"/>
                <w:szCs w:val="22"/>
                <w:lang w:val="en-US"/>
              </w:rPr>
            </w:pPr>
            <w:r w:rsidRPr="000A080B">
              <w:rPr>
                <w:rFonts w:ascii="Arial" w:hAnsi="Arial" w:cs="Arial"/>
                <w:sz w:val="22"/>
                <w:szCs w:val="22"/>
              </w:rPr>
              <w:t>Average full time equivalent (FTE)</w:t>
            </w:r>
          </w:p>
        </w:tc>
        <w:tc>
          <w:tcPr>
            <w:tcW w:w="5021" w:type="dxa"/>
          </w:tcPr>
          <w:p w14:paraId="3A952C14" w14:textId="2C5FFE3F" w:rsidR="000A080B" w:rsidRDefault="000A080B" w:rsidP="00FB6278">
            <w:pPr>
              <w:rPr>
                <w:rFonts w:ascii="Arial" w:hAnsi="Arial" w:cs="Arial"/>
                <w:sz w:val="22"/>
                <w:szCs w:val="22"/>
                <w:lang w:val="en-US"/>
              </w:rPr>
            </w:pPr>
            <w:r w:rsidRPr="009E33FB">
              <w:rPr>
                <w:rFonts w:ascii="Arial" w:hAnsi="Arial" w:cs="Arial"/>
                <w:sz w:val="22"/>
                <w:szCs w:val="22"/>
              </w:rPr>
              <w:t>0.84</w:t>
            </w:r>
          </w:p>
        </w:tc>
      </w:tr>
      <w:tr w:rsidR="000A080B" w14:paraId="14AFAAA3" w14:textId="77777777" w:rsidTr="00065A9B">
        <w:tc>
          <w:tcPr>
            <w:tcW w:w="5021" w:type="dxa"/>
          </w:tcPr>
          <w:p w14:paraId="49162DAE" w14:textId="64F7EE52" w:rsidR="000A080B" w:rsidRPr="000A080B" w:rsidRDefault="000A080B" w:rsidP="00FB6278">
            <w:pPr>
              <w:rPr>
                <w:rFonts w:ascii="Arial" w:hAnsi="Arial" w:cs="Arial"/>
                <w:sz w:val="22"/>
                <w:szCs w:val="22"/>
              </w:rPr>
            </w:pPr>
            <w:r w:rsidRPr="000A080B">
              <w:rPr>
                <w:rFonts w:ascii="Arial" w:hAnsi="Arial" w:cs="Arial"/>
                <w:sz w:val="22"/>
                <w:szCs w:val="22"/>
              </w:rPr>
              <w:t>FTE days lost</w:t>
            </w:r>
          </w:p>
        </w:tc>
        <w:tc>
          <w:tcPr>
            <w:tcW w:w="5021" w:type="dxa"/>
          </w:tcPr>
          <w:p w14:paraId="72E34A8B" w14:textId="17B6B68E" w:rsidR="000A080B" w:rsidRPr="009E33FB" w:rsidRDefault="000A080B" w:rsidP="00FB6278">
            <w:pPr>
              <w:rPr>
                <w:rFonts w:ascii="Arial" w:hAnsi="Arial" w:cs="Arial"/>
                <w:bCs/>
                <w:sz w:val="22"/>
                <w:szCs w:val="22"/>
              </w:rPr>
            </w:pPr>
            <w:r w:rsidRPr="009E33FB">
              <w:rPr>
                <w:rFonts w:ascii="Arial" w:hAnsi="Arial" w:cs="Arial"/>
                <w:sz w:val="22"/>
                <w:szCs w:val="22"/>
              </w:rPr>
              <w:t>33,708 (12 months)</w:t>
            </w:r>
          </w:p>
        </w:tc>
      </w:tr>
      <w:tr w:rsidR="000A080B" w14:paraId="33CF2786" w14:textId="77777777" w:rsidTr="00065A9B">
        <w:tc>
          <w:tcPr>
            <w:tcW w:w="5021" w:type="dxa"/>
          </w:tcPr>
          <w:p w14:paraId="476F083B" w14:textId="679C8CB7" w:rsidR="000A080B" w:rsidRPr="000A080B" w:rsidRDefault="000A080B" w:rsidP="00FB6278">
            <w:pPr>
              <w:rPr>
                <w:rFonts w:ascii="Arial" w:hAnsi="Arial" w:cs="Arial"/>
                <w:sz w:val="22"/>
                <w:szCs w:val="22"/>
              </w:rPr>
            </w:pPr>
            <w:r w:rsidRPr="000A080B">
              <w:rPr>
                <w:rFonts w:ascii="Arial" w:hAnsi="Arial" w:cs="Arial"/>
                <w:sz w:val="22"/>
                <w:szCs w:val="22"/>
              </w:rPr>
              <w:t>Average sick days per FTE</w:t>
            </w:r>
          </w:p>
        </w:tc>
        <w:tc>
          <w:tcPr>
            <w:tcW w:w="5021" w:type="dxa"/>
          </w:tcPr>
          <w:p w14:paraId="099BA9D6" w14:textId="26F74B92" w:rsidR="000A080B" w:rsidRPr="009E33FB" w:rsidRDefault="000A080B" w:rsidP="00FB6278">
            <w:pPr>
              <w:rPr>
                <w:rFonts w:ascii="Arial" w:hAnsi="Arial" w:cs="Arial"/>
                <w:bCs/>
                <w:sz w:val="22"/>
                <w:szCs w:val="22"/>
              </w:rPr>
            </w:pPr>
            <w:r w:rsidRPr="009E33FB">
              <w:rPr>
                <w:rFonts w:ascii="Arial" w:hAnsi="Arial" w:cs="Arial"/>
                <w:sz w:val="22"/>
                <w:szCs w:val="22"/>
              </w:rPr>
              <w:t>6.8</w:t>
            </w:r>
          </w:p>
        </w:tc>
      </w:tr>
    </w:tbl>
    <w:p w14:paraId="2DAA5BB8" w14:textId="431B7266" w:rsidR="006C06BE" w:rsidRDefault="006C06BE" w:rsidP="00FB6278">
      <w:pPr>
        <w:rPr>
          <w:rFonts w:ascii="Arial" w:hAnsi="Arial" w:cs="Arial"/>
          <w:sz w:val="22"/>
          <w:szCs w:val="22"/>
          <w:highlight w:val="yellow"/>
        </w:rPr>
      </w:pPr>
    </w:p>
    <w:tbl>
      <w:tblPr>
        <w:tblStyle w:val="TableGrid"/>
        <w:tblW w:w="0" w:type="auto"/>
        <w:tblLook w:val="04A0" w:firstRow="1" w:lastRow="0" w:firstColumn="1" w:lastColumn="0" w:noHBand="0" w:noVBand="1"/>
      </w:tblPr>
      <w:tblGrid>
        <w:gridCol w:w="5021"/>
        <w:gridCol w:w="5021"/>
      </w:tblGrid>
      <w:tr w:rsidR="000A080B" w14:paraId="347EF2FD" w14:textId="77777777" w:rsidTr="00065A9B">
        <w:tc>
          <w:tcPr>
            <w:tcW w:w="10042" w:type="dxa"/>
            <w:gridSpan w:val="2"/>
          </w:tcPr>
          <w:p w14:paraId="6253660D" w14:textId="62331A14" w:rsidR="000A080B" w:rsidRDefault="000A080B" w:rsidP="00FB6278">
            <w:pPr>
              <w:rPr>
                <w:rFonts w:ascii="Arial" w:hAnsi="Arial" w:cs="Arial"/>
                <w:sz w:val="22"/>
                <w:szCs w:val="22"/>
                <w:lang w:val="en-US"/>
              </w:rPr>
            </w:pPr>
            <w:r w:rsidRPr="009E33FB">
              <w:rPr>
                <w:rFonts w:ascii="Arial" w:hAnsi="Arial" w:cs="Arial"/>
                <w:b/>
                <w:sz w:val="22"/>
                <w:szCs w:val="22"/>
              </w:rPr>
              <w:t>Staffing WTE &amp; Headcount 2022</w:t>
            </w:r>
          </w:p>
        </w:tc>
      </w:tr>
      <w:tr w:rsidR="000A080B" w14:paraId="10A6F08E" w14:textId="77777777" w:rsidTr="00065A9B">
        <w:tc>
          <w:tcPr>
            <w:tcW w:w="5021" w:type="dxa"/>
          </w:tcPr>
          <w:p w14:paraId="3AB4062D" w14:textId="41624E9D" w:rsidR="000A080B" w:rsidRPr="000A080B" w:rsidRDefault="000A080B" w:rsidP="00FB6278">
            <w:pPr>
              <w:rPr>
                <w:rFonts w:ascii="Arial" w:hAnsi="Arial" w:cs="Arial"/>
                <w:bCs/>
                <w:sz w:val="22"/>
                <w:szCs w:val="22"/>
              </w:rPr>
            </w:pPr>
            <w:r w:rsidRPr="000A080B">
              <w:rPr>
                <w:rFonts w:ascii="Arial" w:hAnsi="Arial" w:cs="Arial"/>
                <w:bCs/>
                <w:sz w:val="22"/>
                <w:szCs w:val="22"/>
              </w:rPr>
              <w:t>Permanently employed</w:t>
            </w:r>
            <w:r w:rsidR="00E3631B">
              <w:rPr>
                <w:rFonts w:ascii="Arial" w:hAnsi="Arial" w:cs="Arial"/>
                <w:bCs/>
                <w:sz w:val="22"/>
                <w:szCs w:val="22"/>
              </w:rPr>
              <w:t>:</w:t>
            </w:r>
          </w:p>
          <w:p w14:paraId="053CADD4" w14:textId="275DCC1C" w:rsidR="000A080B" w:rsidRPr="000A080B" w:rsidRDefault="000A080B" w:rsidP="00FB6278">
            <w:pPr>
              <w:rPr>
                <w:rFonts w:ascii="Arial" w:hAnsi="Arial" w:cs="Arial"/>
                <w:bCs/>
                <w:sz w:val="22"/>
                <w:szCs w:val="22"/>
                <w:lang w:val="en-US"/>
              </w:rPr>
            </w:pPr>
            <w:r w:rsidRPr="000A080B">
              <w:rPr>
                <w:rFonts w:ascii="Arial" w:hAnsi="Arial" w:cs="Arial"/>
                <w:bCs/>
                <w:sz w:val="22"/>
                <w:szCs w:val="22"/>
              </w:rPr>
              <w:t>Staff with a permanent (UK) employment contract directly with the entity</w:t>
            </w:r>
          </w:p>
        </w:tc>
        <w:tc>
          <w:tcPr>
            <w:tcW w:w="5021" w:type="dxa"/>
          </w:tcPr>
          <w:p w14:paraId="68E65533" w14:textId="77777777" w:rsidR="000A080B" w:rsidRDefault="000A080B" w:rsidP="00FB6278">
            <w:pPr>
              <w:rPr>
                <w:rFonts w:ascii="Arial" w:hAnsi="Arial" w:cs="Arial"/>
                <w:bCs/>
                <w:sz w:val="22"/>
                <w:szCs w:val="22"/>
              </w:rPr>
            </w:pPr>
            <w:r w:rsidRPr="009E33FB">
              <w:rPr>
                <w:rFonts w:ascii="Arial" w:hAnsi="Arial" w:cs="Arial"/>
                <w:bCs/>
                <w:sz w:val="22"/>
                <w:szCs w:val="22"/>
              </w:rPr>
              <w:t xml:space="preserve">HC 1997                         </w:t>
            </w:r>
          </w:p>
          <w:p w14:paraId="0F462285" w14:textId="675F6EE0" w:rsidR="000A080B" w:rsidRDefault="000A080B" w:rsidP="00FB6278">
            <w:pPr>
              <w:rPr>
                <w:rFonts w:ascii="Arial" w:hAnsi="Arial" w:cs="Arial"/>
                <w:sz w:val="22"/>
                <w:szCs w:val="22"/>
                <w:lang w:val="en-US"/>
              </w:rPr>
            </w:pPr>
            <w:r w:rsidRPr="009E33FB">
              <w:rPr>
                <w:rFonts w:ascii="Arial" w:hAnsi="Arial" w:cs="Arial"/>
                <w:bCs/>
                <w:sz w:val="22"/>
                <w:szCs w:val="22"/>
              </w:rPr>
              <w:t>WTE 1785.43</w:t>
            </w:r>
          </w:p>
        </w:tc>
      </w:tr>
      <w:tr w:rsidR="000A080B" w14:paraId="6C9B3AF2" w14:textId="77777777" w:rsidTr="00065A9B">
        <w:tc>
          <w:tcPr>
            <w:tcW w:w="5021" w:type="dxa"/>
          </w:tcPr>
          <w:p w14:paraId="554460A9" w14:textId="736EC076" w:rsidR="000A080B" w:rsidRPr="000A080B" w:rsidRDefault="000A080B" w:rsidP="00FB6278">
            <w:pPr>
              <w:rPr>
                <w:rFonts w:ascii="Arial" w:hAnsi="Arial" w:cs="Arial"/>
                <w:bCs/>
                <w:sz w:val="22"/>
                <w:szCs w:val="22"/>
              </w:rPr>
            </w:pPr>
            <w:r w:rsidRPr="000A080B">
              <w:rPr>
                <w:rFonts w:ascii="Arial" w:hAnsi="Arial" w:cs="Arial"/>
                <w:bCs/>
                <w:sz w:val="22"/>
                <w:szCs w:val="22"/>
              </w:rPr>
              <w:t>Other</w:t>
            </w:r>
            <w:r w:rsidR="00E3631B">
              <w:rPr>
                <w:rFonts w:ascii="Arial" w:hAnsi="Arial" w:cs="Arial"/>
                <w:bCs/>
                <w:sz w:val="22"/>
                <w:szCs w:val="22"/>
              </w:rPr>
              <w:t>:</w:t>
            </w:r>
          </w:p>
          <w:p w14:paraId="6F673FD0" w14:textId="3B3D1866" w:rsidR="000A080B" w:rsidRPr="000A080B" w:rsidRDefault="000A080B" w:rsidP="00FB6278">
            <w:pPr>
              <w:rPr>
                <w:rFonts w:ascii="Arial" w:hAnsi="Arial" w:cs="Arial"/>
                <w:bCs/>
                <w:sz w:val="22"/>
                <w:szCs w:val="22"/>
                <w:lang w:val="en-US"/>
              </w:rPr>
            </w:pPr>
            <w:r w:rsidRPr="000A080B">
              <w:rPr>
                <w:rFonts w:ascii="Arial" w:hAnsi="Arial" w:cs="Arial"/>
                <w:bCs/>
                <w:sz w:val="22"/>
                <w:szCs w:val="22"/>
              </w:rPr>
              <w:t>Staff that do not have a permanent (UK) employment contract with the entity.</w:t>
            </w:r>
          </w:p>
        </w:tc>
        <w:tc>
          <w:tcPr>
            <w:tcW w:w="5021" w:type="dxa"/>
          </w:tcPr>
          <w:p w14:paraId="62C9EA1E" w14:textId="77777777" w:rsidR="000A080B" w:rsidRDefault="000A080B" w:rsidP="00FB6278">
            <w:pPr>
              <w:rPr>
                <w:rFonts w:ascii="Arial" w:hAnsi="Arial" w:cs="Arial"/>
                <w:bCs/>
                <w:sz w:val="22"/>
                <w:szCs w:val="22"/>
              </w:rPr>
            </w:pPr>
            <w:r w:rsidRPr="009E33FB">
              <w:rPr>
                <w:rFonts w:ascii="Arial" w:hAnsi="Arial" w:cs="Arial"/>
                <w:bCs/>
                <w:sz w:val="22"/>
                <w:szCs w:val="22"/>
              </w:rPr>
              <w:t xml:space="preserve">HC 377                </w:t>
            </w:r>
          </w:p>
          <w:p w14:paraId="77276CDE" w14:textId="77777777" w:rsidR="000A080B" w:rsidRPr="009E33FB" w:rsidRDefault="000A080B" w:rsidP="00FB6278">
            <w:pPr>
              <w:rPr>
                <w:rFonts w:ascii="Arial" w:hAnsi="Arial" w:cs="Arial"/>
                <w:bCs/>
                <w:sz w:val="22"/>
                <w:szCs w:val="22"/>
              </w:rPr>
            </w:pPr>
            <w:r w:rsidRPr="009E33FB">
              <w:rPr>
                <w:rFonts w:ascii="Arial" w:hAnsi="Arial" w:cs="Arial"/>
                <w:bCs/>
                <w:sz w:val="22"/>
                <w:szCs w:val="22"/>
              </w:rPr>
              <w:t>WTE 353.95</w:t>
            </w:r>
          </w:p>
          <w:p w14:paraId="3BC0C03A" w14:textId="2DE1FB7A" w:rsidR="000A080B" w:rsidRDefault="000A080B" w:rsidP="00FB6278">
            <w:pPr>
              <w:rPr>
                <w:rFonts w:ascii="Arial" w:hAnsi="Arial" w:cs="Arial"/>
                <w:sz w:val="22"/>
                <w:szCs w:val="22"/>
                <w:lang w:val="en-US"/>
              </w:rPr>
            </w:pPr>
          </w:p>
        </w:tc>
      </w:tr>
      <w:tr w:rsidR="00BD47AB" w14:paraId="59D2055E" w14:textId="77777777" w:rsidTr="00065A9B">
        <w:tc>
          <w:tcPr>
            <w:tcW w:w="5021" w:type="dxa"/>
          </w:tcPr>
          <w:p w14:paraId="5A291EAD" w14:textId="11F17DFF" w:rsidR="00BD47AB" w:rsidRDefault="00BD47AB" w:rsidP="00FB6278">
            <w:pPr>
              <w:rPr>
                <w:rFonts w:ascii="Arial" w:hAnsi="Arial" w:cs="Arial"/>
                <w:bCs/>
                <w:sz w:val="22"/>
                <w:szCs w:val="22"/>
              </w:rPr>
            </w:pPr>
            <w:r w:rsidRPr="009E33FB">
              <w:rPr>
                <w:rFonts w:ascii="Arial" w:hAnsi="Arial" w:cs="Arial"/>
                <w:bCs/>
                <w:sz w:val="22"/>
                <w:szCs w:val="22"/>
              </w:rPr>
              <w:t>Blank Assignment</w:t>
            </w:r>
          </w:p>
          <w:p w14:paraId="1C573031" w14:textId="77777777" w:rsidR="00BD47AB" w:rsidRPr="000A080B" w:rsidRDefault="00BD47AB" w:rsidP="00FB6278">
            <w:pPr>
              <w:rPr>
                <w:rFonts w:ascii="Arial" w:hAnsi="Arial" w:cs="Arial"/>
                <w:bCs/>
                <w:sz w:val="22"/>
                <w:szCs w:val="22"/>
              </w:rPr>
            </w:pPr>
          </w:p>
        </w:tc>
        <w:tc>
          <w:tcPr>
            <w:tcW w:w="5021" w:type="dxa"/>
          </w:tcPr>
          <w:p w14:paraId="33E8FEBC" w14:textId="77777777" w:rsidR="00BD47AB" w:rsidRDefault="00BD47AB" w:rsidP="00FB6278">
            <w:pPr>
              <w:rPr>
                <w:rFonts w:ascii="Arial" w:hAnsi="Arial" w:cs="Arial"/>
                <w:bCs/>
                <w:sz w:val="22"/>
                <w:szCs w:val="22"/>
              </w:rPr>
            </w:pPr>
            <w:r w:rsidRPr="009E33FB">
              <w:rPr>
                <w:rFonts w:ascii="Arial" w:hAnsi="Arial" w:cs="Arial"/>
                <w:bCs/>
                <w:sz w:val="22"/>
                <w:szCs w:val="22"/>
              </w:rPr>
              <w:t xml:space="preserve">HC 8 </w:t>
            </w:r>
          </w:p>
          <w:p w14:paraId="57E07AC0" w14:textId="21B83C2B" w:rsidR="00BD47AB" w:rsidRPr="009E33FB" w:rsidRDefault="00BD47AB" w:rsidP="00FB6278">
            <w:pPr>
              <w:rPr>
                <w:rFonts w:ascii="Arial" w:hAnsi="Arial" w:cs="Arial"/>
                <w:bCs/>
                <w:sz w:val="22"/>
                <w:szCs w:val="22"/>
              </w:rPr>
            </w:pPr>
            <w:r w:rsidRPr="009E33FB">
              <w:rPr>
                <w:rFonts w:ascii="Arial" w:hAnsi="Arial" w:cs="Arial"/>
                <w:bCs/>
                <w:sz w:val="22"/>
                <w:szCs w:val="22"/>
              </w:rPr>
              <w:t>WTE 3.19</w:t>
            </w:r>
          </w:p>
        </w:tc>
      </w:tr>
    </w:tbl>
    <w:p w14:paraId="1B65FBF3" w14:textId="77777777" w:rsidR="006C06BE" w:rsidRPr="009E33FB" w:rsidRDefault="006C06BE" w:rsidP="00FB6278">
      <w:pPr>
        <w:rPr>
          <w:rFonts w:ascii="Arial" w:hAnsi="Arial" w:cs="Arial"/>
          <w:sz w:val="22"/>
          <w:szCs w:val="22"/>
          <w:highlight w:val="yellow"/>
          <w:lang w:val="en-US"/>
        </w:rPr>
      </w:pPr>
    </w:p>
    <w:p w14:paraId="5B177E1C" w14:textId="739DF42B" w:rsidR="006C06BE" w:rsidRDefault="006C06BE" w:rsidP="00FB6278">
      <w:pPr>
        <w:rPr>
          <w:rFonts w:ascii="Arial" w:hAnsi="Arial" w:cs="Arial"/>
          <w:sz w:val="22"/>
          <w:szCs w:val="22"/>
          <w:lang w:val="en-US"/>
        </w:rPr>
      </w:pPr>
      <w:r w:rsidRPr="009E33FB">
        <w:rPr>
          <w:rFonts w:ascii="Arial" w:hAnsi="Arial" w:cs="Arial"/>
          <w:sz w:val="22"/>
          <w:szCs w:val="22"/>
          <w:lang w:val="en-US"/>
        </w:rPr>
        <w:t xml:space="preserve">The following figures show our staffing breakdown by staff group, age, gender, ethnicity, disability and sexual orientation, as </w:t>
      </w:r>
      <w:proofErr w:type="gramStart"/>
      <w:r w:rsidRPr="009E33FB">
        <w:rPr>
          <w:rFonts w:ascii="Arial" w:hAnsi="Arial" w:cs="Arial"/>
          <w:sz w:val="22"/>
          <w:szCs w:val="22"/>
          <w:lang w:val="en-US"/>
        </w:rPr>
        <w:t>at</w:t>
      </w:r>
      <w:proofErr w:type="gramEnd"/>
      <w:r w:rsidRPr="009E33FB">
        <w:rPr>
          <w:rFonts w:ascii="Arial" w:hAnsi="Arial" w:cs="Arial"/>
          <w:sz w:val="22"/>
          <w:szCs w:val="22"/>
          <w:lang w:val="en-US"/>
        </w:rPr>
        <w:t xml:space="preserve"> 31</w:t>
      </w:r>
      <w:r w:rsidRPr="009E33FB">
        <w:rPr>
          <w:rFonts w:ascii="Arial" w:hAnsi="Arial" w:cs="Arial"/>
          <w:sz w:val="22"/>
          <w:szCs w:val="22"/>
          <w:vertAlign w:val="superscript"/>
          <w:lang w:val="en-US"/>
        </w:rPr>
        <w:t>st</w:t>
      </w:r>
      <w:r w:rsidRPr="009E33FB">
        <w:rPr>
          <w:rFonts w:ascii="Arial" w:hAnsi="Arial" w:cs="Arial"/>
          <w:sz w:val="22"/>
          <w:szCs w:val="22"/>
          <w:lang w:val="en-US"/>
        </w:rPr>
        <w:t xml:space="preserve"> March 2021.  </w:t>
      </w:r>
    </w:p>
    <w:p w14:paraId="0DACFAC7" w14:textId="77777777" w:rsidR="00932A6E" w:rsidRDefault="00932A6E" w:rsidP="00FB6278">
      <w:pPr>
        <w:rPr>
          <w:rFonts w:ascii="Arial" w:hAnsi="Arial" w:cs="Arial"/>
          <w:sz w:val="22"/>
          <w:szCs w:val="22"/>
          <w:lang w:val="en-US"/>
        </w:rPr>
      </w:pPr>
    </w:p>
    <w:tbl>
      <w:tblPr>
        <w:tblStyle w:val="TableGrid"/>
        <w:tblW w:w="0" w:type="auto"/>
        <w:tblLook w:val="04A0" w:firstRow="1" w:lastRow="0" w:firstColumn="1" w:lastColumn="0" w:noHBand="0" w:noVBand="1"/>
      </w:tblPr>
      <w:tblGrid>
        <w:gridCol w:w="5021"/>
        <w:gridCol w:w="5021"/>
      </w:tblGrid>
      <w:tr w:rsidR="00A339A5" w14:paraId="62C4ED83" w14:textId="77777777" w:rsidTr="000D2FE6">
        <w:tc>
          <w:tcPr>
            <w:tcW w:w="10042" w:type="dxa"/>
            <w:gridSpan w:val="2"/>
          </w:tcPr>
          <w:p w14:paraId="18C899E7" w14:textId="707AD339" w:rsidR="00A339A5" w:rsidRDefault="00A339A5" w:rsidP="00FB6278">
            <w:pPr>
              <w:rPr>
                <w:rFonts w:ascii="Arial" w:hAnsi="Arial" w:cs="Arial"/>
                <w:sz w:val="22"/>
                <w:szCs w:val="22"/>
                <w:lang w:val="en-US"/>
              </w:rPr>
            </w:pPr>
            <w:r w:rsidRPr="009E33FB">
              <w:rPr>
                <w:rFonts w:ascii="Arial" w:hAnsi="Arial" w:cs="Arial"/>
                <w:b/>
                <w:sz w:val="22"/>
                <w:szCs w:val="22"/>
              </w:rPr>
              <w:t>Workforce by staff group</w:t>
            </w:r>
          </w:p>
        </w:tc>
      </w:tr>
      <w:tr w:rsidR="00A339A5" w14:paraId="729566D5" w14:textId="77777777" w:rsidTr="00A339A5">
        <w:tc>
          <w:tcPr>
            <w:tcW w:w="5021" w:type="dxa"/>
          </w:tcPr>
          <w:p w14:paraId="37D89614" w14:textId="514E0133" w:rsidR="00A339A5" w:rsidRDefault="00A339A5" w:rsidP="00FB6278">
            <w:pPr>
              <w:rPr>
                <w:rFonts w:ascii="Arial" w:hAnsi="Arial" w:cs="Arial"/>
                <w:sz w:val="22"/>
                <w:szCs w:val="22"/>
                <w:lang w:val="en-US"/>
              </w:rPr>
            </w:pPr>
            <w:r w:rsidRPr="009E33FB">
              <w:rPr>
                <w:rFonts w:ascii="Arial" w:hAnsi="Arial" w:cs="Arial"/>
                <w:sz w:val="22"/>
                <w:szCs w:val="22"/>
              </w:rPr>
              <w:t>Add</w:t>
            </w:r>
            <w:r>
              <w:rPr>
                <w:rFonts w:ascii="Arial" w:hAnsi="Arial" w:cs="Arial"/>
                <w:sz w:val="22"/>
                <w:szCs w:val="22"/>
              </w:rPr>
              <w:t>itional</w:t>
            </w:r>
            <w:r w:rsidRPr="009E33FB">
              <w:rPr>
                <w:rFonts w:ascii="Arial" w:hAnsi="Arial" w:cs="Arial"/>
                <w:sz w:val="22"/>
                <w:szCs w:val="22"/>
              </w:rPr>
              <w:t xml:space="preserve"> Prof Scientific and Technic</w:t>
            </w:r>
          </w:p>
        </w:tc>
        <w:tc>
          <w:tcPr>
            <w:tcW w:w="5021" w:type="dxa"/>
          </w:tcPr>
          <w:p w14:paraId="25239B14" w14:textId="401D6029" w:rsidR="00A339A5" w:rsidRDefault="00A339A5" w:rsidP="00FB6278">
            <w:pPr>
              <w:rPr>
                <w:rFonts w:ascii="Arial" w:hAnsi="Arial" w:cs="Arial"/>
                <w:sz w:val="22"/>
                <w:szCs w:val="22"/>
              </w:rPr>
            </w:pPr>
            <w:r w:rsidRPr="009E33FB">
              <w:rPr>
                <w:rFonts w:ascii="Arial" w:hAnsi="Arial" w:cs="Arial"/>
                <w:sz w:val="22"/>
                <w:szCs w:val="22"/>
              </w:rPr>
              <w:t>HC 251</w:t>
            </w:r>
          </w:p>
          <w:p w14:paraId="0B024ECB" w14:textId="620108B5" w:rsidR="00A339A5" w:rsidRDefault="00A339A5" w:rsidP="00FB6278">
            <w:pPr>
              <w:rPr>
                <w:rFonts w:ascii="Arial" w:hAnsi="Arial" w:cs="Arial"/>
                <w:sz w:val="22"/>
                <w:szCs w:val="22"/>
                <w:lang w:val="en-US"/>
              </w:rPr>
            </w:pPr>
            <w:r w:rsidRPr="009E33FB">
              <w:rPr>
                <w:rFonts w:ascii="Arial" w:hAnsi="Arial" w:cs="Arial"/>
                <w:sz w:val="22"/>
                <w:szCs w:val="22"/>
              </w:rPr>
              <w:t>WTE 167.89</w:t>
            </w:r>
          </w:p>
        </w:tc>
      </w:tr>
      <w:tr w:rsidR="00A339A5" w14:paraId="2771A687" w14:textId="77777777" w:rsidTr="00A339A5">
        <w:tc>
          <w:tcPr>
            <w:tcW w:w="5021" w:type="dxa"/>
          </w:tcPr>
          <w:p w14:paraId="6896F635" w14:textId="3694C0BB" w:rsidR="00A339A5" w:rsidRDefault="00A339A5" w:rsidP="00FB6278">
            <w:pPr>
              <w:rPr>
                <w:rFonts w:ascii="Arial" w:hAnsi="Arial" w:cs="Arial"/>
                <w:sz w:val="22"/>
                <w:szCs w:val="22"/>
                <w:lang w:val="en-US"/>
              </w:rPr>
            </w:pPr>
            <w:r w:rsidRPr="009E33FB">
              <w:rPr>
                <w:rFonts w:ascii="Arial" w:hAnsi="Arial" w:cs="Arial"/>
                <w:sz w:val="22"/>
                <w:szCs w:val="22"/>
              </w:rPr>
              <w:t>Additional Clinical Services</w:t>
            </w:r>
          </w:p>
        </w:tc>
        <w:tc>
          <w:tcPr>
            <w:tcW w:w="5021" w:type="dxa"/>
          </w:tcPr>
          <w:p w14:paraId="1096A3AD" w14:textId="41FEE3C1" w:rsidR="00A339A5" w:rsidRDefault="00A339A5" w:rsidP="00FB6278">
            <w:pPr>
              <w:rPr>
                <w:rFonts w:ascii="Arial" w:hAnsi="Arial" w:cs="Arial"/>
                <w:sz w:val="22"/>
                <w:szCs w:val="22"/>
              </w:rPr>
            </w:pPr>
            <w:r w:rsidRPr="009E33FB">
              <w:rPr>
                <w:rFonts w:ascii="Arial" w:hAnsi="Arial" w:cs="Arial"/>
                <w:sz w:val="22"/>
                <w:szCs w:val="22"/>
              </w:rPr>
              <w:t>HC 380</w:t>
            </w:r>
          </w:p>
          <w:p w14:paraId="027040C6" w14:textId="7E11E628" w:rsidR="00A339A5" w:rsidRDefault="00A339A5" w:rsidP="00FB6278">
            <w:pPr>
              <w:rPr>
                <w:rFonts w:ascii="Arial" w:hAnsi="Arial" w:cs="Arial"/>
                <w:sz w:val="22"/>
                <w:szCs w:val="22"/>
                <w:lang w:val="en-US"/>
              </w:rPr>
            </w:pPr>
            <w:r w:rsidRPr="009E33FB">
              <w:rPr>
                <w:rFonts w:ascii="Arial" w:hAnsi="Arial" w:cs="Arial"/>
                <w:sz w:val="22"/>
                <w:szCs w:val="22"/>
              </w:rPr>
              <w:t>WTE 350.52</w:t>
            </w:r>
          </w:p>
        </w:tc>
      </w:tr>
      <w:tr w:rsidR="00A339A5" w14:paraId="5F6AD431" w14:textId="77777777" w:rsidTr="00A339A5">
        <w:tc>
          <w:tcPr>
            <w:tcW w:w="5021" w:type="dxa"/>
          </w:tcPr>
          <w:p w14:paraId="4E0E3E2B" w14:textId="1C75473C" w:rsidR="00A339A5" w:rsidRDefault="00A339A5" w:rsidP="00FB6278">
            <w:pPr>
              <w:rPr>
                <w:rFonts w:ascii="Arial" w:hAnsi="Arial" w:cs="Arial"/>
                <w:sz w:val="22"/>
                <w:szCs w:val="22"/>
                <w:lang w:val="en-US"/>
              </w:rPr>
            </w:pPr>
            <w:r w:rsidRPr="009E33FB">
              <w:rPr>
                <w:rFonts w:ascii="Arial" w:hAnsi="Arial" w:cs="Arial"/>
                <w:sz w:val="22"/>
                <w:szCs w:val="22"/>
              </w:rPr>
              <w:t>Administrative and Clerical</w:t>
            </w:r>
          </w:p>
        </w:tc>
        <w:tc>
          <w:tcPr>
            <w:tcW w:w="5021" w:type="dxa"/>
          </w:tcPr>
          <w:p w14:paraId="61AB74CA" w14:textId="6A743B4D" w:rsidR="00A339A5" w:rsidRDefault="00A339A5" w:rsidP="00FB6278">
            <w:pPr>
              <w:rPr>
                <w:rFonts w:ascii="Arial" w:hAnsi="Arial" w:cs="Arial"/>
                <w:sz w:val="22"/>
                <w:szCs w:val="22"/>
              </w:rPr>
            </w:pPr>
            <w:r w:rsidRPr="009E33FB">
              <w:rPr>
                <w:rFonts w:ascii="Arial" w:hAnsi="Arial" w:cs="Arial"/>
                <w:sz w:val="22"/>
                <w:szCs w:val="22"/>
              </w:rPr>
              <w:t>HC 805</w:t>
            </w:r>
          </w:p>
          <w:p w14:paraId="1373E026" w14:textId="09AC6744" w:rsidR="00A339A5" w:rsidRDefault="00A339A5" w:rsidP="00FB6278">
            <w:pPr>
              <w:rPr>
                <w:rFonts w:ascii="Arial" w:hAnsi="Arial" w:cs="Arial"/>
                <w:sz w:val="22"/>
                <w:szCs w:val="22"/>
                <w:lang w:val="en-US"/>
              </w:rPr>
            </w:pPr>
            <w:r w:rsidRPr="009E33FB">
              <w:rPr>
                <w:rFonts w:ascii="Arial" w:hAnsi="Arial" w:cs="Arial"/>
                <w:sz w:val="22"/>
                <w:szCs w:val="22"/>
              </w:rPr>
              <w:t>WTE 762.51</w:t>
            </w:r>
          </w:p>
        </w:tc>
      </w:tr>
      <w:tr w:rsidR="00A339A5" w14:paraId="0515C2C7" w14:textId="77777777" w:rsidTr="00A339A5">
        <w:tc>
          <w:tcPr>
            <w:tcW w:w="5021" w:type="dxa"/>
          </w:tcPr>
          <w:p w14:paraId="616CC53E" w14:textId="181D8683" w:rsidR="00A339A5" w:rsidRPr="009E33FB" w:rsidRDefault="00A339A5" w:rsidP="00FB6278">
            <w:pPr>
              <w:rPr>
                <w:rFonts w:ascii="Arial" w:hAnsi="Arial" w:cs="Arial"/>
                <w:sz w:val="22"/>
                <w:szCs w:val="22"/>
              </w:rPr>
            </w:pPr>
            <w:r w:rsidRPr="009E33FB">
              <w:rPr>
                <w:rFonts w:ascii="Arial" w:hAnsi="Arial" w:cs="Arial"/>
                <w:sz w:val="22"/>
                <w:szCs w:val="22"/>
              </w:rPr>
              <w:t>Allied Health Professionals</w:t>
            </w:r>
          </w:p>
        </w:tc>
        <w:tc>
          <w:tcPr>
            <w:tcW w:w="5021" w:type="dxa"/>
          </w:tcPr>
          <w:p w14:paraId="7194FCB9" w14:textId="0813F129" w:rsidR="00A339A5" w:rsidRDefault="00A339A5" w:rsidP="00FB6278">
            <w:pPr>
              <w:rPr>
                <w:rFonts w:ascii="Arial" w:hAnsi="Arial" w:cs="Arial"/>
                <w:sz w:val="22"/>
                <w:szCs w:val="22"/>
              </w:rPr>
            </w:pPr>
            <w:r w:rsidRPr="009E33FB">
              <w:rPr>
                <w:rFonts w:ascii="Arial" w:hAnsi="Arial" w:cs="Arial"/>
                <w:sz w:val="22"/>
                <w:szCs w:val="22"/>
              </w:rPr>
              <w:t>HC 52</w:t>
            </w:r>
          </w:p>
          <w:p w14:paraId="24D7C7B9" w14:textId="7BB032AD" w:rsidR="00A339A5" w:rsidRPr="009E33FB" w:rsidRDefault="00A339A5" w:rsidP="00FB6278">
            <w:pPr>
              <w:rPr>
                <w:rFonts w:ascii="Arial" w:hAnsi="Arial" w:cs="Arial"/>
                <w:sz w:val="22"/>
                <w:szCs w:val="22"/>
              </w:rPr>
            </w:pPr>
            <w:r w:rsidRPr="009E33FB">
              <w:rPr>
                <w:rFonts w:ascii="Arial" w:hAnsi="Arial" w:cs="Arial"/>
                <w:sz w:val="22"/>
                <w:szCs w:val="22"/>
              </w:rPr>
              <w:t>WTE 42.61</w:t>
            </w:r>
          </w:p>
        </w:tc>
      </w:tr>
      <w:tr w:rsidR="00A339A5" w14:paraId="286C342C" w14:textId="77777777" w:rsidTr="00A339A5">
        <w:tc>
          <w:tcPr>
            <w:tcW w:w="5021" w:type="dxa"/>
          </w:tcPr>
          <w:p w14:paraId="6875E807" w14:textId="033B5D70" w:rsidR="00A339A5" w:rsidRPr="009E33FB" w:rsidRDefault="00A339A5" w:rsidP="00FB6278">
            <w:pPr>
              <w:rPr>
                <w:rFonts w:ascii="Arial" w:hAnsi="Arial" w:cs="Arial"/>
                <w:sz w:val="22"/>
                <w:szCs w:val="22"/>
              </w:rPr>
            </w:pPr>
            <w:r w:rsidRPr="009E33FB">
              <w:rPr>
                <w:rFonts w:ascii="Arial" w:hAnsi="Arial" w:cs="Arial"/>
                <w:sz w:val="22"/>
                <w:szCs w:val="22"/>
              </w:rPr>
              <w:t>Estates and Ancillary</w:t>
            </w:r>
          </w:p>
        </w:tc>
        <w:tc>
          <w:tcPr>
            <w:tcW w:w="5021" w:type="dxa"/>
          </w:tcPr>
          <w:p w14:paraId="07DCACC4" w14:textId="001772DD" w:rsidR="00A339A5" w:rsidRDefault="00A339A5" w:rsidP="00FB6278">
            <w:pPr>
              <w:rPr>
                <w:rFonts w:ascii="Arial" w:hAnsi="Arial" w:cs="Arial"/>
                <w:sz w:val="22"/>
                <w:szCs w:val="22"/>
              </w:rPr>
            </w:pPr>
            <w:r w:rsidRPr="009E33FB">
              <w:rPr>
                <w:rFonts w:ascii="Arial" w:hAnsi="Arial" w:cs="Arial"/>
                <w:sz w:val="22"/>
                <w:szCs w:val="22"/>
              </w:rPr>
              <w:t>HC 34</w:t>
            </w:r>
          </w:p>
          <w:p w14:paraId="0E53302F" w14:textId="37DC87A3" w:rsidR="00A339A5" w:rsidRPr="009E33FB" w:rsidRDefault="00A339A5" w:rsidP="00FB6278">
            <w:pPr>
              <w:rPr>
                <w:rFonts w:ascii="Arial" w:hAnsi="Arial" w:cs="Arial"/>
                <w:sz w:val="22"/>
                <w:szCs w:val="22"/>
              </w:rPr>
            </w:pPr>
            <w:r w:rsidRPr="009E33FB">
              <w:rPr>
                <w:rFonts w:ascii="Arial" w:hAnsi="Arial" w:cs="Arial"/>
                <w:sz w:val="22"/>
                <w:szCs w:val="22"/>
              </w:rPr>
              <w:t>WTE 33.92</w:t>
            </w:r>
          </w:p>
        </w:tc>
      </w:tr>
      <w:tr w:rsidR="00A339A5" w14:paraId="627E3385" w14:textId="77777777" w:rsidTr="00A339A5">
        <w:tc>
          <w:tcPr>
            <w:tcW w:w="5021" w:type="dxa"/>
          </w:tcPr>
          <w:p w14:paraId="04E7C079" w14:textId="77777777" w:rsidR="00932A6E" w:rsidRDefault="00932A6E" w:rsidP="00FB6278">
            <w:pPr>
              <w:rPr>
                <w:rFonts w:ascii="Arial" w:hAnsi="Arial" w:cs="Arial"/>
                <w:sz w:val="22"/>
                <w:szCs w:val="22"/>
              </w:rPr>
            </w:pPr>
            <w:r w:rsidRPr="009E33FB">
              <w:rPr>
                <w:rFonts w:ascii="Arial" w:hAnsi="Arial" w:cs="Arial"/>
                <w:sz w:val="22"/>
                <w:szCs w:val="22"/>
              </w:rPr>
              <w:t>Healthcare Scientists</w:t>
            </w:r>
          </w:p>
          <w:p w14:paraId="163ACB90" w14:textId="77777777" w:rsidR="00A339A5" w:rsidRPr="009E33FB" w:rsidRDefault="00A339A5" w:rsidP="00FB6278">
            <w:pPr>
              <w:rPr>
                <w:rFonts w:ascii="Arial" w:hAnsi="Arial" w:cs="Arial"/>
                <w:sz w:val="22"/>
                <w:szCs w:val="22"/>
              </w:rPr>
            </w:pPr>
          </w:p>
        </w:tc>
        <w:tc>
          <w:tcPr>
            <w:tcW w:w="5021" w:type="dxa"/>
          </w:tcPr>
          <w:p w14:paraId="140D79CD" w14:textId="1E9E27E8" w:rsidR="00932A6E" w:rsidRDefault="00932A6E" w:rsidP="00FB6278">
            <w:pPr>
              <w:rPr>
                <w:rFonts w:ascii="Arial" w:hAnsi="Arial" w:cs="Arial"/>
                <w:sz w:val="22"/>
                <w:szCs w:val="22"/>
              </w:rPr>
            </w:pPr>
            <w:r w:rsidRPr="009E33FB">
              <w:rPr>
                <w:rFonts w:ascii="Arial" w:hAnsi="Arial" w:cs="Arial"/>
                <w:sz w:val="22"/>
                <w:szCs w:val="22"/>
              </w:rPr>
              <w:t>HC 59</w:t>
            </w:r>
          </w:p>
          <w:p w14:paraId="68A0237C" w14:textId="6406575B" w:rsidR="00A339A5" w:rsidRPr="009E33FB" w:rsidRDefault="00932A6E" w:rsidP="00FB6278">
            <w:pPr>
              <w:rPr>
                <w:rFonts w:ascii="Arial" w:hAnsi="Arial" w:cs="Arial"/>
                <w:sz w:val="22"/>
                <w:szCs w:val="22"/>
              </w:rPr>
            </w:pPr>
            <w:r w:rsidRPr="009E33FB">
              <w:rPr>
                <w:rFonts w:ascii="Arial" w:hAnsi="Arial" w:cs="Arial"/>
                <w:sz w:val="22"/>
                <w:szCs w:val="22"/>
              </w:rPr>
              <w:t>WTE 55.63</w:t>
            </w:r>
          </w:p>
        </w:tc>
      </w:tr>
      <w:tr w:rsidR="00932A6E" w14:paraId="0B7EB606" w14:textId="77777777" w:rsidTr="00A339A5">
        <w:tc>
          <w:tcPr>
            <w:tcW w:w="5021" w:type="dxa"/>
          </w:tcPr>
          <w:p w14:paraId="5A600425" w14:textId="77777777" w:rsidR="00932A6E" w:rsidRDefault="00932A6E" w:rsidP="00FB6278">
            <w:pPr>
              <w:rPr>
                <w:rFonts w:ascii="Arial" w:hAnsi="Arial" w:cs="Arial"/>
                <w:sz w:val="22"/>
                <w:szCs w:val="22"/>
              </w:rPr>
            </w:pPr>
            <w:r w:rsidRPr="009E33FB">
              <w:rPr>
                <w:rFonts w:ascii="Arial" w:hAnsi="Arial" w:cs="Arial"/>
                <w:sz w:val="22"/>
                <w:szCs w:val="22"/>
              </w:rPr>
              <w:t>Medical and Dental</w:t>
            </w:r>
          </w:p>
          <w:p w14:paraId="6C2BDE64" w14:textId="77777777" w:rsidR="00932A6E" w:rsidRPr="009E33FB" w:rsidRDefault="00932A6E" w:rsidP="00FB6278">
            <w:pPr>
              <w:rPr>
                <w:rFonts w:ascii="Arial" w:hAnsi="Arial" w:cs="Arial"/>
                <w:sz w:val="22"/>
                <w:szCs w:val="22"/>
              </w:rPr>
            </w:pPr>
          </w:p>
        </w:tc>
        <w:tc>
          <w:tcPr>
            <w:tcW w:w="5021" w:type="dxa"/>
          </w:tcPr>
          <w:p w14:paraId="60C55AF0" w14:textId="77777777" w:rsidR="00932A6E" w:rsidRDefault="00932A6E" w:rsidP="00FB6278">
            <w:pPr>
              <w:rPr>
                <w:rFonts w:ascii="Arial" w:hAnsi="Arial" w:cs="Arial"/>
                <w:sz w:val="22"/>
                <w:szCs w:val="22"/>
              </w:rPr>
            </w:pPr>
            <w:r w:rsidRPr="009E33FB">
              <w:rPr>
                <w:rFonts w:ascii="Arial" w:hAnsi="Arial" w:cs="Arial"/>
                <w:sz w:val="22"/>
                <w:szCs w:val="22"/>
              </w:rPr>
              <w:t>HC 365</w:t>
            </w:r>
          </w:p>
          <w:p w14:paraId="69FF8ADA" w14:textId="0E3E9E9A" w:rsidR="00932A6E" w:rsidRPr="009E33FB" w:rsidRDefault="00932A6E" w:rsidP="00FB6278">
            <w:pPr>
              <w:rPr>
                <w:rFonts w:ascii="Arial" w:hAnsi="Arial" w:cs="Arial"/>
                <w:sz w:val="22"/>
                <w:szCs w:val="22"/>
              </w:rPr>
            </w:pPr>
            <w:r w:rsidRPr="009E33FB">
              <w:rPr>
                <w:rFonts w:ascii="Arial" w:hAnsi="Arial" w:cs="Arial"/>
                <w:sz w:val="22"/>
                <w:szCs w:val="22"/>
              </w:rPr>
              <w:t>WTE 326.68</w:t>
            </w:r>
          </w:p>
        </w:tc>
      </w:tr>
      <w:tr w:rsidR="00932A6E" w14:paraId="5E36940E" w14:textId="77777777" w:rsidTr="00A339A5">
        <w:tc>
          <w:tcPr>
            <w:tcW w:w="5021" w:type="dxa"/>
          </w:tcPr>
          <w:p w14:paraId="043B8D5C" w14:textId="00FB0CF1" w:rsidR="00932A6E" w:rsidRPr="009E33FB" w:rsidRDefault="00932A6E" w:rsidP="00FB6278">
            <w:pPr>
              <w:rPr>
                <w:rFonts w:ascii="Arial" w:hAnsi="Arial" w:cs="Arial"/>
                <w:sz w:val="22"/>
                <w:szCs w:val="22"/>
              </w:rPr>
            </w:pPr>
            <w:r w:rsidRPr="009E33FB">
              <w:rPr>
                <w:rFonts w:ascii="Arial" w:hAnsi="Arial" w:cs="Arial"/>
                <w:sz w:val="22"/>
                <w:szCs w:val="22"/>
              </w:rPr>
              <w:t>Nursing and Midwifery Registered</w:t>
            </w:r>
          </w:p>
        </w:tc>
        <w:tc>
          <w:tcPr>
            <w:tcW w:w="5021" w:type="dxa"/>
          </w:tcPr>
          <w:p w14:paraId="701C6DD4" w14:textId="346DBBC9" w:rsidR="00932A6E" w:rsidRDefault="00932A6E" w:rsidP="00FB6278">
            <w:pPr>
              <w:rPr>
                <w:rFonts w:ascii="Arial" w:hAnsi="Arial" w:cs="Arial"/>
                <w:sz w:val="22"/>
                <w:szCs w:val="22"/>
              </w:rPr>
            </w:pPr>
            <w:r w:rsidRPr="009E33FB">
              <w:rPr>
                <w:rFonts w:ascii="Arial" w:hAnsi="Arial" w:cs="Arial"/>
                <w:sz w:val="22"/>
                <w:szCs w:val="22"/>
              </w:rPr>
              <w:t>HC 436</w:t>
            </w:r>
          </w:p>
          <w:p w14:paraId="7BAAB033" w14:textId="60386F8D" w:rsidR="00932A6E" w:rsidRPr="009E33FB" w:rsidRDefault="00932A6E" w:rsidP="00FB6278">
            <w:pPr>
              <w:rPr>
                <w:rFonts w:ascii="Arial" w:hAnsi="Arial" w:cs="Arial"/>
                <w:sz w:val="22"/>
                <w:szCs w:val="22"/>
              </w:rPr>
            </w:pPr>
            <w:r w:rsidRPr="009E33FB">
              <w:rPr>
                <w:rFonts w:ascii="Arial" w:hAnsi="Arial" w:cs="Arial"/>
                <w:sz w:val="22"/>
                <w:szCs w:val="22"/>
              </w:rPr>
              <w:t>WTE 402.81</w:t>
            </w:r>
          </w:p>
        </w:tc>
      </w:tr>
      <w:tr w:rsidR="00932A6E" w14:paraId="7FC12A4B" w14:textId="77777777" w:rsidTr="00A339A5">
        <w:tc>
          <w:tcPr>
            <w:tcW w:w="5021" w:type="dxa"/>
          </w:tcPr>
          <w:p w14:paraId="1BB95BEB" w14:textId="77777777" w:rsidR="00932A6E" w:rsidRDefault="00932A6E" w:rsidP="00FB6278">
            <w:pPr>
              <w:rPr>
                <w:rFonts w:ascii="Arial" w:hAnsi="Arial" w:cs="Arial"/>
                <w:sz w:val="22"/>
                <w:szCs w:val="22"/>
              </w:rPr>
            </w:pPr>
            <w:r w:rsidRPr="009E33FB">
              <w:rPr>
                <w:rFonts w:ascii="Arial" w:hAnsi="Arial" w:cs="Arial"/>
                <w:sz w:val="22"/>
                <w:szCs w:val="22"/>
              </w:rPr>
              <w:t>Students</w:t>
            </w:r>
          </w:p>
          <w:p w14:paraId="3151D7A1" w14:textId="77777777" w:rsidR="00932A6E" w:rsidRPr="009E33FB" w:rsidRDefault="00932A6E" w:rsidP="00FB6278">
            <w:pPr>
              <w:rPr>
                <w:rFonts w:ascii="Arial" w:hAnsi="Arial" w:cs="Arial"/>
                <w:sz w:val="22"/>
                <w:szCs w:val="22"/>
              </w:rPr>
            </w:pPr>
          </w:p>
        </w:tc>
        <w:tc>
          <w:tcPr>
            <w:tcW w:w="5021" w:type="dxa"/>
          </w:tcPr>
          <w:p w14:paraId="725B71B6" w14:textId="70C9E096" w:rsidR="00932A6E" w:rsidRDefault="00932A6E" w:rsidP="00FB6278">
            <w:pPr>
              <w:rPr>
                <w:rFonts w:ascii="Arial" w:hAnsi="Arial" w:cs="Arial"/>
                <w:sz w:val="22"/>
                <w:szCs w:val="22"/>
              </w:rPr>
            </w:pPr>
            <w:r w:rsidRPr="009E33FB">
              <w:rPr>
                <w:rFonts w:ascii="Arial" w:hAnsi="Arial" w:cs="Arial"/>
                <w:sz w:val="22"/>
                <w:szCs w:val="22"/>
              </w:rPr>
              <w:t>HC 4</w:t>
            </w:r>
          </w:p>
          <w:p w14:paraId="2BCA0226" w14:textId="0BB9E124" w:rsidR="00932A6E" w:rsidRPr="009E33FB" w:rsidRDefault="00932A6E" w:rsidP="00FB6278">
            <w:pPr>
              <w:rPr>
                <w:rFonts w:ascii="Arial" w:hAnsi="Arial" w:cs="Arial"/>
                <w:sz w:val="22"/>
                <w:szCs w:val="22"/>
              </w:rPr>
            </w:pPr>
            <w:r w:rsidRPr="009E33FB">
              <w:rPr>
                <w:rFonts w:ascii="Arial" w:hAnsi="Arial" w:cs="Arial"/>
                <w:sz w:val="22"/>
                <w:szCs w:val="22"/>
              </w:rPr>
              <w:t>WTE 4.00</w:t>
            </w:r>
          </w:p>
        </w:tc>
      </w:tr>
    </w:tbl>
    <w:p w14:paraId="447DD8BE" w14:textId="459DF446" w:rsidR="00A339A5" w:rsidRDefault="00A339A5" w:rsidP="00FB6278">
      <w:pPr>
        <w:rPr>
          <w:rFonts w:ascii="Arial" w:hAnsi="Arial" w:cs="Arial"/>
          <w:sz w:val="22"/>
          <w:szCs w:val="22"/>
          <w:lang w:val="en-US"/>
        </w:rPr>
      </w:pPr>
    </w:p>
    <w:tbl>
      <w:tblPr>
        <w:tblStyle w:val="TableGrid"/>
        <w:tblW w:w="0" w:type="auto"/>
        <w:tblLook w:val="04A0" w:firstRow="1" w:lastRow="0" w:firstColumn="1" w:lastColumn="0" w:noHBand="0" w:noVBand="1"/>
      </w:tblPr>
      <w:tblGrid>
        <w:gridCol w:w="5021"/>
        <w:gridCol w:w="5021"/>
      </w:tblGrid>
      <w:tr w:rsidR="00932A6E" w14:paraId="59A5FBC7" w14:textId="77777777" w:rsidTr="00065A9B">
        <w:tc>
          <w:tcPr>
            <w:tcW w:w="10042" w:type="dxa"/>
            <w:gridSpan w:val="2"/>
          </w:tcPr>
          <w:p w14:paraId="0D56E543" w14:textId="4C7C87A5" w:rsidR="00932A6E" w:rsidRDefault="00932A6E" w:rsidP="00FB6278">
            <w:pPr>
              <w:rPr>
                <w:rFonts w:ascii="Arial" w:hAnsi="Arial" w:cs="Arial"/>
                <w:sz w:val="22"/>
                <w:szCs w:val="22"/>
                <w:lang w:val="en-US"/>
              </w:rPr>
            </w:pPr>
            <w:r w:rsidRPr="009E33FB">
              <w:rPr>
                <w:rFonts w:ascii="Arial" w:hAnsi="Arial" w:cs="Arial"/>
                <w:b/>
                <w:sz w:val="22"/>
                <w:szCs w:val="22"/>
              </w:rPr>
              <w:t>Workforce by ethnicity</w:t>
            </w:r>
          </w:p>
        </w:tc>
      </w:tr>
      <w:tr w:rsidR="00932A6E" w14:paraId="6933E92A" w14:textId="77777777" w:rsidTr="00065A9B">
        <w:tc>
          <w:tcPr>
            <w:tcW w:w="5021" w:type="dxa"/>
          </w:tcPr>
          <w:p w14:paraId="531D1BD5" w14:textId="77777777" w:rsidR="00932A6E" w:rsidRDefault="00932A6E" w:rsidP="00FB6278">
            <w:pPr>
              <w:rPr>
                <w:rFonts w:ascii="Arial" w:hAnsi="Arial" w:cs="Arial"/>
                <w:sz w:val="22"/>
                <w:szCs w:val="22"/>
              </w:rPr>
            </w:pPr>
            <w:r w:rsidRPr="009E33FB">
              <w:rPr>
                <w:rFonts w:ascii="Arial" w:hAnsi="Arial" w:cs="Arial"/>
                <w:sz w:val="22"/>
                <w:szCs w:val="22"/>
              </w:rPr>
              <w:t>Asian</w:t>
            </w:r>
          </w:p>
          <w:p w14:paraId="4FB8E339" w14:textId="07D7EFEC" w:rsidR="00932A6E" w:rsidRDefault="00932A6E" w:rsidP="00FB6278">
            <w:pPr>
              <w:rPr>
                <w:rFonts w:ascii="Arial" w:hAnsi="Arial" w:cs="Arial"/>
                <w:sz w:val="22"/>
                <w:szCs w:val="22"/>
                <w:lang w:val="en-US"/>
              </w:rPr>
            </w:pPr>
          </w:p>
        </w:tc>
        <w:tc>
          <w:tcPr>
            <w:tcW w:w="5021" w:type="dxa"/>
          </w:tcPr>
          <w:p w14:paraId="021BD36E" w14:textId="77777777" w:rsidR="00932A6E" w:rsidRDefault="00932A6E" w:rsidP="00FB6278">
            <w:pPr>
              <w:rPr>
                <w:rFonts w:ascii="Arial" w:hAnsi="Arial" w:cs="Arial"/>
                <w:sz w:val="22"/>
                <w:szCs w:val="22"/>
              </w:rPr>
            </w:pPr>
            <w:r w:rsidRPr="009E33FB">
              <w:rPr>
                <w:rFonts w:ascii="Arial" w:hAnsi="Arial" w:cs="Arial"/>
                <w:sz w:val="22"/>
                <w:szCs w:val="22"/>
              </w:rPr>
              <w:t>HC 593</w:t>
            </w:r>
          </w:p>
          <w:p w14:paraId="15D360C3" w14:textId="008ADA43" w:rsidR="00932A6E" w:rsidRDefault="00932A6E" w:rsidP="00FB6278">
            <w:pPr>
              <w:rPr>
                <w:rFonts w:ascii="Arial" w:hAnsi="Arial" w:cs="Arial"/>
                <w:sz w:val="22"/>
                <w:szCs w:val="22"/>
                <w:lang w:val="en-US"/>
              </w:rPr>
            </w:pPr>
            <w:r w:rsidRPr="009E33FB">
              <w:rPr>
                <w:rFonts w:ascii="Arial" w:hAnsi="Arial" w:cs="Arial"/>
                <w:sz w:val="22"/>
                <w:szCs w:val="22"/>
              </w:rPr>
              <w:t>WTE 525.76</w:t>
            </w:r>
          </w:p>
        </w:tc>
      </w:tr>
      <w:tr w:rsidR="00932A6E" w:rsidRPr="009E33FB" w14:paraId="3CE7976C" w14:textId="77777777" w:rsidTr="00065A9B">
        <w:tc>
          <w:tcPr>
            <w:tcW w:w="5021" w:type="dxa"/>
          </w:tcPr>
          <w:p w14:paraId="49ED91AB" w14:textId="77777777" w:rsidR="00932A6E" w:rsidRDefault="00932A6E" w:rsidP="00FB6278">
            <w:pPr>
              <w:rPr>
                <w:rFonts w:ascii="Arial" w:hAnsi="Arial" w:cs="Arial"/>
                <w:sz w:val="22"/>
                <w:szCs w:val="22"/>
              </w:rPr>
            </w:pPr>
            <w:r w:rsidRPr="009E33FB">
              <w:rPr>
                <w:rFonts w:ascii="Arial" w:hAnsi="Arial" w:cs="Arial"/>
                <w:sz w:val="22"/>
                <w:szCs w:val="22"/>
              </w:rPr>
              <w:t>Black</w:t>
            </w:r>
          </w:p>
          <w:p w14:paraId="723B7F46" w14:textId="72768015" w:rsidR="00932A6E" w:rsidRPr="009E33FB" w:rsidRDefault="00932A6E" w:rsidP="00FB6278">
            <w:pPr>
              <w:rPr>
                <w:rFonts w:ascii="Arial" w:hAnsi="Arial" w:cs="Arial"/>
                <w:sz w:val="22"/>
                <w:szCs w:val="22"/>
              </w:rPr>
            </w:pPr>
          </w:p>
        </w:tc>
        <w:tc>
          <w:tcPr>
            <w:tcW w:w="5021" w:type="dxa"/>
          </w:tcPr>
          <w:p w14:paraId="471CA681" w14:textId="77777777" w:rsidR="00932A6E" w:rsidRDefault="00932A6E" w:rsidP="00FB6278">
            <w:pPr>
              <w:rPr>
                <w:rFonts w:ascii="Arial" w:hAnsi="Arial" w:cs="Arial"/>
                <w:sz w:val="22"/>
                <w:szCs w:val="22"/>
              </w:rPr>
            </w:pPr>
            <w:r w:rsidRPr="009E33FB">
              <w:rPr>
                <w:rFonts w:ascii="Arial" w:hAnsi="Arial" w:cs="Arial"/>
                <w:sz w:val="22"/>
                <w:szCs w:val="22"/>
              </w:rPr>
              <w:t>HC 392</w:t>
            </w:r>
          </w:p>
          <w:p w14:paraId="4A0F02B4" w14:textId="312C8CE3" w:rsidR="00932A6E" w:rsidRPr="009E33FB" w:rsidRDefault="00932A6E" w:rsidP="00FB6278">
            <w:pPr>
              <w:rPr>
                <w:rFonts w:ascii="Arial" w:hAnsi="Arial" w:cs="Arial"/>
                <w:sz w:val="22"/>
                <w:szCs w:val="22"/>
              </w:rPr>
            </w:pPr>
            <w:r w:rsidRPr="009E33FB">
              <w:rPr>
                <w:rFonts w:ascii="Arial" w:hAnsi="Arial" w:cs="Arial"/>
                <w:sz w:val="22"/>
                <w:szCs w:val="22"/>
              </w:rPr>
              <w:t>WTE 366.68</w:t>
            </w:r>
          </w:p>
        </w:tc>
      </w:tr>
      <w:tr w:rsidR="00932A6E" w:rsidRPr="009E33FB" w14:paraId="3ADE93E7" w14:textId="77777777" w:rsidTr="00065A9B">
        <w:tc>
          <w:tcPr>
            <w:tcW w:w="5021" w:type="dxa"/>
          </w:tcPr>
          <w:p w14:paraId="3727E6FF" w14:textId="77777777" w:rsidR="00932A6E" w:rsidRDefault="00932A6E" w:rsidP="00FB6278">
            <w:pPr>
              <w:rPr>
                <w:rFonts w:ascii="Arial" w:hAnsi="Arial" w:cs="Arial"/>
                <w:sz w:val="22"/>
                <w:szCs w:val="22"/>
              </w:rPr>
            </w:pPr>
            <w:r w:rsidRPr="009E33FB">
              <w:rPr>
                <w:rFonts w:ascii="Arial" w:hAnsi="Arial" w:cs="Arial"/>
                <w:sz w:val="22"/>
                <w:szCs w:val="22"/>
              </w:rPr>
              <w:t>Chinese</w:t>
            </w:r>
          </w:p>
          <w:p w14:paraId="36544054" w14:textId="722EFDDA" w:rsidR="00932A6E" w:rsidRPr="009E33FB" w:rsidRDefault="00932A6E" w:rsidP="00FB6278">
            <w:pPr>
              <w:rPr>
                <w:rFonts w:ascii="Arial" w:hAnsi="Arial" w:cs="Arial"/>
                <w:sz w:val="22"/>
                <w:szCs w:val="22"/>
              </w:rPr>
            </w:pPr>
          </w:p>
        </w:tc>
        <w:tc>
          <w:tcPr>
            <w:tcW w:w="5021" w:type="dxa"/>
          </w:tcPr>
          <w:p w14:paraId="0FCD953A" w14:textId="77777777" w:rsidR="00932A6E" w:rsidRDefault="00932A6E" w:rsidP="00FB6278">
            <w:pPr>
              <w:rPr>
                <w:rFonts w:ascii="Arial" w:hAnsi="Arial" w:cs="Arial"/>
                <w:sz w:val="22"/>
                <w:szCs w:val="22"/>
              </w:rPr>
            </w:pPr>
            <w:r w:rsidRPr="009E33FB">
              <w:rPr>
                <w:rFonts w:ascii="Arial" w:hAnsi="Arial" w:cs="Arial"/>
                <w:sz w:val="22"/>
                <w:szCs w:val="22"/>
              </w:rPr>
              <w:t>HC 51</w:t>
            </w:r>
          </w:p>
          <w:p w14:paraId="5583C30C" w14:textId="5CE27D74" w:rsidR="00932A6E" w:rsidRPr="009E33FB" w:rsidRDefault="00932A6E" w:rsidP="00FB6278">
            <w:pPr>
              <w:rPr>
                <w:rFonts w:ascii="Arial" w:hAnsi="Arial" w:cs="Arial"/>
                <w:sz w:val="22"/>
                <w:szCs w:val="22"/>
              </w:rPr>
            </w:pPr>
            <w:r w:rsidRPr="009E33FB">
              <w:rPr>
                <w:rFonts w:ascii="Arial" w:hAnsi="Arial" w:cs="Arial"/>
                <w:sz w:val="22"/>
                <w:szCs w:val="22"/>
              </w:rPr>
              <w:t>WTE 45.68</w:t>
            </w:r>
          </w:p>
        </w:tc>
      </w:tr>
      <w:tr w:rsidR="00932A6E" w:rsidRPr="009E33FB" w14:paraId="7DFA81DE" w14:textId="77777777" w:rsidTr="00065A9B">
        <w:tc>
          <w:tcPr>
            <w:tcW w:w="5021" w:type="dxa"/>
          </w:tcPr>
          <w:p w14:paraId="2B251CAE" w14:textId="1525BB22" w:rsidR="00932A6E" w:rsidRDefault="00932A6E" w:rsidP="00FB6278">
            <w:pPr>
              <w:rPr>
                <w:rFonts w:ascii="Arial" w:hAnsi="Arial" w:cs="Arial"/>
                <w:sz w:val="22"/>
                <w:szCs w:val="22"/>
              </w:rPr>
            </w:pPr>
            <w:r w:rsidRPr="009E33FB">
              <w:rPr>
                <w:rFonts w:ascii="Arial" w:hAnsi="Arial" w:cs="Arial"/>
                <w:sz w:val="22"/>
                <w:szCs w:val="22"/>
              </w:rPr>
              <w:t>Mixed</w:t>
            </w:r>
          </w:p>
          <w:p w14:paraId="3E57D5CA" w14:textId="733F5699" w:rsidR="00932A6E" w:rsidRPr="009E33FB" w:rsidRDefault="00932A6E" w:rsidP="00FB6278">
            <w:pPr>
              <w:rPr>
                <w:rFonts w:ascii="Arial" w:hAnsi="Arial" w:cs="Arial"/>
                <w:sz w:val="22"/>
                <w:szCs w:val="22"/>
              </w:rPr>
            </w:pPr>
          </w:p>
        </w:tc>
        <w:tc>
          <w:tcPr>
            <w:tcW w:w="5021" w:type="dxa"/>
          </w:tcPr>
          <w:p w14:paraId="5FEA3347" w14:textId="6388B295" w:rsidR="00932A6E" w:rsidRDefault="00932A6E" w:rsidP="00FB6278">
            <w:pPr>
              <w:rPr>
                <w:rFonts w:ascii="Arial" w:hAnsi="Arial" w:cs="Arial"/>
                <w:sz w:val="22"/>
                <w:szCs w:val="22"/>
              </w:rPr>
            </w:pPr>
            <w:r w:rsidRPr="009E33FB">
              <w:rPr>
                <w:rFonts w:ascii="Arial" w:hAnsi="Arial" w:cs="Arial"/>
                <w:sz w:val="22"/>
                <w:szCs w:val="22"/>
              </w:rPr>
              <w:t>HC 92</w:t>
            </w:r>
          </w:p>
          <w:p w14:paraId="1496F325" w14:textId="36BE02D6" w:rsidR="00932A6E" w:rsidRPr="009E33FB" w:rsidRDefault="00932A6E" w:rsidP="00FB6278">
            <w:pPr>
              <w:rPr>
                <w:rFonts w:ascii="Arial" w:hAnsi="Arial" w:cs="Arial"/>
                <w:sz w:val="22"/>
                <w:szCs w:val="22"/>
              </w:rPr>
            </w:pPr>
            <w:r w:rsidRPr="009E33FB">
              <w:rPr>
                <w:rFonts w:ascii="Arial" w:hAnsi="Arial" w:cs="Arial"/>
                <w:sz w:val="22"/>
                <w:szCs w:val="22"/>
              </w:rPr>
              <w:t>WTE 84.18</w:t>
            </w:r>
          </w:p>
        </w:tc>
      </w:tr>
      <w:tr w:rsidR="00932A6E" w:rsidRPr="009E33FB" w14:paraId="1AAFC2C8" w14:textId="77777777" w:rsidTr="00065A9B">
        <w:tc>
          <w:tcPr>
            <w:tcW w:w="5021" w:type="dxa"/>
          </w:tcPr>
          <w:p w14:paraId="0787B012" w14:textId="77777777" w:rsidR="00932A6E" w:rsidRDefault="00932A6E" w:rsidP="00FB6278">
            <w:pPr>
              <w:rPr>
                <w:rFonts w:ascii="Arial" w:hAnsi="Arial" w:cs="Arial"/>
                <w:sz w:val="22"/>
                <w:szCs w:val="22"/>
              </w:rPr>
            </w:pPr>
            <w:r w:rsidRPr="009E33FB">
              <w:rPr>
                <w:rFonts w:ascii="Arial" w:hAnsi="Arial" w:cs="Arial"/>
                <w:sz w:val="22"/>
                <w:szCs w:val="22"/>
              </w:rPr>
              <w:t>Not Stated</w:t>
            </w:r>
          </w:p>
          <w:p w14:paraId="0E552108" w14:textId="1583F739" w:rsidR="00932A6E" w:rsidRPr="009E33FB" w:rsidRDefault="00932A6E" w:rsidP="00FB6278">
            <w:pPr>
              <w:rPr>
                <w:rFonts w:ascii="Arial" w:hAnsi="Arial" w:cs="Arial"/>
                <w:sz w:val="22"/>
                <w:szCs w:val="22"/>
              </w:rPr>
            </w:pPr>
          </w:p>
        </w:tc>
        <w:tc>
          <w:tcPr>
            <w:tcW w:w="5021" w:type="dxa"/>
          </w:tcPr>
          <w:p w14:paraId="02B000FB" w14:textId="77777777" w:rsidR="00932A6E" w:rsidRDefault="00932A6E" w:rsidP="00FB6278">
            <w:pPr>
              <w:rPr>
                <w:rFonts w:ascii="Arial" w:hAnsi="Arial" w:cs="Arial"/>
                <w:sz w:val="22"/>
                <w:szCs w:val="22"/>
              </w:rPr>
            </w:pPr>
            <w:r w:rsidRPr="009E33FB">
              <w:rPr>
                <w:rFonts w:ascii="Arial" w:hAnsi="Arial" w:cs="Arial"/>
                <w:sz w:val="22"/>
                <w:szCs w:val="22"/>
              </w:rPr>
              <w:t>HC 323</w:t>
            </w:r>
          </w:p>
          <w:p w14:paraId="3749863E" w14:textId="1408415B" w:rsidR="00932A6E" w:rsidRPr="009E33FB" w:rsidRDefault="00932A6E" w:rsidP="00FB6278">
            <w:pPr>
              <w:rPr>
                <w:rFonts w:ascii="Arial" w:hAnsi="Arial" w:cs="Arial"/>
                <w:sz w:val="22"/>
                <w:szCs w:val="22"/>
              </w:rPr>
            </w:pPr>
            <w:r w:rsidRPr="009E33FB">
              <w:rPr>
                <w:rFonts w:ascii="Arial" w:hAnsi="Arial" w:cs="Arial"/>
                <w:sz w:val="22"/>
                <w:szCs w:val="22"/>
              </w:rPr>
              <w:t>WTE 290.67</w:t>
            </w:r>
          </w:p>
        </w:tc>
      </w:tr>
      <w:tr w:rsidR="00932A6E" w:rsidRPr="009E33FB" w14:paraId="75BDA48F" w14:textId="77777777" w:rsidTr="00065A9B">
        <w:tc>
          <w:tcPr>
            <w:tcW w:w="5021" w:type="dxa"/>
          </w:tcPr>
          <w:p w14:paraId="046B5C01" w14:textId="77777777" w:rsidR="00932A6E" w:rsidRDefault="00932A6E" w:rsidP="00FB6278">
            <w:pPr>
              <w:rPr>
                <w:rFonts w:ascii="Arial" w:hAnsi="Arial" w:cs="Arial"/>
                <w:sz w:val="22"/>
                <w:szCs w:val="22"/>
              </w:rPr>
            </w:pPr>
            <w:r w:rsidRPr="009E33FB">
              <w:rPr>
                <w:rFonts w:ascii="Arial" w:hAnsi="Arial" w:cs="Arial"/>
                <w:sz w:val="22"/>
                <w:szCs w:val="22"/>
              </w:rPr>
              <w:t>Other BME</w:t>
            </w:r>
          </w:p>
          <w:p w14:paraId="435C57A3" w14:textId="4B10B412" w:rsidR="00932A6E" w:rsidRPr="009E33FB" w:rsidRDefault="00932A6E" w:rsidP="00FB6278">
            <w:pPr>
              <w:rPr>
                <w:rFonts w:ascii="Arial" w:hAnsi="Arial" w:cs="Arial"/>
                <w:sz w:val="22"/>
                <w:szCs w:val="22"/>
              </w:rPr>
            </w:pPr>
          </w:p>
        </w:tc>
        <w:tc>
          <w:tcPr>
            <w:tcW w:w="5021" w:type="dxa"/>
          </w:tcPr>
          <w:p w14:paraId="5AD8F7F2" w14:textId="0E37F6EB" w:rsidR="00932A6E" w:rsidRDefault="00932A6E" w:rsidP="00FB6278">
            <w:pPr>
              <w:rPr>
                <w:rFonts w:ascii="Arial" w:hAnsi="Arial" w:cs="Arial"/>
                <w:sz w:val="22"/>
                <w:szCs w:val="22"/>
              </w:rPr>
            </w:pPr>
            <w:r w:rsidRPr="009E33FB">
              <w:rPr>
                <w:rFonts w:ascii="Arial" w:hAnsi="Arial" w:cs="Arial"/>
                <w:sz w:val="22"/>
                <w:szCs w:val="22"/>
              </w:rPr>
              <w:t>HC</w:t>
            </w:r>
            <w:r>
              <w:rPr>
                <w:rFonts w:ascii="Arial" w:hAnsi="Arial" w:cs="Arial"/>
                <w:sz w:val="22"/>
                <w:szCs w:val="22"/>
              </w:rPr>
              <w:t xml:space="preserve"> </w:t>
            </w:r>
            <w:r w:rsidRPr="009E33FB">
              <w:rPr>
                <w:rFonts w:ascii="Arial" w:hAnsi="Arial" w:cs="Arial"/>
                <w:sz w:val="22"/>
                <w:szCs w:val="22"/>
              </w:rPr>
              <w:t>133</w:t>
            </w:r>
          </w:p>
          <w:p w14:paraId="76F37ADF" w14:textId="50ACDDD9" w:rsidR="00932A6E" w:rsidRPr="009E33FB" w:rsidRDefault="00932A6E" w:rsidP="00FB6278">
            <w:pPr>
              <w:rPr>
                <w:rFonts w:ascii="Arial" w:hAnsi="Arial" w:cs="Arial"/>
                <w:sz w:val="22"/>
                <w:szCs w:val="22"/>
              </w:rPr>
            </w:pPr>
            <w:r w:rsidRPr="009E33FB">
              <w:rPr>
                <w:rFonts w:ascii="Arial" w:hAnsi="Arial" w:cs="Arial"/>
                <w:sz w:val="22"/>
                <w:szCs w:val="22"/>
              </w:rPr>
              <w:t>WTE 124.69</w:t>
            </w:r>
          </w:p>
        </w:tc>
      </w:tr>
      <w:tr w:rsidR="00932A6E" w:rsidRPr="009E33FB" w14:paraId="1D8F8B11" w14:textId="77777777" w:rsidTr="00065A9B">
        <w:tc>
          <w:tcPr>
            <w:tcW w:w="5021" w:type="dxa"/>
          </w:tcPr>
          <w:p w14:paraId="1C3F59FE" w14:textId="77777777" w:rsidR="00932A6E" w:rsidRDefault="00932A6E" w:rsidP="00FB6278">
            <w:pPr>
              <w:rPr>
                <w:rFonts w:ascii="Arial" w:hAnsi="Arial" w:cs="Arial"/>
                <w:sz w:val="22"/>
                <w:szCs w:val="22"/>
              </w:rPr>
            </w:pPr>
            <w:r w:rsidRPr="009E33FB">
              <w:rPr>
                <w:rFonts w:ascii="Arial" w:hAnsi="Arial" w:cs="Arial"/>
                <w:sz w:val="22"/>
                <w:szCs w:val="22"/>
              </w:rPr>
              <w:t>White</w:t>
            </w:r>
          </w:p>
          <w:p w14:paraId="5531B7CF" w14:textId="48AD00F5" w:rsidR="00932A6E" w:rsidRPr="009E33FB" w:rsidRDefault="00932A6E" w:rsidP="00FB6278">
            <w:pPr>
              <w:rPr>
                <w:rFonts w:ascii="Arial" w:hAnsi="Arial" w:cs="Arial"/>
                <w:sz w:val="22"/>
                <w:szCs w:val="22"/>
              </w:rPr>
            </w:pPr>
          </w:p>
        </w:tc>
        <w:tc>
          <w:tcPr>
            <w:tcW w:w="5021" w:type="dxa"/>
          </w:tcPr>
          <w:p w14:paraId="300A9E55" w14:textId="77777777" w:rsidR="00932A6E" w:rsidRDefault="00932A6E" w:rsidP="00FB6278">
            <w:pPr>
              <w:rPr>
                <w:rFonts w:ascii="Arial" w:hAnsi="Arial" w:cs="Arial"/>
                <w:sz w:val="22"/>
                <w:szCs w:val="22"/>
              </w:rPr>
            </w:pPr>
            <w:r w:rsidRPr="009E33FB">
              <w:rPr>
                <w:rFonts w:ascii="Arial" w:hAnsi="Arial" w:cs="Arial"/>
                <w:sz w:val="22"/>
                <w:szCs w:val="22"/>
              </w:rPr>
              <w:t>HC 798</w:t>
            </w:r>
          </w:p>
          <w:p w14:paraId="6F65558A" w14:textId="2268E8DD" w:rsidR="00932A6E" w:rsidRPr="009E33FB" w:rsidRDefault="00932A6E" w:rsidP="00FB6278">
            <w:pPr>
              <w:rPr>
                <w:rFonts w:ascii="Arial" w:hAnsi="Arial" w:cs="Arial"/>
                <w:sz w:val="22"/>
                <w:szCs w:val="22"/>
              </w:rPr>
            </w:pPr>
            <w:r w:rsidRPr="009E33FB">
              <w:rPr>
                <w:rFonts w:ascii="Arial" w:hAnsi="Arial" w:cs="Arial"/>
                <w:sz w:val="22"/>
                <w:szCs w:val="22"/>
              </w:rPr>
              <w:t>WTE 704.91</w:t>
            </w:r>
          </w:p>
        </w:tc>
      </w:tr>
    </w:tbl>
    <w:p w14:paraId="57B107C8" w14:textId="76745CA5" w:rsidR="00932A6E" w:rsidRDefault="00932A6E" w:rsidP="00FB6278">
      <w:pPr>
        <w:rPr>
          <w:rFonts w:ascii="Arial" w:hAnsi="Arial" w:cs="Arial"/>
          <w:sz w:val="22"/>
          <w:szCs w:val="22"/>
          <w:lang w:val="en-US"/>
        </w:rPr>
      </w:pPr>
    </w:p>
    <w:tbl>
      <w:tblPr>
        <w:tblStyle w:val="TableGrid"/>
        <w:tblW w:w="0" w:type="auto"/>
        <w:tblLook w:val="04A0" w:firstRow="1" w:lastRow="0" w:firstColumn="1" w:lastColumn="0" w:noHBand="0" w:noVBand="1"/>
      </w:tblPr>
      <w:tblGrid>
        <w:gridCol w:w="5021"/>
        <w:gridCol w:w="5021"/>
      </w:tblGrid>
      <w:tr w:rsidR="00932A6E" w:rsidRPr="009E33FB" w14:paraId="70A3F72F" w14:textId="77777777" w:rsidTr="00150780">
        <w:tc>
          <w:tcPr>
            <w:tcW w:w="10042" w:type="dxa"/>
            <w:gridSpan w:val="2"/>
          </w:tcPr>
          <w:p w14:paraId="1F1E8368" w14:textId="1FB26952" w:rsidR="00932A6E" w:rsidRPr="00932A6E" w:rsidRDefault="00932A6E" w:rsidP="00FB6278">
            <w:pPr>
              <w:rPr>
                <w:rFonts w:ascii="Arial" w:hAnsi="Arial" w:cs="Arial"/>
                <w:b/>
                <w:sz w:val="22"/>
                <w:szCs w:val="22"/>
              </w:rPr>
            </w:pPr>
            <w:r w:rsidRPr="009E33FB">
              <w:rPr>
                <w:rFonts w:ascii="Arial" w:hAnsi="Arial" w:cs="Arial"/>
                <w:b/>
                <w:sz w:val="22"/>
                <w:szCs w:val="22"/>
              </w:rPr>
              <w:t>Workforce by sexual orientation</w:t>
            </w:r>
          </w:p>
        </w:tc>
      </w:tr>
      <w:tr w:rsidR="00932A6E" w:rsidRPr="009E33FB" w14:paraId="36DB038E" w14:textId="77777777" w:rsidTr="00065A9B">
        <w:tc>
          <w:tcPr>
            <w:tcW w:w="5021" w:type="dxa"/>
          </w:tcPr>
          <w:p w14:paraId="1DC58E44" w14:textId="77777777" w:rsidR="00932A6E" w:rsidRDefault="00932A6E" w:rsidP="00FB6278">
            <w:pPr>
              <w:rPr>
                <w:rFonts w:ascii="Arial" w:hAnsi="Arial" w:cs="Arial"/>
                <w:sz w:val="22"/>
                <w:szCs w:val="22"/>
              </w:rPr>
            </w:pPr>
            <w:r w:rsidRPr="009E33FB">
              <w:rPr>
                <w:rFonts w:ascii="Arial" w:hAnsi="Arial" w:cs="Arial"/>
                <w:sz w:val="22"/>
                <w:szCs w:val="22"/>
              </w:rPr>
              <w:t>Bisexual</w:t>
            </w:r>
          </w:p>
          <w:p w14:paraId="2E78ED3D" w14:textId="234A27D3" w:rsidR="00932A6E" w:rsidRPr="009E33FB" w:rsidRDefault="00932A6E" w:rsidP="00FB6278">
            <w:pPr>
              <w:rPr>
                <w:rFonts w:ascii="Arial" w:hAnsi="Arial" w:cs="Arial"/>
                <w:sz w:val="22"/>
                <w:szCs w:val="22"/>
              </w:rPr>
            </w:pPr>
          </w:p>
        </w:tc>
        <w:tc>
          <w:tcPr>
            <w:tcW w:w="5021" w:type="dxa"/>
          </w:tcPr>
          <w:p w14:paraId="6EE6969A" w14:textId="5460E909" w:rsidR="00932A6E" w:rsidRDefault="00932A6E" w:rsidP="00FB6278">
            <w:pPr>
              <w:rPr>
                <w:rFonts w:ascii="Arial" w:hAnsi="Arial" w:cs="Arial"/>
                <w:sz w:val="22"/>
                <w:szCs w:val="22"/>
              </w:rPr>
            </w:pPr>
            <w:r w:rsidRPr="009E33FB">
              <w:rPr>
                <w:rFonts w:ascii="Arial" w:hAnsi="Arial" w:cs="Arial"/>
                <w:sz w:val="22"/>
                <w:szCs w:val="22"/>
              </w:rPr>
              <w:t>HC 18</w:t>
            </w:r>
          </w:p>
          <w:p w14:paraId="4ADA617E" w14:textId="1F2C80B1" w:rsidR="00932A6E" w:rsidRPr="009E33FB" w:rsidRDefault="00932A6E" w:rsidP="00FB6278">
            <w:pPr>
              <w:rPr>
                <w:rFonts w:ascii="Arial" w:hAnsi="Arial" w:cs="Arial"/>
                <w:sz w:val="22"/>
                <w:szCs w:val="22"/>
              </w:rPr>
            </w:pPr>
            <w:r w:rsidRPr="009E33FB">
              <w:rPr>
                <w:rFonts w:ascii="Arial" w:hAnsi="Arial" w:cs="Arial"/>
                <w:sz w:val="22"/>
                <w:szCs w:val="22"/>
              </w:rPr>
              <w:t>WTE 16.47</w:t>
            </w:r>
          </w:p>
        </w:tc>
      </w:tr>
      <w:tr w:rsidR="00932A6E" w:rsidRPr="009E33FB" w14:paraId="16AF92B2" w14:textId="77777777" w:rsidTr="00065A9B">
        <w:tc>
          <w:tcPr>
            <w:tcW w:w="5021" w:type="dxa"/>
          </w:tcPr>
          <w:p w14:paraId="3213ECE0" w14:textId="77777777" w:rsidR="00932A6E" w:rsidRDefault="00932A6E" w:rsidP="00FB6278">
            <w:pPr>
              <w:rPr>
                <w:rFonts w:ascii="Arial" w:hAnsi="Arial" w:cs="Arial"/>
                <w:sz w:val="22"/>
                <w:szCs w:val="22"/>
              </w:rPr>
            </w:pPr>
            <w:r w:rsidRPr="009E33FB">
              <w:rPr>
                <w:rFonts w:ascii="Arial" w:hAnsi="Arial" w:cs="Arial"/>
                <w:sz w:val="22"/>
                <w:szCs w:val="22"/>
              </w:rPr>
              <w:t>Gay or Lesbian</w:t>
            </w:r>
          </w:p>
          <w:p w14:paraId="03990D2F" w14:textId="625015DF" w:rsidR="00932A6E" w:rsidRPr="009E33FB" w:rsidRDefault="00932A6E" w:rsidP="00FB6278">
            <w:pPr>
              <w:rPr>
                <w:rFonts w:ascii="Arial" w:hAnsi="Arial" w:cs="Arial"/>
                <w:sz w:val="22"/>
                <w:szCs w:val="22"/>
              </w:rPr>
            </w:pPr>
          </w:p>
        </w:tc>
        <w:tc>
          <w:tcPr>
            <w:tcW w:w="5021" w:type="dxa"/>
          </w:tcPr>
          <w:p w14:paraId="35640386" w14:textId="77777777" w:rsidR="00932A6E" w:rsidRDefault="00932A6E" w:rsidP="00FB6278">
            <w:pPr>
              <w:rPr>
                <w:rFonts w:ascii="Arial" w:hAnsi="Arial" w:cs="Arial"/>
                <w:sz w:val="22"/>
                <w:szCs w:val="22"/>
              </w:rPr>
            </w:pPr>
            <w:r w:rsidRPr="009E33FB">
              <w:rPr>
                <w:rFonts w:ascii="Arial" w:hAnsi="Arial" w:cs="Arial"/>
                <w:sz w:val="22"/>
                <w:szCs w:val="22"/>
              </w:rPr>
              <w:t>HC 40</w:t>
            </w:r>
          </w:p>
          <w:p w14:paraId="64FB45BF" w14:textId="58E7FAA7" w:rsidR="00932A6E" w:rsidRPr="009E33FB" w:rsidRDefault="00932A6E" w:rsidP="00FB6278">
            <w:pPr>
              <w:rPr>
                <w:rFonts w:ascii="Arial" w:hAnsi="Arial" w:cs="Arial"/>
                <w:sz w:val="22"/>
                <w:szCs w:val="22"/>
              </w:rPr>
            </w:pPr>
            <w:r w:rsidRPr="009E33FB">
              <w:rPr>
                <w:rFonts w:ascii="Arial" w:hAnsi="Arial" w:cs="Arial"/>
                <w:sz w:val="22"/>
                <w:szCs w:val="22"/>
              </w:rPr>
              <w:t>WTE 34.14</w:t>
            </w:r>
          </w:p>
        </w:tc>
      </w:tr>
      <w:tr w:rsidR="00932A6E" w:rsidRPr="009E33FB" w14:paraId="18F5F3B9" w14:textId="77777777" w:rsidTr="00065A9B">
        <w:tc>
          <w:tcPr>
            <w:tcW w:w="5021" w:type="dxa"/>
          </w:tcPr>
          <w:p w14:paraId="2C9E0CF9" w14:textId="24D8D616" w:rsidR="00932A6E" w:rsidRPr="009E33FB" w:rsidRDefault="00932A6E" w:rsidP="00FB6278">
            <w:pPr>
              <w:rPr>
                <w:rFonts w:ascii="Arial" w:hAnsi="Arial" w:cs="Arial"/>
                <w:sz w:val="22"/>
                <w:szCs w:val="22"/>
              </w:rPr>
            </w:pPr>
            <w:r w:rsidRPr="009E33FB">
              <w:rPr>
                <w:rFonts w:ascii="Arial" w:hAnsi="Arial" w:cs="Arial"/>
                <w:sz w:val="22"/>
                <w:szCs w:val="22"/>
              </w:rPr>
              <w:t>Heterosexual or Straight</w:t>
            </w:r>
          </w:p>
          <w:p w14:paraId="5DA39AE1" w14:textId="1BE19AC9" w:rsidR="00932A6E" w:rsidRPr="009E33FB" w:rsidRDefault="00932A6E" w:rsidP="00FB6278">
            <w:pPr>
              <w:rPr>
                <w:rFonts w:ascii="Arial" w:hAnsi="Arial" w:cs="Arial"/>
                <w:sz w:val="22"/>
                <w:szCs w:val="22"/>
              </w:rPr>
            </w:pPr>
          </w:p>
        </w:tc>
        <w:tc>
          <w:tcPr>
            <w:tcW w:w="5021" w:type="dxa"/>
          </w:tcPr>
          <w:p w14:paraId="287D8741" w14:textId="77777777" w:rsidR="00932A6E" w:rsidRDefault="00932A6E" w:rsidP="00FB6278">
            <w:pPr>
              <w:rPr>
                <w:rFonts w:ascii="Arial" w:hAnsi="Arial" w:cs="Arial"/>
                <w:sz w:val="22"/>
                <w:szCs w:val="22"/>
              </w:rPr>
            </w:pPr>
            <w:r w:rsidRPr="009E33FB">
              <w:rPr>
                <w:rFonts w:ascii="Arial" w:hAnsi="Arial" w:cs="Arial"/>
                <w:sz w:val="22"/>
                <w:szCs w:val="22"/>
              </w:rPr>
              <w:t>HC 1,436</w:t>
            </w:r>
          </w:p>
          <w:p w14:paraId="68798526" w14:textId="72BA8FCB" w:rsidR="00932A6E" w:rsidRPr="009E33FB" w:rsidRDefault="00932A6E" w:rsidP="00FB6278">
            <w:pPr>
              <w:rPr>
                <w:rFonts w:ascii="Arial" w:hAnsi="Arial" w:cs="Arial"/>
                <w:sz w:val="22"/>
                <w:szCs w:val="22"/>
              </w:rPr>
            </w:pPr>
            <w:r w:rsidRPr="009E33FB">
              <w:rPr>
                <w:rFonts w:ascii="Arial" w:hAnsi="Arial" w:cs="Arial"/>
                <w:sz w:val="22"/>
                <w:szCs w:val="22"/>
              </w:rPr>
              <w:t>WTE 1,313.37</w:t>
            </w:r>
          </w:p>
        </w:tc>
      </w:tr>
      <w:tr w:rsidR="00932A6E" w:rsidRPr="009E33FB" w14:paraId="7F30E504" w14:textId="77777777" w:rsidTr="00065A9B">
        <w:tc>
          <w:tcPr>
            <w:tcW w:w="5021" w:type="dxa"/>
          </w:tcPr>
          <w:p w14:paraId="69B7258F" w14:textId="2D99DF56" w:rsidR="00932A6E" w:rsidRPr="009E33FB" w:rsidRDefault="00932A6E" w:rsidP="00FB6278">
            <w:pPr>
              <w:rPr>
                <w:rFonts w:ascii="Arial" w:hAnsi="Arial" w:cs="Arial"/>
                <w:sz w:val="22"/>
                <w:szCs w:val="22"/>
              </w:rPr>
            </w:pPr>
            <w:r w:rsidRPr="009E33FB">
              <w:rPr>
                <w:rFonts w:ascii="Arial" w:hAnsi="Arial" w:cs="Arial"/>
                <w:sz w:val="22"/>
                <w:szCs w:val="22"/>
              </w:rPr>
              <w:t>Not Stated</w:t>
            </w:r>
          </w:p>
          <w:p w14:paraId="772AF146" w14:textId="3DE170F9" w:rsidR="00932A6E" w:rsidRPr="009E33FB" w:rsidRDefault="00932A6E" w:rsidP="00FB6278">
            <w:pPr>
              <w:rPr>
                <w:rFonts w:ascii="Arial" w:hAnsi="Arial" w:cs="Arial"/>
                <w:sz w:val="22"/>
                <w:szCs w:val="22"/>
              </w:rPr>
            </w:pPr>
          </w:p>
        </w:tc>
        <w:tc>
          <w:tcPr>
            <w:tcW w:w="5021" w:type="dxa"/>
          </w:tcPr>
          <w:p w14:paraId="61AFB881" w14:textId="77777777" w:rsidR="00932A6E" w:rsidRDefault="00932A6E" w:rsidP="00FB6278">
            <w:pPr>
              <w:rPr>
                <w:rFonts w:ascii="Arial" w:hAnsi="Arial" w:cs="Arial"/>
                <w:sz w:val="22"/>
                <w:szCs w:val="22"/>
              </w:rPr>
            </w:pPr>
            <w:r w:rsidRPr="009E33FB">
              <w:rPr>
                <w:rFonts w:ascii="Arial" w:hAnsi="Arial" w:cs="Arial"/>
                <w:sz w:val="22"/>
                <w:szCs w:val="22"/>
              </w:rPr>
              <w:t>HC 857</w:t>
            </w:r>
          </w:p>
          <w:p w14:paraId="4576F20E" w14:textId="2D460787" w:rsidR="00932A6E" w:rsidRPr="009E33FB" w:rsidRDefault="00932A6E" w:rsidP="00FB6278">
            <w:pPr>
              <w:rPr>
                <w:rFonts w:ascii="Arial" w:hAnsi="Arial" w:cs="Arial"/>
                <w:sz w:val="22"/>
                <w:szCs w:val="22"/>
              </w:rPr>
            </w:pPr>
            <w:r w:rsidRPr="009E33FB">
              <w:rPr>
                <w:rFonts w:ascii="Arial" w:hAnsi="Arial" w:cs="Arial"/>
                <w:sz w:val="22"/>
                <w:szCs w:val="22"/>
              </w:rPr>
              <w:t>WTE 757.52</w:t>
            </w:r>
          </w:p>
        </w:tc>
      </w:tr>
      <w:tr w:rsidR="00932A6E" w:rsidRPr="009E33FB" w14:paraId="67A962B7" w14:textId="77777777" w:rsidTr="00065A9B">
        <w:tc>
          <w:tcPr>
            <w:tcW w:w="5021" w:type="dxa"/>
          </w:tcPr>
          <w:p w14:paraId="1CD06E5C" w14:textId="0319BBD0" w:rsidR="00932A6E" w:rsidRDefault="00932A6E" w:rsidP="00FB6278">
            <w:pPr>
              <w:rPr>
                <w:rFonts w:ascii="Arial" w:hAnsi="Arial" w:cs="Arial"/>
                <w:sz w:val="22"/>
                <w:szCs w:val="22"/>
              </w:rPr>
            </w:pPr>
            <w:r w:rsidRPr="009E33FB">
              <w:rPr>
                <w:rFonts w:ascii="Arial" w:hAnsi="Arial" w:cs="Arial"/>
                <w:sz w:val="22"/>
                <w:szCs w:val="22"/>
              </w:rPr>
              <w:t>Unspecified</w:t>
            </w:r>
          </w:p>
          <w:p w14:paraId="164949DF" w14:textId="77777777" w:rsidR="00932A6E" w:rsidRPr="009E33FB" w:rsidRDefault="00932A6E" w:rsidP="00FB6278">
            <w:pPr>
              <w:rPr>
                <w:rFonts w:ascii="Arial" w:hAnsi="Arial" w:cs="Arial"/>
                <w:sz w:val="22"/>
                <w:szCs w:val="22"/>
              </w:rPr>
            </w:pPr>
          </w:p>
        </w:tc>
        <w:tc>
          <w:tcPr>
            <w:tcW w:w="5021" w:type="dxa"/>
          </w:tcPr>
          <w:p w14:paraId="65BD889A" w14:textId="77777777" w:rsidR="00932A6E" w:rsidRDefault="00932A6E" w:rsidP="00FB6278">
            <w:pPr>
              <w:rPr>
                <w:rFonts w:ascii="Arial" w:hAnsi="Arial" w:cs="Arial"/>
                <w:sz w:val="22"/>
                <w:szCs w:val="22"/>
              </w:rPr>
            </w:pPr>
            <w:r w:rsidRPr="009E33FB">
              <w:rPr>
                <w:rFonts w:ascii="Arial" w:hAnsi="Arial" w:cs="Arial"/>
                <w:sz w:val="22"/>
                <w:szCs w:val="22"/>
              </w:rPr>
              <w:t>HC 27</w:t>
            </w:r>
          </w:p>
          <w:p w14:paraId="14A3B6D2" w14:textId="0D46DEAD" w:rsidR="00932A6E" w:rsidRPr="009E33FB" w:rsidRDefault="00932A6E" w:rsidP="00FB6278">
            <w:pPr>
              <w:rPr>
                <w:rFonts w:ascii="Arial" w:hAnsi="Arial" w:cs="Arial"/>
                <w:sz w:val="22"/>
                <w:szCs w:val="22"/>
              </w:rPr>
            </w:pPr>
            <w:r w:rsidRPr="009E33FB">
              <w:rPr>
                <w:rFonts w:ascii="Arial" w:hAnsi="Arial" w:cs="Arial"/>
                <w:sz w:val="22"/>
                <w:szCs w:val="22"/>
              </w:rPr>
              <w:t>WTE 17.07</w:t>
            </w:r>
          </w:p>
        </w:tc>
      </w:tr>
      <w:tr w:rsidR="00932A6E" w:rsidRPr="009E33FB" w14:paraId="2B437560" w14:textId="77777777" w:rsidTr="00065A9B">
        <w:tc>
          <w:tcPr>
            <w:tcW w:w="5021" w:type="dxa"/>
          </w:tcPr>
          <w:p w14:paraId="53FEA075" w14:textId="72D94A98" w:rsidR="00932A6E" w:rsidRDefault="00932A6E" w:rsidP="00FB6278">
            <w:pPr>
              <w:rPr>
                <w:rFonts w:ascii="Arial" w:hAnsi="Arial" w:cs="Arial"/>
                <w:sz w:val="22"/>
                <w:szCs w:val="22"/>
              </w:rPr>
            </w:pPr>
            <w:r w:rsidRPr="009E33FB">
              <w:rPr>
                <w:rFonts w:ascii="Arial" w:hAnsi="Arial" w:cs="Arial"/>
                <w:sz w:val="22"/>
                <w:szCs w:val="22"/>
              </w:rPr>
              <w:t>Other sexual orientation not listed</w:t>
            </w:r>
          </w:p>
          <w:p w14:paraId="54506C77" w14:textId="11A2A5A2" w:rsidR="00932A6E" w:rsidRPr="009E33FB" w:rsidRDefault="00932A6E" w:rsidP="00FB6278">
            <w:pPr>
              <w:rPr>
                <w:rFonts w:ascii="Arial" w:hAnsi="Arial" w:cs="Arial"/>
                <w:sz w:val="22"/>
                <w:szCs w:val="22"/>
              </w:rPr>
            </w:pPr>
          </w:p>
        </w:tc>
        <w:tc>
          <w:tcPr>
            <w:tcW w:w="5021" w:type="dxa"/>
          </w:tcPr>
          <w:p w14:paraId="27B8FECF" w14:textId="150F9F73" w:rsidR="00932A6E" w:rsidRDefault="00932A6E" w:rsidP="00FB6278">
            <w:pPr>
              <w:rPr>
                <w:rFonts w:ascii="Arial" w:hAnsi="Arial" w:cs="Arial"/>
                <w:sz w:val="22"/>
                <w:szCs w:val="22"/>
              </w:rPr>
            </w:pPr>
            <w:r w:rsidRPr="009E33FB">
              <w:rPr>
                <w:rFonts w:ascii="Arial" w:hAnsi="Arial" w:cs="Arial"/>
                <w:sz w:val="22"/>
                <w:szCs w:val="22"/>
              </w:rPr>
              <w:t>HC 4</w:t>
            </w:r>
          </w:p>
          <w:p w14:paraId="2C5DF317" w14:textId="7F14258F" w:rsidR="00932A6E" w:rsidRPr="009E33FB" w:rsidRDefault="00932A6E" w:rsidP="00FB6278">
            <w:pPr>
              <w:rPr>
                <w:rFonts w:ascii="Arial" w:hAnsi="Arial" w:cs="Arial"/>
                <w:sz w:val="22"/>
                <w:szCs w:val="22"/>
              </w:rPr>
            </w:pPr>
            <w:r w:rsidRPr="009E33FB">
              <w:rPr>
                <w:rFonts w:ascii="Arial" w:hAnsi="Arial" w:cs="Arial"/>
                <w:sz w:val="22"/>
                <w:szCs w:val="22"/>
              </w:rPr>
              <w:t>WTE 4.00</w:t>
            </w:r>
          </w:p>
        </w:tc>
      </w:tr>
    </w:tbl>
    <w:p w14:paraId="69132432" w14:textId="77777777" w:rsidR="00932A6E" w:rsidRDefault="00932A6E" w:rsidP="00FB6278">
      <w:pPr>
        <w:rPr>
          <w:rFonts w:ascii="Arial" w:hAnsi="Arial" w:cs="Arial"/>
          <w:sz w:val="22"/>
          <w:szCs w:val="22"/>
          <w:lang w:val="en-US"/>
        </w:rPr>
      </w:pPr>
    </w:p>
    <w:tbl>
      <w:tblPr>
        <w:tblStyle w:val="TableGrid"/>
        <w:tblW w:w="0" w:type="auto"/>
        <w:tblLook w:val="04A0" w:firstRow="1" w:lastRow="0" w:firstColumn="1" w:lastColumn="0" w:noHBand="0" w:noVBand="1"/>
      </w:tblPr>
      <w:tblGrid>
        <w:gridCol w:w="5021"/>
        <w:gridCol w:w="5021"/>
      </w:tblGrid>
      <w:tr w:rsidR="00CD5A2C" w:rsidRPr="009E33FB" w14:paraId="4D47E923" w14:textId="77777777" w:rsidTr="00A25A37">
        <w:tc>
          <w:tcPr>
            <w:tcW w:w="10042" w:type="dxa"/>
            <w:gridSpan w:val="2"/>
          </w:tcPr>
          <w:p w14:paraId="64F95BE9" w14:textId="7B7F76FC" w:rsidR="00CD5A2C" w:rsidRPr="009E33FB" w:rsidRDefault="00CD5A2C" w:rsidP="00FB6278">
            <w:pPr>
              <w:rPr>
                <w:rFonts w:ascii="Arial" w:hAnsi="Arial" w:cs="Arial"/>
                <w:sz w:val="22"/>
                <w:szCs w:val="22"/>
              </w:rPr>
            </w:pPr>
            <w:r w:rsidRPr="009E33FB">
              <w:rPr>
                <w:rFonts w:ascii="Arial" w:hAnsi="Arial" w:cs="Arial"/>
                <w:b/>
                <w:sz w:val="22"/>
                <w:szCs w:val="22"/>
              </w:rPr>
              <w:t>Workforce by disability status</w:t>
            </w:r>
          </w:p>
        </w:tc>
      </w:tr>
      <w:tr w:rsidR="00CD5A2C" w:rsidRPr="009E33FB" w14:paraId="1DE356C4" w14:textId="77777777" w:rsidTr="00065A9B">
        <w:tc>
          <w:tcPr>
            <w:tcW w:w="5021" w:type="dxa"/>
          </w:tcPr>
          <w:p w14:paraId="646A64DB" w14:textId="77777777" w:rsidR="00CD5A2C" w:rsidRDefault="00CD5A2C" w:rsidP="00FB6278">
            <w:pPr>
              <w:rPr>
                <w:rFonts w:ascii="Arial" w:hAnsi="Arial" w:cs="Arial"/>
                <w:sz w:val="22"/>
                <w:szCs w:val="22"/>
              </w:rPr>
            </w:pPr>
            <w:r w:rsidRPr="009E33FB">
              <w:rPr>
                <w:rFonts w:ascii="Arial" w:hAnsi="Arial" w:cs="Arial"/>
                <w:sz w:val="22"/>
                <w:szCs w:val="22"/>
              </w:rPr>
              <w:t>No</w:t>
            </w:r>
          </w:p>
          <w:p w14:paraId="3D5DAFA3" w14:textId="245A8077" w:rsidR="00CD5A2C" w:rsidRPr="009E33FB" w:rsidRDefault="00CD5A2C" w:rsidP="00FB6278">
            <w:pPr>
              <w:rPr>
                <w:rFonts w:ascii="Arial" w:hAnsi="Arial" w:cs="Arial"/>
                <w:sz w:val="22"/>
                <w:szCs w:val="22"/>
              </w:rPr>
            </w:pPr>
          </w:p>
        </w:tc>
        <w:tc>
          <w:tcPr>
            <w:tcW w:w="5021" w:type="dxa"/>
          </w:tcPr>
          <w:p w14:paraId="3EFF263A" w14:textId="77777777" w:rsidR="00CD5A2C" w:rsidRDefault="00CD5A2C" w:rsidP="00FB6278">
            <w:pPr>
              <w:rPr>
                <w:rFonts w:ascii="Arial" w:hAnsi="Arial" w:cs="Arial"/>
                <w:sz w:val="22"/>
                <w:szCs w:val="22"/>
              </w:rPr>
            </w:pPr>
            <w:r w:rsidRPr="009E33FB">
              <w:rPr>
                <w:rFonts w:ascii="Arial" w:hAnsi="Arial" w:cs="Arial"/>
                <w:sz w:val="22"/>
                <w:szCs w:val="22"/>
              </w:rPr>
              <w:t>HC 2223</w:t>
            </w:r>
          </w:p>
          <w:p w14:paraId="6721FC92" w14:textId="5D6A6678" w:rsidR="00CD5A2C" w:rsidRPr="009E33FB" w:rsidRDefault="00CD5A2C" w:rsidP="00FB6278">
            <w:pPr>
              <w:rPr>
                <w:rFonts w:ascii="Arial" w:hAnsi="Arial" w:cs="Arial"/>
                <w:sz w:val="22"/>
                <w:szCs w:val="22"/>
              </w:rPr>
            </w:pPr>
            <w:r w:rsidRPr="009E33FB">
              <w:rPr>
                <w:rFonts w:ascii="Arial" w:hAnsi="Arial" w:cs="Arial"/>
                <w:sz w:val="22"/>
                <w:szCs w:val="22"/>
              </w:rPr>
              <w:t>WTE 2,005.07</w:t>
            </w:r>
          </w:p>
        </w:tc>
      </w:tr>
      <w:tr w:rsidR="00CD5A2C" w:rsidRPr="009E33FB" w14:paraId="14F28DDF" w14:textId="77777777" w:rsidTr="00065A9B">
        <w:tc>
          <w:tcPr>
            <w:tcW w:w="5021" w:type="dxa"/>
          </w:tcPr>
          <w:p w14:paraId="03607C82" w14:textId="77777777" w:rsidR="00CD5A2C" w:rsidRDefault="00CD5A2C" w:rsidP="00FB6278">
            <w:pPr>
              <w:rPr>
                <w:rFonts w:ascii="Arial" w:hAnsi="Arial" w:cs="Arial"/>
                <w:sz w:val="22"/>
                <w:szCs w:val="22"/>
              </w:rPr>
            </w:pPr>
            <w:r w:rsidRPr="009E33FB">
              <w:rPr>
                <w:rFonts w:ascii="Arial" w:hAnsi="Arial" w:cs="Arial"/>
                <w:sz w:val="22"/>
                <w:szCs w:val="22"/>
              </w:rPr>
              <w:t>Yes</w:t>
            </w:r>
          </w:p>
          <w:p w14:paraId="37472979" w14:textId="72FEA659" w:rsidR="00CD5A2C" w:rsidRPr="009E33FB" w:rsidRDefault="00CD5A2C" w:rsidP="00FB6278">
            <w:pPr>
              <w:rPr>
                <w:rFonts w:ascii="Arial" w:hAnsi="Arial" w:cs="Arial"/>
                <w:sz w:val="22"/>
                <w:szCs w:val="22"/>
              </w:rPr>
            </w:pPr>
          </w:p>
        </w:tc>
        <w:tc>
          <w:tcPr>
            <w:tcW w:w="5021" w:type="dxa"/>
          </w:tcPr>
          <w:p w14:paraId="2E408B96" w14:textId="77777777" w:rsidR="00CD5A2C" w:rsidRDefault="00CD5A2C" w:rsidP="00FB6278">
            <w:pPr>
              <w:rPr>
                <w:rFonts w:ascii="Arial" w:hAnsi="Arial" w:cs="Arial"/>
                <w:sz w:val="22"/>
                <w:szCs w:val="22"/>
              </w:rPr>
            </w:pPr>
            <w:r w:rsidRPr="009E33FB">
              <w:rPr>
                <w:rFonts w:ascii="Arial" w:hAnsi="Arial" w:cs="Arial"/>
                <w:sz w:val="22"/>
                <w:szCs w:val="22"/>
              </w:rPr>
              <w:t>HC 53</w:t>
            </w:r>
          </w:p>
          <w:p w14:paraId="400EDAF4" w14:textId="7D37B8A7" w:rsidR="00CD5A2C" w:rsidRPr="009E33FB" w:rsidRDefault="00CD5A2C" w:rsidP="00FB6278">
            <w:pPr>
              <w:rPr>
                <w:rFonts w:ascii="Arial" w:hAnsi="Arial" w:cs="Arial"/>
                <w:sz w:val="22"/>
                <w:szCs w:val="22"/>
              </w:rPr>
            </w:pPr>
            <w:r w:rsidRPr="009E33FB">
              <w:rPr>
                <w:rFonts w:ascii="Arial" w:hAnsi="Arial" w:cs="Arial"/>
                <w:sz w:val="22"/>
                <w:szCs w:val="22"/>
              </w:rPr>
              <w:t>WTE 50.82</w:t>
            </w:r>
          </w:p>
        </w:tc>
      </w:tr>
      <w:tr w:rsidR="00CD5A2C" w:rsidRPr="009E33FB" w14:paraId="5D96301E" w14:textId="77777777" w:rsidTr="00065A9B">
        <w:tc>
          <w:tcPr>
            <w:tcW w:w="5021" w:type="dxa"/>
          </w:tcPr>
          <w:p w14:paraId="65388D9E" w14:textId="77777777" w:rsidR="00CD5A2C" w:rsidRDefault="00CD5A2C" w:rsidP="00FB6278">
            <w:pPr>
              <w:rPr>
                <w:rFonts w:ascii="Arial" w:hAnsi="Arial" w:cs="Arial"/>
                <w:sz w:val="22"/>
                <w:szCs w:val="22"/>
              </w:rPr>
            </w:pPr>
            <w:r w:rsidRPr="009E33FB">
              <w:rPr>
                <w:rFonts w:ascii="Arial" w:hAnsi="Arial" w:cs="Arial"/>
                <w:sz w:val="22"/>
                <w:szCs w:val="22"/>
              </w:rPr>
              <w:t>Not Declared</w:t>
            </w:r>
          </w:p>
          <w:p w14:paraId="036A4A78" w14:textId="123EB542" w:rsidR="00CD5A2C" w:rsidRPr="009E33FB" w:rsidRDefault="00CD5A2C" w:rsidP="00FB6278">
            <w:pPr>
              <w:rPr>
                <w:rFonts w:ascii="Arial" w:hAnsi="Arial" w:cs="Arial"/>
                <w:sz w:val="22"/>
                <w:szCs w:val="22"/>
              </w:rPr>
            </w:pPr>
          </w:p>
        </w:tc>
        <w:tc>
          <w:tcPr>
            <w:tcW w:w="5021" w:type="dxa"/>
          </w:tcPr>
          <w:p w14:paraId="0ABC6F9C" w14:textId="77777777" w:rsidR="00CD5A2C" w:rsidRDefault="00CD5A2C" w:rsidP="00FB6278">
            <w:pPr>
              <w:rPr>
                <w:rFonts w:ascii="Arial" w:hAnsi="Arial" w:cs="Arial"/>
                <w:sz w:val="22"/>
                <w:szCs w:val="22"/>
              </w:rPr>
            </w:pPr>
            <w:r w:rsidRPr="009E33FB">
              <w:rPr>
                <w:rFonts w:ascii="Arial" w:hAnsi="Arial" w:cs="Arial"/>
                <w:sz w:val="22"/>
                <w:szCs w:val="22"/>
              </w:rPr>
              <w:t>HC 60</w:t>
            </w:r>
          </w:p>
          <w:p w14:paraId="1FB77F2A" w14:textId="7A1263D9" w:rsidR="00CD5A2C" w:rsidRPr="009E33FB" w:rsidRDefault="00CD5A2C" w:rsidP="00FB6278">
            <w:pPr>
              <w:rPr>
                <w:rFonts w:ascii="Arial" w:hAnsi="Arial" w:cs="Arial"/>
                <w:sz w:val="22"/>
                <w:szCs w:val="22"/>
              </w:rPr>
            </w:pPr>
            <w:r w:rsidRPr="009E33FB">
              <w:rPr>
                <w:rFonts w:ascii="Arial" w:hAnsi="Arial" w:cs="Arial"/>
                <w:sz w:val="22"/>
                <w:szCs w:val="22"/>
              </w:rPr>
              <w:t>WTE 52.87</w:t>
            </w:r>
          </w:p>
        </w:tc>
      </w:tr>
      <w:tr w:rsidR="00CD5A2C" w:rsidRPr="009E33FB" w14:paraId="38996E17" w14:textId="77777777" w:rsidTr="00065A9B">
        <w:tc>
          <w:tcPr>
            <w:tcW w:w="5021" w:type="dxa"/>
          </w:tcPr>
          <w:p w14:paraId="545473DE" w14:textId="77777777" w:rsidR="00CD5A2C" w:rsidRDefault="00CD5A2C" w:rsidP="00FB6278">
            <w:pPr>
              <w:rPr>
                <w:rFonts w:ascii="Arial" w:hAnsi="Arial" w:cs="Arial"/>
                <w:sz w:val="22"/>
                <w:szCs w:val="22"/>
              </w:rPr>
            </w:pPr>
            <w:r w:rsidRPr="009E33FB">
              <w:rPr>
                <w:rFonts w:ascii="Arial" w:hAnsi="Arial" w:cs="Arial"/>
                <w:sz w:val="22"/>
                <w:szCs w:val="22"/>
              </w:rPr>
              <w:t>Prefer Not to Answer</w:t>
            </w:r>
          </w:p>
          <w:p w14:paraId="0BA6EB35" w14:textId="5A6993B8" w:rsidR="00CD5A2C" w:rsidRPr="009E33FB" w:rsidRDefault="00CD5A2C" w:rsidP="00FB6278">
            <w:pPr>
              <w:rPr>
                <w:rFonts w:ascii="Arial" w:hAnsi="Arial" w:cs="Arial"/>
                <w:sz w:val="22"/>
                <w:szCs w:val="22"/>
              </w:rPr>
            </w:pPr>
          </w:p>
        </w:tc>
        <w:tc>
          <w:tcPr>
            <w:tcW w:w="5021" w:type="dxa"/>
          </w:tcPr>
          <w:p w14:paraId="1F54D363" w14:textId="77777777" w:rsidR="00CD5A2C" w:rsidRDefault="00CD5A2C" w:rsidP="00FB6278">
            <w:pPr>
              <w:rPr>
                <w:rFonts w:ascii="Arial" w:hAnsi="Arial" w:cs="Arial"/>
                <w:sz w:val="22"/>
                <w:szCs w:val="22"/>
              </w:rPr>
            </w:pPr>
            <w:r w:rsidRPr="009E33FB">
              <w:rPr>
                <w:rFonts w:ascii="Arial" w:hAnsi="Arial" w:cs="Arial"/>
                <w:sz w:val="22"/>
                <w:szCs w:val="22"/>
              </w:rPr>
              <w:t>HC 15</w:t>
            </w:r>
          </w:p>
          <w:p w14:paraId="1D9A0408" w14:textId="143E32C4" w:rsidR="00CD5A2C" w:rsidRPr="009E33FB" w:rsidRDefault="00CD5A2C" w:rsidP="00FB6278">
            <w:pPr>
              <w:rPr>
                <w:rFonts w:ascii="Arial" w:hAnsi="Arial" w:cs="Arial"/>
                <w:sz w:val="22"/>
                <w:szCs w:val="22"/>
              </w:rPr>
            </w:pPr>
            <w:r w:rsidRPr="009E33FB">
              <w:rPr>
                <w:rFonts w:ascii="Arial" w:hAnsi="Arial" w:cs="Arial"/>
                <w:sz w:val="22"/>
                <w:szCs w:val="22"/>
              </w:rPr>
              <w:t>WTE 13.04</w:t>
            </w:r>
          </w:p>
        </w:tc>
      </w:tr>
      <w:tr w:rsidR="00CD5A2C" w:rsidRPr="009E33FB" w14:paraId="135F5621" w14:textId="77777777" w:rsidTr="00065A9B">
        <w:tc>
          <w:tcPr>
            <w:tcW w:w="5021" w:type="dxa"/>
          </w:tcPr>
          <w:p w14:paraId="2790A769" w14:textId="77777777" w:rsidR="00CD5A2C" w:rsidRDefault="00CD5A2C" w:rsidP="00FB6278">
            <w:pPr>
              <w:rPr>
                <w:rFonts w:ascii="Arial" w:hAnsi="Arial" w:cs="Arial"/>
                <w:sz w:val="22"/>
                <w:szCs w:val="22"/>
              </w:rPr>
            </w:pPr>
            <w:r w:rsidRPr="009E33FB">
              <w:rPr>
                <w:rFonts w:ascii="Arial" w:hAnsi="Arial" w:cs="Arial"/>
                <w:sz w:val="22"/>
                <w:szCs w:val="22"/>
              </w:rPr>
              <w:t>Unspecified</w:t>
            </w:r>
          </w:p>
          <w:p w14:paraId="39F4F4D8" w14:textId="217BC80F" w:rsidR="00CD5A2C" w:rsidRPr="009E33FB" w:rsidRDefault="00CD5A2C" w:rsidP="00FB6278">
            <w:pPr>
              <w:rPr>
                <w:rFonts w:ascii="Arial" w:hAnsi="Arial" w:cs="Arial"/>
                <w:sz w:val="22"/>
                <w:szCs w:val="22"/>
              </w:rPr>
            </w:pPr>
            <w:r w:rsidRPr="009E33FB">
              <w:rPr>
                <w:rFonts w:ascii="Arial" w:hAnsi="Arial" w:cs="Arial"/>
                <w:sz w:val="22"/>
                <w:szCs w:val="22"/>
              </w:rPr>
              <w:t xml:space="preserve"> </w:t>
            </w:r>
          </w:p>
        </w:tc>
        <w:tc>
          <w:tcPr>
            <w:tcW w:w="5021" w:type="dxa"/>
          </w:tcPr>
          <w:p w14:paraId="24B6B42E" w14:textId="77777777" w:rsidR="00CD5A2C" w:rsidRDefault="00CD5A2C" w:rsidP="00FB6278">
            <w:pPr>
              <w:rPr>
                <w:rFonts w:ascii="Arial" w:hAnsi="Arial" w:cs="Arial"/>
                <w:sz w:val="22"/>
                <w:szCs w:val="22"/>
              </w:rPr>
            </w:pPr>
            <w:r w:rsidRPr="009E33FB">
              <w:rPr>
                <w:rFonts w:ascii="Arial" w:hAnsi="Arial" w:cs="Arial"/>
                <w:sz w:val="22"/>
                <w:szCs w:val="22"/>
              </w:rPr>
              <w:t>HC 31</w:t>
            </w:r>
          </w:p>
          <w:p w14:paraId="0561C8C1" w14:textId="75A56E99" w:rsidR="00CD5A2C" w:rsidRPr="009E33FB" w:rsidRDefault="00CD5A2C" w:rsidP="00FB6278">
            <w:pPr>
              <w:rPr>
                <w:rFonts w:ascii="Arial" w:hAnsi="Arial" w:cs="Arial"/>
                <w:sz w:val="22"/>
                <w:szCs w:val="22"/>
              </w:rPr>
            </w:pPr>
            <w:r w:rsidRPr="009E33FB">
              <w:rPr>
                <w:rFonts w:ascii="Arial" w:hAnsi="Arial" w:cs="Arial"/>
                <w:sz w:val="22"/>
                <w:szCs w:val="22"/>
              </w:rPr>
              <w:t xml:space="preserve">WTE 20.77              </w:t>
            </w:r>
          </w:p>
        </w:tc>
      </w:tr>
    </w:tbl>
    <w:p w14:paraId="1AB5DACB" w14:textId="45B92406" w:rsidR="00932A6E" w:rsidRDefault="00932A6E" w:rsidP="00FB6278">
      <w:pPr>
        <w:rPr>
          <w:rFonts w:ascii="Arial" w:hAnsi="Arial" w:cs="Arial"/>
          <w:sz w:val="22"/>
          <w:szCs w:val="22"/>
          <w:lang w:val="en-US"/>
        </w:rPr>
      </w:pPr>
    </w:p>
    <w:tbl>
      <w:tblPr>
        <w:tblStyle w:val="TableGrid"/>
        <w:tblW w:w="0" w:type="auto"/>
        <w:tblLook w:val="04A0" w:firstRow="1" w:lastRow="0" w:firstColumn="1" w:lastColumn="0" w:noHBand="0" w:noVBand="1"/>
      </w:tblPr>
      <w:tblGrid>
        <w:gridCol w:w="5021"/>
        <w:gridCol w:w="5021"/>
      </w:tblGrid>
      <w:tr w:rsidR="00CD5A2C" w:rsidRPr="009E33FB" w14:paraId="573666AF" w14:textId="77777777" w:rsidTr="003F3AE0">
        <w:tc>
          <w:tcPr>
            <w:tcW w:w="10042" w:type="dxa"/>
            <w:gridSpan w:val="2"/>
          </w:tcPr>
          <w:p w14:paraId="3A407E34" w14:textId="27A04DBB" w:rsidR="00CD5A2C" w:rsidRPr="009E33FB" w:rsidRDefault="00CD5A2C" w:rsidP="00FB6278">
            <w:pPr>
              <w:rPr>
                <w:rFonts w:ascii="Arial" w:hAnsi="Arial" w:cs="Arial"/>
                <w:sz w:val="22"/>
                <w:szCs w:val="22"/>
              </w:rPr>
            </w:pPr>
            <w:r w:rsidRPr="009E33FB">
              <w:rPr>
                <w:rFonts w:ascii="Arial" w:hAnsi="Arial" w:cs="Arial"/>
                <w:b/>
                <w:sz w:val="22"/>
                <w:szCs w:val="22"/>
              </w:rPr>
              <w:t>Workforce by gender</w:t>
            </w:r>
          </w:p>
        </w:tc>
      </w:tr>
      <w:tr w:rsidR="00CD5A2C" w:rsidRPr="009E33FB" w14:paraId="51A6122E" w14:textId="77777777" w:rsidTr="00065A9B">
        <w:tc>
          <w:tcPr>
            <w:tcW w:w="5021" w:type="dxa"/>
          </w:tcPr>
          <w:p w14:paraId="29BCE320" w14:textId="77777777" w:rsidR="00CD5A2C" w:rsidRDefault="00CD5A2C" w:rsidP="00FB6278">
            <w:pPr>
              <w:rPr>
                <w:rFonts w:ascii="Arial" w:hAnsi="Arial" w:cs="Arial"/>
                <w:sz w:val="22"/>
                <w:szCs w:val="22"/>
              </w:rPr>
            </w:pPr>
            <w:r w:rsidRPr="009E33FB">
              <w:rPr>
                <w:rFonts w:ascii="Arial" w:hAnsi="Arial" w:cs="Arial"/>
                <w:sz w:val="22"/>
                <w:szCs w:val="22"/>
              </w:rPr>
              <w:t>Female</w:t>
            </w:r>
          </w:p>
          <w:p w14:paraId="0205129B" w14:textId="75F8D27C" w:rsidR="00CD5A2C" w:rsidRPr="009E33FB" w:rsidRDefault="00CD5A2C" w:rsidP="00FB6278">
            <w:pPr>
              <w:rPr>
                <w:rFonts w:ascii="Arial" w:hAnsi="Arial" w:cs="Arial"/>
                <w:sz w:val="22"/>
                <w:szCs w:val="22"/>
              </w:rPr>
            </w:pPr>
            <w:r w:rsidRPr="009E33FB">
              <w:rPr>
                <w:rFonts w:ascii="Arial" w:hAnsi="Arial" w:cs="Arial"/>
                <w:sz w:val="22"/>
                <w:szCs w:val="22"/>
              </w:rPr>
              <w:t xml:space="preserve"> </w:t>
            </w:r>
          </w:p>
        </w:tc>
        <w:tc>
          <w:tcPr>
            <w:tcW w:w="5021" w:type="dxa"/>
          </w:tcPr>
          <w:p w14:paraId="65AFDD13" w14:textId="77777777" w:rsidR="00CD5A2C" w:rsidRDefault="00CD5A2C" w:rsidP="00FB6278">
            <w:pPr>
              <w:rPr>
                <w:rFonts w:ascii="Arial" w:hAnsi="Arial" w:cs="Arial"/>
                <w:sz w:val="22"/>
                <w:szCs w:val="22"/>
              </w:rPr>
            </w:pPr>
            <w:r w:rsidRPr="009E33FB">
              <w:rPr>
                <w:rFonts w:ascii="Arial" w:hAnsi="Arial" w:cs="Arial"/>
                <w:sz w:val="22"/>
                <w:szCs w:val="22"/>
              </w:rPr>
              <w:t>HC 1632</w:t>
            </w:r>
          </w:p>
          <w:p w14:paraId="0FA54072" w14:textId="26C10FD3" w:rsidR="00CD5A2C" w:rsidRPr="009E33FB" w:rsidRDefault="00CD5A2C" w:rsidP="00FB6278">
            <w:pPr>
              <w:rPr>
                <w:rFonts w:ascii="Arial" w:hAnsi="Arial" w:cs="Arial"/>
                <w:sz w:val="22"/>
                <w:szCs w:val="22"/>
              </w:rPr>
            </w:pPr>
            <w:r w:rsidRPr="009E33FB">
              <w:rPr>
                <w:rFonts w:ascii="Arial" w:hAnsi="Arial" w:cs="Arial"/>
                <w:sz w:val="22"/>
                <w:szCs w:val="22"/>
              </w:rPr>
              <w:t>WTE 1,454.32</w:t>
            </w:r>
          </w:p>
        </w:tc>
      </w:tr>
      <w:tr w:rsidR="00CD5A2C" w:rsidRPr="009E33FB" w14:paraId="3B1946AC" w14:textId="77777777" w:rsidTr="00065A9B">
        <w:tc>
          <w:tcPr>
            <w:tcW w:w="5021" w:type="dxa"/>
          </w:tcPr>
          <w:p w14:paraId="2BDFB165" w14:textId="77777777" w:rsidR="00CD5A2C" w:rsidRDefault="00CD5A2C" w:rsidP="00FB6278">
            <w:pPr>
              <w:rPr>
                <w:rFonts w:ascii="Arial" w:hAnsi="Arial" w:cs="Arial"/>
                <w:sz w:val="22"/>
                <w:szCs w:val="22"/>
              </w:rPr>
            </w:pPr>
            <w:r w:rsidRPr="009E33FB">
              <w:rPr>
                <w:rFonts w:ascii="Arial" w:hAnsi="Arial" w:cs="Arial"/>
                <w:sz w:val="22"/>
                <w:szCs w:val="22"/>
              </w:rPr>
              <w:t>Male</w:t>
            </w:r>
          </w:p>
          <w:p w14:paraId="5C1861A5" w14:textId="64874CC8" w:rsidR="00CD5A2C" w:rsidRPr="009E33FB" w:rsidRDefault="00CD5A2C" w:rsidP="00FB6278">
            <w:pPr>
              <w:rPr>
                <w:rFonts w:ascii="Arial" w:hAnsi="Arial" w:cs="Arial"/>
                <w:sz w:val="22"/>
                <w:szCs w:val="22"/>
              </w:rPr>
            </w:pPr>
          </w:p>
        </w:tc>
        <w:tc>
          <w:tcPr>
            <w:tcW w:w="5021" w:type="dxa"/>
          </w:tcPr>
          <w:p w14:paraId="35998679" w14:textId="77777777" w:rsidR="00CD5A2C" w:rsidRDefault="00CD5A2C" w:rsidP="00FB6278">
            <w:pPr>
              <w:rPr>
                <w:rFonts w:ascii="Arial" w:hAnsi="Arial" w:cs="Arial"/>
                <w:sz w:val="22"/>
                <w:szCs w:val="22"/>
              </w:rPr>
            </w:pPr>
            <w:r w:rsidRPr="009E33FB">
              <w:rPr>
                <w:rFonts w:ascii="Arial" w:hAnsi="Arial" w:cs="Arial"/>
                <w:sz w:val="22"/>
                <w:szCs w:val="22"/>
              </w:rPr>
              <w:t>HC 750</w:t>
            </w:r>
          </w:p>
          <w:p w14:paraId="2E66DC2C" w14:textId="5DC8A66C" w:rsidR="00CD5A2C" w:rsidRPr="009E33FB" w:rsidRDefault="00CD5A2C" w:rsidP="00FB6278">
            <w:pPr>
              <w:rPr>
                <w:rFonts w:ascii="Arial" w:hAnsi="Arial" w:cs="Arial"/>
                <w:sz w:val="22"/>
                <w:szCs w:val="22"/>
              </w:rPr>
            </w:pPr>
            <w:r w:rsidRPr="009E33FB">
              <w:rPr>
                <w:rFonts w:ascii="Arial" w:hAnsi="Arial" w:cs="Arial"/>
                <w:sz w:val="22"/>
                <w:szCs w:val="22"/>
              </w:rPr>
              <w:t>WTE 688.25</w:t>
            </w:r>
          </w:p>
        </w:tc>
      </w:tr>
    </w:tbl>
    <w:p w14:paraId="20B609A2" w14:textId="77777777" w:rsidR="009F23C2" w:rsidRDefault="009F23C2" w:rsidP="00FB6278">
      <w:pPr>
        <w:rPr>
          <w:rFonts w:ascii="Arial" w:hAnsi="Arial" w:cs="Arial"/>
          <w:sz w:val="22"/>
          <w:szCs w:val="22"/>
          <w:lang w:val="en-US"/>
        </w:rPr>
      </w:pPr>
    </w:p>
    <w:tbl>
      <w:tblPr>
        <w:tblStyle w:val="TableGrid"/>
        <w:tblW w:w="0" w:type="auto"/>
        <w:tblLook w:val="04A0" w:firstRow="1" w:lastRow="0" w:firstColumn="1" w:lastColumn="0" w:noHBand="0" w:noVBand="1"/>
      </w:tblPr>
      <w:tblGrid>
        <w:gridCol w:w="5021"/>
        <w:gridCol w:w="5021"/>
      </w:tblGrid>
      <w:tr w:rsidR="00CD5A2C" w:rsidRPr="009E33FB" w14:paraId="138CA169" w14:textId="77777777" w:rsidTr="00065A9B">
        <w:tc>
          <w:tcPr>
            <w:tcW w:w="10042" w:type="dxa"/>
            <w:gridSpan w:val="2"/>
          </w:tcPr>
          <w:p w14:paraId="09621A03" w14:textId="0FD96F7C" w:rsidR="00CD5A2C" w:rsidRPr="009E33FB" w:rsidRDefault="00CD5A2C" w:rsidP="00FB6278">
            <w:pPr>
              <w:rPr>
                <w:rFonts w:ascii="Arial" w:hAnsi="Arial" w:cs="Arial"/>
                <w:sz w:val="22"/>
                <w:szCs w:val="22"/>
              </w:rPr>
            </w:pPr>
            <w:r w:rsidRPr="009E33FB">
              <w:rPr>
                <w:rFonts w:ascii="Arial" w:hAnsi="Arial" w:cs="Arial"/>
                <w:b/>
                <w:sz w:val="22"/>
                <w:szCs w:val="22"/>
              </w:rPr>
              <w:t>Workforce by age</w:t>
            </w:r>
          </w:p>
        </w:tc>
      </w:tr>
      <w:tr w:rsidR="00CD5A2C" w:rsidRPr="009E33FB" w14:paraId="194645F2" w14:textId="77777777" w:rsidTr="00065A9B">
        <w:tc>
          <w:tcPr>
            <w:tcW w:w="5021" w:type="dxa"/>
          </w:tcPr>
          <w:p w14:paraId="701A2DEF" w14:textId="77777777" w:rsidR="00CD5A2C" w:rsidRDefault="00CD5A2C" w:rsidP="00FB6278">
            <w:pPr>
              <w:rPr>
                <w:rFonts w:ascii="Arial" w:hAnsi="Arial" w:cs="Arial"/>
                <w:bCs/>
                <w:sz w:val="22"/>
                <w:szCs w:val="22"/>
              </w:rPr>
            </w:pPr>
            <w:r w:rsidRPr="009E33FB">
              <w:rPr>
                <w:rFonts w:ascii="Arial" w:hAnsi="Arial" w:cs="Arial"/>
                <w:bCs/>
                <w:sz w:val="22"/>
                <w:szCs w:val="22"/>
              </w:rPr>
              <w:t>-20</w:t>
            </w:r>
          </w:p>
          <w:p w14:paraId="797F32D1" w14:textId="268528E4" w:rsidR="00CD5A2C" w:rsidRPr="009E33FB" w:rsidRDefault="00CD5A2C" w:rsidP="00FB6278">
            <w:pPr>
              <w:rPr>
                <w:rFonts w:ascii="Arial" w:hAnsi="Arial" w:cs="Arial"/>
                <w:sz w:val="22"/>
                <w:szCs w:val="22"/>
              </w:rPr>
            </w:pPr>
          </w:p>
        </w:tc>
        <w:tc>
          <w:tcPr>
            <w:tcW w:w="5021" w:type="dxa"/>
          </w:tcPr>
          <w:p w14:paraId="5D7E6E05" w14:textId="77777777" w:rsidR="00CD5A2C" w:rsidRDefault="00CD5A2C" w:rsidP="00FB6278">
            <w:pPr>
              <w:rPr>
                <w:rFonts w:ascii="Arial" w:hAnsi="Arial" w:cs="Arial"/>
                <w:bCs/>
                <w:sz w:val="22"/>
                <w:szCs w:val="22"/>
              </w:rPr>
            </w:pPr>
            <w:r w:rsidRPr="009E33FB">
              <w:rPr>
                <w:rFonts w:ascii="Arial" w:hAnsi="Arial" w:cs="Arial"/>
                <w:bCs/>
                <w:sz w:val="22"/>
                <w:szCs w:val="22"/>
              </w:rPr>
              <w:t xml:space="preserve">HC 7 </w:t>
            </w:r>
          </w:p>
          <w:p w14:paraId="284279C5" w14:textId="564FA2B0" w:rsidR="00CD5A2C" w:rsidRPr="009E33FB" w:rsidRDefault="00CD5A2C" w:rsidP="00FB6278">
            <w:pPr>
              <w:rPr>
                <w:rFonts w:ascii="Arial" w:hAnsi="Arial" w:cs="Arial"/>
                <w:sz w:val="22"/>
                <w:szCs w:val="22"/>
              </w:rPr>
            </w:pPr>
            <w:r w:rsidRPr="009E33FB">
              <w:rPr>
                <w:rFonts w:ascii="Arial" w:hAnsi="Arial" w:cs="Arial"/>
                <w:bCs/>
                <w:sz w:val="22"/>
                <w:szCs w:val="22"/>
              </w:rPr>
              <w:t>WTE 6.00</w:t>
            </w:r>
          </w:p>
        </w:tc>
      </w:tr>
      <w:tr w:rsidR="00CD5A2C" w:rsidRPr="009E33FB" w14:paraId="1B0EE837" w14:textId="77777777" w:rsidTr="00065A9B">
        <w:tc>
          <w:tcPr>
            <w:tcW w:w="5021" w:type="dxa"/>
          </w:tcPr>
          <w:p w14:paraId="6AE5D336" w14:textId="77777777" w:rsidR="00CD5A2C" w:rsidRDefault="00CD5A2C" w:rsidP="00FB6278">
            <w:pPr>
              <w:rPr>
                <w:rFonts w:ascii="Arial" w:hAnsi="Arial" w:cs="Arial"/>
                <w:bCs/>
                <w:sz w:val="22"/>
                <w:szCs w:val="22"/>
              </w:rPr>
            </w:pPr>
            <w:r w:rsidRPr="009E33FB">
              <w:rPr>
                <w:rFonts w:ascii="Arial" w:hAnsi="Arial" w:cs="Arial"/>
                <w:bCs/>
                <w:sz w:val="22"/>
                <w:szCs w:val="22"/>
              </w:rPr>
              <w:t>21-25</w:t>
            </w:r>
          </w:p>
          <w:p w14:paraId="78DFC5A1" w14:textId="7472FCC2" w:rsidR="00CD5A2C" w:rsidRPr="009E33FB" w:rsidRDefault="00CD5A2C" w:rsidP="00FB6278">
            <w:pPr>
              <w:rPr>
                <w:rFonts w:ascii="Arial" w:hAnsi="Arial" w:cs="Arial"/>
                <w:sz w:val="22"/>
                <w:szCs w:val="22"/>
              </w:rPr>
            </w:pPr>
          </w:p>
        </w:tc>
        <w:tc>
          <w:tcPr>
            <w:tcW w:w="5021" w:type="dxa"/>
          </w:tcPr>
          <w:p w14:paraId="7A578161" w14:textId="77777777" w:rsidR="00CD5A2C" w:rsidRDefault="00CD5A2C" w:rsidP="00FB6278">
            <w:pPr>
              <w:rPr>
                <w:rFonts w:ascii="Arial" w:hAnsi="Arial" w:cs="Arial"/>
                <w:bCs/>
                <w:sz w:val="22"/>
                <w:szCs w:val="22"/>
              </w:rPr>
            </w:pPr>
            <w:r w:rsidRPr="009E33FB">
              <w:rPr>
                <w:rFonts w:ascii="Arial" w:hAnsi="Arial" w:cs="Arial"/>
                <w:bCs/>
                <w:sz w:val="22"/>
                <w:szCs w:val="22"/>
              </w:rPr>
              <w:t>HC 119</w:t>
            </w:r>
          </w:p>
          <w:p w14:paraId="1072B177" w14:textId="0A0B5D74" w:rsidR="00CD5A2C" w:rsidRPr="009E33FB" w:rsidRDefault="00CD5A2C" w:rsidP="00FB6278">
            <w:pPr>
              <w:rPr>
                <w:rFonts w:ascii="Arial" w:hAnsi="Arial" w:cs="Arial"/>
                <w:sz w:val="22"/>
                <w:szCs w:val="22"/>
              </w:rPr>
            </w:pPr>
            <w:r w:rsidRPr="009E33FB">
              <w:rPr>
                <w:rFonts w:ascii="Arial" w:hAnsi="Arial" w:cs="Arial"/>
                <w:bCs/>
                <w:sz w:val="22"/>
                <w:szCs w:val="22"/>
              </w:rPr>
              <w:t>WTE 115.49</w:t>
            </w:r>
          </w:p>
        </w:tc>
      </w:tr>
      <w:tr w:rsidR="00CD5A2C" w:rsidRPr="009E33FB" w14:paraId="0D865D25" w14:textId="77777777" w:rsidTr="00065A9B">
        <w:tc>
          <w:tcPr>
            <w:tcW w:w="5021" w:type="dxa"/>
          </w:tcPr>
          <w:p w14:paraId="69E96EDA" w14:textId="77777777" w:rsidR="00CD5A2C" w:rsidRDefault="00CD5A2C" w:rsidP="00FB6278">
            <w:pPr>
              <w:rPr>
                <w:rFonts w:ascii="Arial" w:hAnsi="Arial" w:cs="Arial"/>
                <w:bCs/>
                <w:sz w:val="22"/>
                <w:szCs w:val="22"/>
              </w:rPr>
            </w:pPr>
            <w:r w:rsidRPr="009E33FB">
              <w:rPr>
                <w:rFonts w:ascii="Arial" w:hAnsi="Arial" w:cs="Arial"/>
                <w:bCs/>
                <w:sz w:val="22"/>
                <w:szCs w:val="22"/>
              </w:rPr>
              <w:t>26-30</w:t>
            </w:r>
          </w:p>
          <w:p w14:paraId="238055FD" w14:textId="493EA865" w:rsidR="00CD5A2C" w:rsidRPr="009E33FB" w:rsidRDefault="00CD5A2C" w:rsidP="00FB6278">
            <w:pPr>
              <w:rPr>
                <w:rFonts w:ascii="Arial" w:hAnsi="Arial" w:cs="Arial"/>
                <w:sz w:val="22"/>
                <w:szCs w:val="22"/>
              </w:rPr>
            </w:pPr>
          </w:p>
        </w:tc>
        <w:tc>
          <w:tcPr>
            <w:tcW w:w="5021" w:type="dxa"/>
          </w:tcPr>
          <w:p w14:paraId="03CF1624" w14:textId="77777777" w:rsidR="00CD5A2C" w:rsidRDefault="00CD5A2C" w:rsidP="00FB6278">
            <w:pPr>
              <w:rPr>
                <w:rFonts w:ascii="Arial" w:hAnsi="Arial" w:cs="Arial"/>
                <w:bCs/>
                <w:sz w:val="22"/>
                <w:szCs w:val="22"/>
              </w:rPr>
            </w:pPr>
            <w:r w:rsidRPr="009E33FB">
              <w:rPr>
                <w:rFonts w:ascii="Arial" w:hAnsi="Arial" w:cs="Arial"/>
                <w:bCs/>
                <w:sz w:val="22"/>
                <w:szCs w:val="22"/>
              </w:rPr>
              <w:t>HC 270</w:t>
            </w:r>
          </w:p>
          <w:p w14:paraId="0D6F9A7D" w14:textId="3A9128B0" w:rsidR="00CD5A2C" w:rsidRPr="009E33FB" w:rsidRDefault="00CD5A2C" w:rsidP="00FB6278">
            <w:pPr>
              <w:rPr>
                <w:rFonts w:ascii="Arial" w:hAnsi="Arial" w:cs="Arial"/>
                <w:sz w:val="22"/>
                <w:szCs w:val="22"/>
              </w:rPr>
            </w:pPr>
            <w:r w:rsidRPr="009E33FB">
              <w:rPr>
                <w:rFonts w:ascii="Arial" w:hAnsi="Arial" w:cs="Arial"/>
                <w:bCs/>
                <w:sz w:val="22"/>
                <w:szCs w:val="22"/>
              </w:rPr>
              <w:t>WTE 250.55</w:t>
            </w:r>
          </w:p>
        </w:tc>
      </w:tr>
      <w:tr w:rsidR="00CD5A2C" w:rsidRPr="009E33FB" w14:paraId="5981B3E0" w14:textId="77777777" w:rsidTr="00065A9B">
        <w:tc>
          <w:tcPr>
            <w:tcW w:w="5021" w:type="dxa"/>
          </w:tcPr>
          <w:p w14:paraId="0396CF6F" w14:textId="77777777" w:rsidR="00CD5A2C" w:rsidRDefault="00CD5A2C" w:rsidP="00FB6278">
            <w:pPr>
              <w:rPr>
                <w:rFonts w:ascii="Arial" w:hAnsi="Arial" w:cs="Arial"/>
                <w:bCs/>
                <w:sz w:val="22"/>
                <w:szCs w:val="22"/>
              </w:rPr>
            </w:pPr>
            <w:r w:rsidRPr="009E33FB">
              <w:rPr>
                <w:rFonts w:ascii="Arial" w:hAnsi="Arial" w:cs="Arial"/>
                <w:bCs/>
                <w:sz w:val="22"/>
                <w:szCs w:val="22"/>
              </w:rPr>
              <w:t xml:space="preserve">31-35 </w:t>
            </w:r>
          </w:p>
          <w:p w14:paraId="6FAFCDF8" w14:textId="315EAF10" w:rsidR="00CD5A2C" w:rsidRPr="009E33FB" w:rsidRDefault="00CD5A2C" w:rsidP="00FB6278">
            <w:pPr>
              <w:rPr>
                <w:rFonts w:ascii="Arial" w:hAnsi="Arial" w:cs="Arial"/>
                <w:sz w:val="22"/>
                <w:szCs w:val="22"/>
              </w:rPr>
            </w:pPr>
          </w:p>
        </w:tc>
        <w:tc>
          <w:tcPr>
            <w:tcW w:w="5021" w:type="dxa"/>
          </w:tcPr>
          <w:p w14:paraId="40F21EEE" w14:textId="77777777" w:rsidR="00CD5A2C" w:rsidRDefault="00CD5A2C" w:rsidP="00FB6278">
            <w:pPr>
              <w:rPr>
                <w:rFonts w:ascii="Arial" w:hAnsi="Arial" w:cs="Arial"/>
                <w:bCs/>
                <w:sz w:val="22"/>
                <w:szCs w:val="22"/>
              </w:rPr>
            </w:pPr>
            <w:r w:rsidRPr="009E33FB">
              <w:rPr>
                <w:rFonts w:ascii="Arial" w:hAnsi="Arial" w:cs="Arial"/>
                <w:bCs/>
                <w:sz w:val="22"/>
                <w:szCs w:val="22"/>
              </w:rPr>
              <w:t>HC 333</w:t>
            </w:r>
          </w:p>
          <w:p w14:paraId="467D8C71" w14:textId="24573753" w:rsidR="00CD5A2C" w:rsidRPr="009E33FB" w:rsidRDefault="00CD5A2C" w:rsidP="00FB6278">
            <w:pPr>
              <w:rPr>
                <w:rFonts w:ascii="Arial" w:hAnsi="Arial" w:cs="Arial"/>
                <w:sz w:val="22"/>
                <w:szCs w:val="22"/>
              </w:rPr>
            </w:pPr>
            <w:r w:rsidRPr="009E33FB">
              <w:rPr>
                <w:rFonts w:ascii="Arial" w:hAnsi="Arial" w:cs="Arial"/>
                <w:bCs/>
                <w:sz w:val="22"/>
                <w:szCs w:val="22"/>
              </w:rPr>
              <w:t>WTE 302.34</w:t>
            </w:r>
          </w:p>
        </w:tc>
      </w:tr>
      <w:tr w:rsidR="00CD5A2C" w:rsidRPr="009E33FB" w14:paraId="7655515E" w14:textId="77777777" w:rsidTr="00065A9B">
        <w:tc>
          <w:tcPr>
            <w:tcW w:w="5021" w:type="dxa"/>
          </w:tcPr>
          <w:p w14:paraId="3A118CD5" w14:textId="77777777" w:rsidR="00CD5A2C" w:rsidRDefault="00CD5A2C" w:rsidP="00FB6278">
            <w:pPr>
              <w:rPr>
                <w:rFonts w:ascii="Arial" w:hAnsi="Arial" w:cs="Arial"/>
                <w:bCs/>
                <w:sz w:val="22"/>
                <w:szCs w:val="22"/>
              </w:rPr>
            </w:pPr>
            <w:r w:rsidRPr="009E33FB">
              <w:rPr>
                <w:rFonts w:ascii="Arial" w:hAnsi="Arial" w:cs="Arial"/>
                <w:bCs/>
                <w:sz w:val="22"/>
                <w:szCs w:val="22"/>
              </w:rPr>
              <w:t>36-40</w:t>
            </w:r>
          </w:p>
          <w:p w14:paraId="0A123C9C" w14:textId="3714614D" w:rsidR="00CD5A2C" w:rsidRPr="009E33FB" w:rsidRDefault="00CD5A2C" w:rsidP="00FB6278">
            <w:pPr>
              <w:rPr>
                <w:rFonts w:ascii="Arial" w:hAnsi="Arial" w:cs="Arial"/>
                <w:sz w:val="22"/>
                <w:szCs w:val="22"/>
              </w:rPr>
            </w:pPr>
          </w:p>
        </w:tc>
        <w:tc>
          <w:tcPr>
            <w:tcW w:w="5021" w:type="dxa"/>
          </w:tcPr>
          <w:p w14:paraId="23E58EE8" w14:textId="77777777" w:rsidR="00CD5A2C" w:rsidRDefault="00CD5A2C" w:rsidP="00FB6278">
            <w:pPr>
              <w:rPr>
                <w:rFonts w:ascii="Arial" w:hAnsi="Arial" w:cs="Arial"/>
                <w:bCs/>
                <w:sz w:val="22"/>
                <w:szCs w:val="22"/>
              </w:rPr>
            </w:pPr>
            <w:r>
              <w:rPr>
                <w:rFonts w:ascii="Arial" w:hAnsi="Arial" w:cs="Arial"/>
                <w:bCs/>
                <w:sz w:val="22"/>
                <w:szCs w:val="22"/>
              </w:rPr>
              <w:t>H</w:t>
            </w:r>
            <w:r w:rsidRPr="009E33FB">
              <w:rPr>
                <w:rFonts w:ascii="Arial" w:hAnsi="Arial" w:cs="Arial"/>
                <w:bCs/>
                <w:sz w:val="22"/>
                <w:szCs w:val="22"/>
              </w:rPr>
              <w:t xml:space="preserve">C 327 </w:t>
            </w:r>
          </w:p>
          <w:p w14:paraId="78ABEAA2" w14:textId="38A81C25" w:rsidR="00CD5A2C" w:rsidRPr="009E33FB" w:rsidRDefault="00CD5A2C" w:rsidP="00FB6278">
            <w:pPr>
              <w:rPr>
                <w:rFonts w:ascii="Arial" w:hAnsi="Arial" w:cs="Arial"/>
                <w:sz w:val="22"/>
                <w:szCs w:val="22"/>
              </w:rPr>
            </w:pPr>
            <w:r w:rsidRPr="009E33FB">
              <w:rPr>
                <w:rFonts w:ascii="Arial" w:hAnsi="Arial" w:cs="Arial"/>
                <w:bCs/>
                <w:sz w:val="22"/>
                <w:szCs w:val="22"/>
              </w:rPr>
              <w:t>WTE 284.41</w:t>
            </w:r>
          </w:p>
        </w:tc>
      </w:tr>
      <w:tr w:rsidR="00CD5A2C" w:rsidRPr="009E33FB" w14:paraId="200797AF" w14:textId="77777777" w:rsidTr="00065A9B">
        <w:tc>
          <w:tcPr>
            <w:tcW w:w="5021" w:type="dxa"/>
          </w:tcPr>
          <w:p w14:paraId="373478DC" w14:textId="77777777" w:rsidR="00CD5A2C" w:rsidRDefault="00CD5A2C" w:rsidP="00FB6278">
            <w:pPr>
              <w:rPr>
                <w:rFonts w:ascii="Arial" w:hAnsi="Arial" w:cs="Arial"/>
                <w:bCs/>
                <w:sz w:val="22"/>
                <w:szCs w:val="22"/>
              </w:rPr>
            </w:pPr>
            <w:r w:rsidRPr="009E33FB">
              <w:rPr>
                <w:rFonts w:ascii="Arial" w:hAnsi="Arial" w:cs="Arial"/>
                <w:bCs/>
                <w:sz w:val="22"/>
                <w:szCs w:val="22"/>
              </w:rPr>
              <w:t>41-45</w:t>
            </w:r>
          </w:p>
          <w:p w14:paraId="1AB9DD8F" w14:textId="5E5D38A8" w:rsidR="00CD5A2C" w:rsidRPr="009E33FB" w:rsidRDefault="00CD5A2C" w:rsidP="00FB6278">
            <w:pPr>
              <w:rPr>
                <w:rFonts w:ascii="Arial" w:hAnsi="Arial" w:cs="Arial"/>
                <w:bCs/>
                <w:sz w:val="22"/>
                <w:szCs w:val="22"/>
              </w:rPr>
            </w:pPr>
          </w:p>
        </w:tc>
        <w:tc>
          <w:tcPr>
            <w:tcW w:w="5021" w:type="dxa"/>
          </w:tcPr>
          <w:p w14:paraId="39536D2F" w14:textId="77777777" w:rsidR="00CD5A2C" w:rsidRDefault="00CD5A2C" w:rsidP="00FB6278">
            <w:pPr>
              <w:rPr>
                <w:rFonts w:ascii="Arial" w:hAnsi="Arial" w:cs="Arial"/>
                <w:bCs/>
                <w:sz w:val="22"/>
                <w:szCs w:val="22"/>
              </w:rPr>
            </w:pPr>
            <w:r w:rsidRPr="009E33FB">
              <w:rPr>
                <w:rFonts w:ascii="Arial" w:hAnsi="Arial" w:cs="Arial"/>
                <w:bCs/>
                <w:sz w:val="22"/>
                <w:szCs w:val="22"/>
              </w:rPr>
              <w:t>HC 304</w:t>
            </w:r>
          </w:p>
          <w:p w14:paraId="6775749D" w14:textId="509069FB" w:rsidR="00CD5A2C" w:rsidRDefault="00CD5A2C" w:rsidP="00FB6278">
            <w:pPr>
              <w:rPr>
                <w:rFonts w:ascii="Arial" w:hAnsi="Arial" w:cs="Arial"/>
                <w:bCs/>
                <w:sz w:val="22"/>
                <w:szCs w:val="22"/>
              </w:rPr>
            </w:pPr>
            <w:r w:rsidRPr="009E33FB">
              <w:rPr>
                <w:rFonts w:ascii="Arial" w:hAnsi="Arial" w:cs="Arial"/>
                <w:bCs/>
                <w:sz w:val="22"/>
                <w:szCs w:val="22"/>
              </w:rPr>
              <w:t>WTE 265.87</w:t>
            </w:r>
          </w:p>
        </w:tc>
      </w:tr>
      <w:tr w:rsidR="00CD5A2C" w:rsidRPr="009E33FB" w14:paraId="366A11E6" w14:textId="77777777" w:rsidTr="00065A9B">
        <w:tc>
          <w:tcPr>
            <w:tcW w:w="5021" w:type="dxa"/>
          </w:tcPr>
          <w:p w14:paraId="0AFE7E56" w14:textId="77777777" w:rsidR="00CD5A2C" w:rsidRDefault="00CD5A2C" w:rsidP="00FB6278">
            <w:pPr>
              <w:rPr>
                <w:rFonts w:ascii="Arial" w:hAnsi="Arial" w:cs="Arial"/>
                <w:sz w:val="22"/>
                <w:szCs w:val="22"/>
              </w:rPr>
            </w:pPr>
            <w:r w:rsidRPr="009E33FB">
              <w:rPr>
                <w:rFonts w:ascii="Arial" w:hAnsi="Arial" w:cs="Arial"/>
                <w:sz w:val="22"/>
                <w:szCs w:val="22"/>
              </w:rPr>
              <w:t>46-50</w:t>
            </w:r>
          </w:p>
          <w:p w14:paraId="169476DF" w14:textId="65355831" w:rsidR="00CD5A2C" w:rsidRPr="009E33FB" w:rsidRDefault="00CD5A2C" w:rsidP="00FB6278">
            <w:pPr>
              <w:rPr>
                <w:rFonts w:ascii="Arial" w:hAnsi="Arial" w:cs="Arial"/>
                <w:bCs/>
                <w:sz w:val="22"/>
                <w:szCs w:val="22"/>
              </w:rPr>
            </w:pPr>
          </w:p>
        </w:tc>
        <w:tc>
          <w:tcPr>
            <w:tcW w:w="5021" w:type="dxa"/>
          </w:tcPr>
          <w:p w14:paraId="4A853B23" w14:textId="77777777" w:rsidR="00CD5A2C" w:rsidRDefault="00CD5A2C" w:rsidP="00FB6278">
            <w:pPr>
              <w:rPr>
                <w:rFonts w:ascii="Arial" w:hAnsi="Arial" w:cs="Arial"/>
                <w:sz w:val="22"/>
                <w:szCs w:val="22"/>
              </w:rPr>
            </w:pPr>
            <w:r w:rsidRPr="009E33FB">
              <w:rPr>
                <w:rFonts w:ascii="Arial" w:hAnsi="Arial" w:cs="Arial"/>
                <w:sz w:val="22"/>
                <w:szCs w:val="22"/>
              </w:rPr>
              <w:t xml:space="preserve">HC 334  </w:t>
            </w:r>
          </w:p>
          <w:p w14:paraId="58A11331" w14:textId="743A7C16" w:rsidR="00CD5A2C" w:rsidRDefault="00CD5A2C" w:rsidP="00FB6278">
            <w:pPr>
              <w:rPr>
                <w:rFonts w:ascii="Arial" w:hAnsi="Arial" w:cs="Arial"/>
                <w:bCs/>
                <w:sz w:val="22"/>
                <w:szCs w:val="22"/>
              </w:rPr>
            </w:pPr>
            <w:r w:rsidRPr="009E33FB">
              <w:rPr>
                <w:rFonts w:ascii="Arial" w:hAnsi="Arial" w:cs="Arial"/>
                <w:sz w:val="22"/>
                <w:szCs w:val="22"/>
              </w:rPr>
              <w:t>WTE 311.16</w:t>
            </w:r>
          </w:p>
        </w:tc>
      </w:tr>
      <w:tr w:rsidR="00CD5A2C" w:rsidRPr="009E33FB" w14:paraId="1731AF42" w14:textId="77777777" w:rsidTr="00065A9B">
        <w:tc>
          <w:tcPr>
            <w:tcW w:w="5021" w:type="dxa"/>
          </w:tcPr>
          <w:p w14:paraId="5042759C" w14:textId="77777777" w:rsidR="00CD5A2C" w:rsidRDefault="00CD5A2C" w:rsidP="00FB6278">
            <w:pPr>
              <w:rPr>
                <w:rFonts w:ascii="Arial" w:hAnsi="Arial" w:cs="Arial"/>
                <w:sz w:val="22"/>
                <w:szCs w:val="22"/>
              </w:rPr>
            </w:pPr>
            <w:r w:rsidRPr="009E33FB">
              <w:rPr>
                <w:rFonts w:ascii="Arial" w:hAnsi="Arial" w:cs="Arial"/>
                <w:sz w:val="22"/>
                <w:szCs w:val="22"/>
              </w:rPr>
              <w:t>51-55</w:t>
            </w:r>
          </w:p>
          <w:p w14:paraId="1FD7A48E" w14:textId="01F44F19" w:rsidR="00CD5A2C" w:rsidRPr="009E33FB" w:rsidRDefault="00CD5A2C" w:rsidP="00FB6278">
            <w:pPr>
              <w:rPr>
                <w:rFonts w:ascii="Arial" w:hAnsi="Arial" w:cs="Arial"/>
                <w:bCs/>
                <w:sz w:val="22"/>
                <w:szCs w:val="22"/>
              </w:rPr>
            </w:pPr>
          </w:p>
        </w:tc>
        <w:tc>
          <w:tcPr>
            <w:tcW w:w="5021" w:type="dxa"/>
          </w:tcPr>
          <w:p w14:paraId="21D1458A" w14:textId="77777777" w:rsidR="00CD5A2C" w:rsidRDefault="00CD5A2C" w:rsidP="00FB6278">
            <w:pPr>
              <w:rPr>
                <w:rFonts w:ascii="Arial" w:hAnsi="Arial" w:cs="Arial"/>
                <w:sz w:val="22"/>
                <w:szCs w:val="22"/>
              </w:rPr>
            </w:pPr>
            <w:r w:rsidRPr="009E33FB">
              <w:rPr>
                <w:rFonts w:ascii="Arial" w:hAnsi="Arial" w:cs="Arial"/>
                <w:sz w:val="22"/>
                <w:szCs w:val="22"/>
              </w:rPr>
              <w:t>HC 293</w:t>
            </w:r>
          </w:p>
          <w:p w14:paraId="2ED0B161" w14:textId="6C480413" w:rsidR="00CD5A2C" w:rsidRDefault="00CD5A2C" w:rsidP="00FB6278">
            <w:pPr>
              <w:rPr>
                <w:rFonts w:ascii="Arial" w:hAnsi="Arial" w:cs="Arial"/>
                <w:bCs/>
                <w:sz w:val="22"/>
                <w:szCs w:val="22"/>
              </w:rPr>
            </w:pPr>
            <w:r w:rsidRPr="009E33FB">
              <w:rPr>
                <w:rFonts w:ascii="Arial" w:hAnsi="Arial" w:cs="Arial"/>
                <w:sz w:val="22"/>
                <w:szCs w:val="22"/>
              </w:rPr>
              <w:t>WTE 270.93</w:t>
            </w:r>
          </w:p>
        </w:tc>
      </w:tr>
      <w:tr w:rsidR="00CD5A2C" w:rsidRPr="009E33FB" w14:paraId="7D9327D6" w14:textId="77777777" w:rsidTr="00065A9B">
        <w:tc>
          <w:tcPr>
            <w:tcW w:w="5021" w:type="dxa"/>
          </w:tcPr>
          <w:p w14:paraId="58419353" w14:textId="77777777" w:rsidR="00CD5A2C" w:rsidRDefault="00CD5A2C" w:rsidP="00FB6278">
            <w:pPr>
              <w:rPr>
                <w:rFonts w:ascii="Arial" w:hAnsi="Arial" w:cs="Arial"/>
                <w:bCs/>
                <w:sz w:val="22"/>
                <w:szCs w:val="22"/>
              </w:rPr>
            </w:pPr>
            <w:r w:rsidRPr="009E33FB">
              <w:rPr>
                <w:rFonts w:ascii="Arial" w:hAnsi="Arial" w:cs="Arial"/>
                <w:bCs/>
                <w:sz w:val="22"/>
                <w:szCs w:val="22"/>
              </w:rPr>
              <w:t>56-60</w:t>
            </w:r>
          </w:p>
          <w:p w14:paraId="64330494" w14:textId="188E3B45" w:rsidR="00CD5A2C" w:rsidRPr="009E33FB" w:rsidRDefault="00CD5A2C" w:rsidP="00FB6278">
            <w:pPr>
              <w:rPr>
                <w:rFonts w:ascii="Arial" w:hAnsi="Arial" w:cs="Arial"/>
                <w:sz w:val="22"/>
                <w:szCs w:val="22"/>
              </w:rPr>
            </w:pPr>
          </w:p>
        </w:tc>
        <w:tc>
          <w:tcPr>
            <w:tcW w:w="5021" w:type="dxa"/>
          </w:tcPr>
          <w:p w14:paraId="23848F20" w14:textId="77777777" w:rsidR="00CD5A2C" w:rsidRDefault="00CD5A2C" w:rsidP="00FB6278">
            <w:pPr>
              <w:rPr>
                <w:rFonts w:ascii="Arial" w:hAnsi="Arial" w:cs="Arial"/>
                <w:bCs/>
                <w:sz w:val="22"/>
                <w:szCs w:val="22"/>
              </w:rPr>
            </w:pPr>
            <w:r w:rsidRPr="009E33FB">
              <w:rPr>
                <w:rFonts w:ascii="Arial" w:hAnsi="Arial" w:cs="Arial"/>
                <w:bCs/>
                <w:sz w:val="22"/>
                <w:szCs w:val="22"/>
              </w:rPr>
              <w:t>HC 198</w:t>
            </w:r>
          </w:p>
          <w:p w14:paraId="144386B2" w14:textId="2F7375EC" w:rsidR="00CD5A2C" w:rsidRPr="009E33FB" w:rsidRDefault="00CD5A2C" w:rsidP="00FB6278">
            <w:pPr>
              <w:rPr>
                <w:rFonts w:ascii="Arial" w:hAnsi="Arial" w:cs="Arial"/>
                <w:sz w:val="22"/>
                <w:szCs w:val="22"/>
              </w:rPr>
            </w:pPr>
            <w:r w:rsidRPr="009E33FB">
              <w:rPr>
                <w:rFonts w:ascii="Arial" w:hAnsi="Arial" w:cs="Arial"/>
                <w:bCs/>
                <w:sz w:val="22"/>
                <w:szCs w:val="22"/>
              </w:rPr>
              <w:t>WTE 178.42</w:t>
            </w:r>
          </w:p>
        </w:tc>
      </w:tr>
      <w:tr w:rsidR="00CD5A2C" w:rsidRPr="009E33FB" w14:paraId="61AA7D0F" w14:textId="77777777" w:rsidTr="00065A9B">
        <w:tc>
          <w:tcPr>
            <w:tcW w:w="5021" w:type="dxa"/>
          </w:tcPr>
          <w:p w14:paraId="0EB821AC" w14:textId="77777777" w:rsidR="00CD5A2C" w:rsidRDefault="00CD5A2C" w:rsidP="00FB6278">
            <w:pPr>
              <w:rPr>
                <w:rFonts w:ascii="Arial" w:hAnsi="Arial" w:cs="Arial"/>
                <w:bCs/>
                <w:sz w:val="22"/>
                <w:szCs w:val="22"/>
              </w:rPr>
            </w:pPr>
            <w:r w:rsidRPr="009E33FB">
              <w:rPr>
                <w:rFonts w:ascii="Arial" w:hAnsi="Arial" w:cs="Arial"/>
                <w:bCs/>
                <w:sz w:val="22"/>
                <w:szCs w:val="22"/>
              </w:rPr>
              <w:t>61-65</w:t>
            </w:r>
          </w:p>
          <w:p w14:paraId="7006F7B8" w14:textId="61B44518" w:rsidR="00CD5A2C" w:rsidRPr="009E33FB" w:rsidRDefault="00CD5A2C" w:rsidP="00FB6278">
            <w:pPr>
              <w:rPr>
                <w:rFonts w:ascii="Arial" w:hAnsi="Arial" w:cs="Arial"/>
                <w:sz w:val="22"/>
                <w:szCs w:val="22"/>
              </w:rPr>
            </w:pPr>
          </w:p>
        </w:tc>
        <w:tc>
          <w:tcPr>
            <w:tcW w:w="5021" w:type="dxa"/>
          </w:tcPr>
          <w:p w14:paraId="5BCB89DA" w14:textId="77777777" w:rsidR="00CD5A2C" w:rsidRDefault="00CD5A2C" w:rsidP="00FB6278">
            <w:pPr>
              <w:rPr>
                <w:rFonts w:ascii="Arial" w:hAnsi="Arial" w:cs="Arial"/>
                <w:bCs/>
                <w:sz w:val="22"/>
                <w:szCs w:val="22"/>
              </w:rPr>
            </w:pPr>
            <w:r w:rsidRPr="009E33FB">
              <w:rPr>
                <w:rFonts w:ascii="Arial" w:hAnsi="Arial" w:cs="Arial"/>
                <w:bCs/>
                <w:sz w:val="22"/>
                <w:szCs w:val="22"/>
              </w:rPr>
              <w:t xml:space="preserve">HC 133  </w:t>
            </w:r>
          </w:p>
          <w:p w14:paraId="565A4F8B" w14:textId="2A744BC2" w:rsidR="00CD5A2C" w:rsidRPr="009E33FB" w:rsidRDefault="00CD5A2C" w:rsidP="00FB6278">
            <w:pPr>
              <w:rPr>
                <w:rFonts w:ascii="Arial" w:hAnsi="Arial" w:cs="Arial"/>
                <w:sz w:val="22"/>
                <w:szCs w:val="22"/>
              </w:rPr>
            </w:pPr>
            <w:r w:rsidRPr="009E33FB">
              <w:rPr>
                <w:rFonts w:ascii="Arial" w:hAnsi="Arial" w:cs="Arial"/>
                <w:bCs/>
                <w:sz w:val="22"/>
                <w:szCs w:val="22"/>
              </w:rPr>
              <w:t>WTE 113.19</w:t>
            </w:r>
          </w:p>
        </w:tc>
      </w:tr>
      <w:tr w:rsidR="00CD5A2C" w:rsidRPr="009E33FB" w14:paraId="09D9ACC0" w14:textId="77777777" w:rsidTr="00065A9B">
        <w:tc>
          <w:tcPr>
            <w:tcW w:w="5021" w:type="dxa"/>
          </w:tcPr>
          <w:p w14:paraId="52DACD53" w14:textId="77777777" w:rsidR="00CD5A2C" w:rsidRDefault="00CD5A2C" w:rsidP="00FB6278">
            <w:pPr>
              <w:rPr>
                <w:rFonts w:ascii="Arial" w:hAnsi="Arial" w:cs="Arial"/>
                <w:sz w:val="22"/>
                <w:szCs w:val="22"/>
              </w:rPr>
            </w:pPr>
            <w:r w:rsidRPr="009E33FB">
              <w:rPr>
                <w:rFonts w:ascii="Arial" w:hAnsi="Arial" w:cs="Arial"/>
                <w:sz w:val="22"/>
                <w:szCs w:val="22"/>
              </w:rPr>
              <w:t>66-70</w:t>
            </w:r>
          </w:p>
          <w:p w14:paraId="60BA3D4D" w14:textId="4C432AAA" w:rsidR="00CD5A2C" w:rsidRPr="009E33FB" w:rsidRDefault="00CD5A2C" w:rsidP="00FB6278">
            <w:pPr>
              <w:rPr>
                <w:rFonts w:ascii="Arial" w:hAnsi="Arial" w:cs="Arial"/>
                <w:sz w:val="22"/>
                <w:szCs w:val="22"/>
              </w:rPr>
            </w:pPr>
          </w:p>
        </w:tc>
        <w:tc>
          <w:tcPr>
            <w:tcW w:w="5021" w:type="dxa"/>
          </w:tcPr>
          <w:p w14:paraId="47C892C0" w14:textId="77777777" w:rsidR="00CD5A2C" w:rsidRDefault="00CD5A2C" w:rsidP="00FB6278">
            <w:pPr>
              <w:rPr>
                <w:rFonts w:ascii="Arial" w:hAnsi="Arial" w:cs="Arial"/>
                <w:sz w:val="22"/>
                <w:szCs w:val="22"/>
              </w:rPr>
            </w:pPr>
            <w:r w:rsidRPr="009E33FB">
              <w:rPr>
                <w:rFonts w:ascii="Arial" w:hAnsi="Arial" w:cs="Arial"/>
                <w:sz w:val="22"/>
                <w:szCs w:val="22"/>
              </w:rPr>
              <w:lastRenderedPageBreak/>
              <w:t xml:space="preserve">HC 47   </w:t>
            </w:r>
          </w:p>
          <w:p w14:paraId="63CEA696" w14:textId="74B2A52A" w:rsidR="00CD5A2C" w:rsidRPr="009E33FB" w:rsidRDefault="00CD5A2C" w:rsidP="00FB6278">
            <w:pPr>
              <w:rPr>
                <w:rFonts w:ascii="Arial" w:hAnsi="Arial" w:cs="Arial"/>
                <w:sz w:val="22"/>
                <w:szCs w:val="22"/>
              </w:rPr>
            </w:pPr>
            <w:r w:rsidRPr="009E33FB">
              <w:rPr>
                <w:rFonts w:ascii="Arial" w:hAnsi="Arial" w:cs="Arial"/>
                <w:sz w:val="22"/>
                <w:szCs w:val="22"/>
              </w:rPr>
              <w:lastRenderedPageBreak/>
              <w:t>WTE 34.02</w:t>
            </w:r>
          </w:p>
        </w:tc>
      </w:tr>
      <w:tr w:rsidR="00CD5A2C" w:rsidRPr="009E33FB" w14:paraId="0959FDB2" w14:textId="77777777" w:rsidTr="00065A9B">
        <w:tc>
          <w:tcPr>
            <w:tcW w:w="5021" w:type="dxa"/>
          </w:tcPr>
          <w:p w14:paraId="412C6864" w14:textId="77777777" w:rsidR="00CD5A2C" w:rsidRDefault="00CD5A2C" w:rsidP="00FB6278">
            <w:pPr>
              <w:rPr>
                <w:rFonts w:ascii="Arial" w:hAnsi="Arial" w:cs="Arial"/>
                <w:sz w:val="22"/>
                <w:szCs w:val="22"/>
              </w:rPr>
            </w:pPr>
            <w:r w:rsidRPr="009E33FB">
              <w:rPr>
                <w:rFonts w:ascii="Arial" w:hAnsi="Arial" w:cs="Arial"/>
                <w:sz w:val="22"/>
                <w:szCs w:val="22"/>
              </w:rPr>
              <w:lastRenderedPageBreak/>
              <w:t>71+</w:t>
            </w:r>
          </w:p>
          <w:p w14:paraId="20BE5B72" w14:textId="641B6253" w:rsidR="00CD5A2C" w:rsidRPr="009E33FB" w:rsidRDefault="00CD5A2C" w:rsidP="00FB6278">
            <w:pPr>
              <w:rPr>
                <w:rFonts w:ascii="Arial" w:hAnsi="Arial" w:cs="Arial"/>
                <w:sz w:val="22"/>
                <w:szCs w:val="22"/>
              </w:rPr>
            </w:pPr>
          </w:p>
        </w:tc>
        <w:tc>
          <w:tcPr>
            <w:tcW w:w="5021" w:type="dxa"/>
          </w:tcPr>
          <w:p w14:paraId="0997EA84" w14:textId="77777777" w:rsidR="00CD5A2C" w:rsidRDefault="00CD5A2C" w:rsidP="00FB6278">
            <w:pPr>
              <w:rPr>
                <w:rFonts w:ascii="Arial" w:hAnsi="Arial" w:cs="Arial"/>
                <w:sz w:val="22"/>
                <w:szCs w:val="22"/>
              </w:rPr>
            </w:pPr>
            <w:r w:rsidRPr="009E33FB">
              <w:rPr>
                <w:rFonts w:ascii="Arial" w:hAnsi="Arial" w:cs="Arial"/>
                <w:sz w:val="22"/>
                <w:szCs w:val="22"/>
              </w:rPr>
              <w:t xml:space="preserve">HC 17 </w:t>
            </w:r>
          </w:p>
          <w:p w14:paraId="41C6F962" w14:textId="240C6DB2" w:rsidR="00CD5A2C" w:rsidRPr="009E33FB" w:rsidRDefault="00CD5A2C" w:rsidP="00FB6278">
            <w:pPr>
              <w:rPr>
                <w:rFonts w:ascii="Arial" w:hAnsi="Arial" w:cs="Arial"/>
                <w:sz w:val="22"/>
                <w:szCs w:val="22"/>
              </w:rPr>
            </w:pPr>
            <w:r w:rsidRPr="009E33FB">
              <w:rPr>
                <w:rFonts w:ascii="Arial" w:hAnsi="Arial" w:cs="Arial"/>
                <w:sz w:val="22"/>
                <w:szCs w:val="22"/>
              </w:rPr>
              <w:t>WTE 10.19</w:t>
            </w:r>
          </w:p>
        </w:tc>
      </w:tr>
    </w:tbl>
    <w:p w14:paraId="3FD9CA63" w14:textId="2136163A" w:rsidR="00932A6E" w:rsidRDefault="00932A6E" w:rsidP="00FB6278">
      <w:pPr>
        <w:rPr>
          <w:rFonts w:ascii="Arial" w:hAnsi="Arial" w:cs="Arial"/>
          <w:sz w:val="22"/>
          <w:szCs w:val="22"/>
          <w:lang w:val="en-US"/>
        </w:rPr>
      </w:pPr>
    </w:p>
    <w:p w14:paraId="541102DD" w14:textId="170DE3F8" w:rsidR="006C06BE" w:rsidRDefault="006C06BE" w:rsidP="00FB6278">
      <w:pPr>
        <w:rPr>
          <w:rFonts w:ascii="Arial" w:hAnsi="Arial" w:cs="Arial"/>
          <w:sz w:val="22"/>
          <w:szCs w:val="22"/>
          <w:lang w:val="en-US"/>
        </w:rPr>
      </w:pPr>
      <w:r w:rsidRPr="009E33FB">
        <w:rPr>
          <w:rFonts w:ascii="Arial" w:hAnsi="Arial" w:cs="Arial"/>
          <w:sz w:val="22"/>
          <w:szCs w:val="22"/>
          <w:lang w:val="en-US"/>
        </w:rPr>
        <w:t xml:space="preserve">Note: All figures above are based on a snapshot as </w:t>
      </w:r>
      <w:proofErr w:type="gramStart"/>
      <w:r w:rsidRPr="009E33FB">
        <w:rPr>
          <w:rFonts w:ascii="Arial" w:hAnsi="Arial" w:cs="Arial"/>
          <w:sz w:val="22"/>
          <w:szCs w:val="22"/>
          <w:lang w:val="en-US"/>
        </w:rPr>
        <w:t>at</w:t>
      </w:r>
      <w:proofErr w:type="gramEnd"/>
      <w:r w:rsidRPr="009E33FB">
        <w:rPr>
          <w:rFonts w:ascii="Arial" w:hAnsi="Arial" w:cs="Arial"/>
          <w:sz w:val="22"/>
          <w:szCs w:val="22"/>
          <w:lang w:val="en-US"/>
        </w:rPr>
        <w:t xml:space="preserve"> 31 March 2022.</w:t>
      </w:r>
    </w:p>
    <w:p w14:paraId="0AEF4C55" w14:textId="195004F0" w:rsidR="009F23C2" w:rsidRDefault="009F23C2" w:rsidP="00FB6278">
      <w:pPr>
        <w:rPr>
          <w:rFonts w:ascii="Arial" w:hAnsi="Arial" w:cs="Arial"/>
          <w:sz w:val="22"/>
          <w:szCs w:val="22"/>
          <w:lang w:val="en-US"/>
        </w:rPr>
      </w:pPr>
    </w:p>
    <w:p w14:paraId="28777C26" w14:textId="2A687B1B" w:rsidR="009F23C2" w:rsidRPr="009F23C2" w:rsidRDefault="009F23C2" w:rsidP="009F23C2">
      <w:pPr>
        <w:pStyle w:val="Footer"/>
        <w:rPr>
          <w:rFonts w:ascii="Arial" w:hAnsi="Arial" w:cs="Arial"/>
          <w:sz w:val="22"/>
          <w:szCs w:val="22"/>
          <w:lang w:val="en-US"/>
        </w:rPr>
      </w:pPr>
      <w:r w:rsidRPr="009F23C2">
        <w:rPr>
          <w:rFonts w:ascii="Arial" w:hAnsi="Arial" w:cs="Arial"/>
          <w:sz w:val="22"/>
          <w:szCs w:val="22"/>
          <w:lang w:val="en-US"/>
        </w:rPr>
        <w:t>Information on the gender pay gap can be found</w:t>
      </w:r>
      <w:r>
        <w:rPr>
          <w:rFonts w:ascii="Arial" w:hAnsi="Arial" w:cs="Arial"/>
          <w:sz w:val="22"/>
          <w:szCs w:val="22"/>
          <w:lang w:val="en-US"/>
        </w:rPr>
        <w:t xml:space="preserve"> on our website (</w:t>
      </w:r>
      <w:r w:rsidRPr="009F23C2">
        <w:rPr>
          <w:rFonts w:ascii="Arial" w:hAnsi="Arial" w:cs="Arial"/>
          <w:sz w:val="22"/>
          <w:szCs w:val="22"/>
          <w:lang w:val="en-US"/>
        </w:rPr>
        <w:t>https://www.moorfields.nhs.uk/content/inclusion-equality-and-diversity-reporting</w:t>
      </w:r>
      <w:r>
        <w:rPr>
          <w:rFonts w:ascii="Arial" w:hAnsi="Arial" w:cs="Arial"/>
          <w:sz w:val="22"/>
          <w:szCs w:val="22"/>
          <w:lang w:val="en-US"/>
        </w:rPr>
        <w:t xml:space="preserve">). Further information can be found on the </w:t>
      </w:r>
      <w:r w:rsidRPr="009F23C2">
        <w:rPr>
          <w:rFonts w:ascii="Arial" w:hAnsi="Arial" w:cs="Arial"/>
          <w:sz w:val="22"/>
          <w:szCs w:val="22"/>
          <w:lang w:val="en-US"/>
        </w:rPr>
        <w:t>Cabinet Office website (https://gender-pay-gap.service.gov.uk/)</w:t>
      </w:r>
      <w:r>
        <w:rPr>
          <w:rFonts w:ascii="Arial" w:hAnsi="Arial" w:cs="Arial"/>
          <w:sz w:val="22"/>
          <w:szCs w:val="22"/>
          <w:lang w:val="en-US"/>
        </w:rPr>
        <w:t>.</w:t>
      </w:r>
    </w:p>
    <w:p w14:paraId="1554FB40" w14:textId="77777777" w:rsidR="00791C1B" w:rsidRPr="009E33FB" w:rsidRDefault="00791C1B" w:rsidP="00FB6278">
      <w:pPr>
        <w:rPr>
          <w:rFonts w:ascii="Arial" w:hAnsi="Arial" w:cs="Arial"/>
          <w:sz w:val="22"/>
          <w:szCs w:val="22"/>
          <w:lang w:val="en-US"/>
        </w:rPr>
      </w:pPr>
    </w:p>
    <w:p w14:paraId="78378F4D" w14:textId="77777777" w:rsidR="00791C1B" w:rsidRPr="009E33FB" w:rsidRDefault="00791C1B" w:rsidP="00FB6278">
      <w:pPr>
        <w:rPr>
          <w:rFonts w:ascii="Arial" w:hAnsi="Arial" w:cs="Arial"/>
          <w:sz w:val="22"/>
          <w:szCs w:val="22"/>
          <w:lang w:val="en-US"/>
        </w:rPr>
      </w:pPr>
      <w:r w:rsidRPr="009E33FB">
        <w:rPr>
          <w:rFonts w:ascii="Arial" w:hAnsi="Arial" w:cs="Arial"/>
          <w:sz w:val="22"/>
          <w:szCs w:val="22"/>
          <w:lang w:val="en-US"/>
        </w:rPr>
        <w:t>[Analysis of staff numbers and staff costs is subject to audit]</w:t>
      </w:r>
    </w:p>
    <w:p w14:paraId="06818100" w14:textId="77777777" w:rsidR="00791C1B" w:rsidRPr="009E33FB" w:rsidRDefault="00791C1B" w:rsidP="00FB6278">
      <w:pPr>
        <w:pStyle w:val="Heading3"/>
        <w:rPr>
          <w:rFonts w:cs="Arial"/>
          <w:sz w:val="22"/>
          <w:szCs w:val="22"/>
        </w:rPr>
      </w:pPr>
      <w:r w:rsidRPr="009E33FB">
        <w:rPr>
          <w:rFonts w:cs="Arial"/>
          <w:sz w:val="22"/>
          <w:szCs w:val="22"/>
        </w:rPr>
        <w:t xml:space="preserve">Staff friends and family test (FFT) </w:t>
      </w:r>
    </w:p>
    <w:p w14:paraId="313E9293" w14:textId="77777777" w:rsidR="00791C1B" w:rsidRPr="00BD44BB" w:rsidRDefault="00791C1B" w:rsidP="00FB6278">
      <w:pPr>
        <w:rPr>
          <w:rFonts w:ascii="Arial" w:hAnsi="Arial"/>
          <w:sz w:val="22"/>
          <w:lang w:val="en-US"/>
        </w:rPr>
      </w:pPr>
      <w:r w:rsidRPr="00BD44BB">
        <w:rPr>
          <w:rFonts w:ascii="Arial" w:hAnsi="Arial"/>
          <w:sz w:val="22"/>
          <w:lang w:val="en-US"/>
        </w:rPr>
        <w:t>Due to the COVID-19 Pandemic, The FFT was suspended. Since then, we have started using the National Quarterly Pulse Survey via NHS England and Improvement. This does not consistently ask the same set of questions, and the FFT questions are not routinely asked. We have therefore reported the results from our last Staff Survey, in 2021.</w:t>
      </w:r>
    </w:p>
    <w:p w14:paraId="4889E65F" w14:textId="77777777" w:rsidR="00791C1B" w:rsidRPr="00BD44BB" w:rsidRDefault="00791C1B" w:rsidP="00FB6278">
      <w:pPr>
        <w:rPr>
          <w:rFonts w:ascii="Arial" w:hAnsi="Arial"/>
          <w:sz w:val="22"/>
        </w:rPr>
      </w:pPr>
    </w:p>
    <w:tbl>
      <w:tblPr>
        <w:tblStyle w:val="TableGrid"/>
        <w:tblW w:w="8112" w:type="dxa"/>
        <w:jc w:val="center"/>
        <w:tblLook w:val="04A0" w:firstRow="1" w:lastRow="0" w:firstColumn="1" w:lastColumn="0" w:noHBand="0" w:noVBand="1"/>
      </w:tblPr>
      <w:tblGrid>
        <w:gridCol w:w="4718"/>
        <w:gridCol w:w="3394"/>
      </w:tblGrid>
      <w:tr w:rsidR="00B7245B" w:rsidRPr="009E33FB" w14:paraId="7660E6A1" w14:textId="77777777" w:rsidTr="00F949C1">
        <w:trPr>
          <w:trHeight w:val="265"/>
          <w:jc w:val="center"/>
        </w:trPr>
        <w:tc>
          <w:tcPr>
            <w:tcW w:w="8112" w:type="dxa"/>
            <w:gridSpan w:val="2"/>
            <w:tcBorders>
              <w:top w:val="single" w:sz="4" w:space="0" w:color="auto"/>
              <w:left w:val="single" w:sz="4" w:space="0" w:color="auto"/>
              <w:bottom w:val="single" w:sz="4" w:space="0" w:color="auto"/>
              <w:right w:val="single" w:sz="4" w:space="0" w:color="auto"/>
            </w:tcBorders>
          </w:tcPr>
          <w:p w14:paraId="562C23A9" w14:textId="6421C245" w:rsidR="00B7245B" w:rsidRPr="00BD44BB" w:rsidRDefault="00B7245B" w:rsidP="00FB6278">
            <w:pPr>
              <w:jc w:val="center"/>
              <w:rPr>
                <w:rFonts w:ascii="Arial" w:hAnsi="Arial"/>
                <w:b/>
                <w:sz w:val="22"/>
              </w:rPr>
            </w:pPr>
            <w:r>
              <w:rPr>
                <w:rFonts w:ascii="Arial" w:hAnsi="Arial"/>
                <w:b/>
                <w:sz w:val="22"/>
              </w:rPr>
              <w:t>Friends and Family Test results 2021</w:t>
            </w:r>
          </w:p>
        </w:tc>
      </w:tr>
      <w:tr w:rsidR="00791C1B" w:rsidRPr="009E33FB" w14:paraId="08956AE9" w14:textId="77777777" w:rsidTr="00CD4F89">
        <w:trPr>
          <w:trHeight w:val="1050"/>
          <w:jc w:val="center"/>
        </w:trPr>
        <w:tc>
          <w:tcPr>
            <w:tcW w:w="4718" w:type="dxa"/>
            <w:tcBorders>
              <w:top w:val="single" w:sz="4" w:space="0" w:color="auto"/>
              <w:left w:val="single" w:sz="4" w:space="0" w:color="auto"/>
              <w:bottom w:val="single" w:sz="4" w:space="0" w:color="auto"/>
              <w:right w:val="single" w:sz="4" w:space="0" w:color="auto"/>
            </w:tcBorders>
            <w:hideMark/>
          </w:tcPr>
          <w:p w14:paraId="376D6725" w14:textId="77777777" w:rsidR="00791C1B" w:rsidRPr="00B7245B" w:rsidRDefault="00791C1B" w:rsidP="00FB6278">
            <w:pPr>
              <w:rPr>
                <w:rFonts w:ascii="Arial" w:hAnsi="Arial" w:cs="Arial"/>
                <w:sz w:val="22"/>
                <w:szCs w:val="22"/>
              </w:rPr>
            </w:pPr>
            <w:r w:rsidRPr="00B7245B">
              <w:rPr>
                <w:rFonts w:ascii="Arial" w:hAnsi="Arial" w:cs="Arial"/>
                <w:sz w:val="22"/>
                <w:szCs w:val="22"/>
              </w:rPr>
              <w:t xml:space="preserve">% </w:t>
            </w:r>
            <w:proofErr w:type="gramStart"/>
            <w:r w:rsidRPr="00B7245B">
              <w:rPr>
                <w:rFonts w:ascii="Arial" w:hAnsi="Arial" w:cs="Arial"/>
                <w:sz w:val="22"/>
                <w:szCs w:val="22"/>
              </w:rPr>
              <w:t>staff</w:t>
            </w:r>
            <w:proofErr w:type="gramEnd"/>
            <w:r w:rsidRPr="00B7245B">
              <w:rPr>
                <w:rFonts w:ascii="Arial" w:hAnsi="Arial" w:cs="Arial"/>
                <w:sz w:val="22"/>
                <w:szCs w:val="22"/>
              </w:rPr>
              <w:t xml:space="preserve"> recommending Moorfields as a place for treatment</w:t>
            </w:r>
          </w:p>
        </w:tc>
        <w:tc>
          <w:tcPr>
            <w:tcW w:w="3394" w:type="dxa"/>
            <w:tcBorders>
              <w:top w:val="single" w:sz="4" w:space="0" w:color="auto"/>
              <w:left w:val="single" w:sz="4" w:space="0" w:color="auto"/>
              <w:bottom w:val="single" w:sz="4" w:space="0" w:color="auto"/>
              <w:right w:val="single" w:sz="4" w:space="0" w:color="auto"/>
            </w:tcBorders>
          </w:tcPr>
          <w:p w14:paraId="7B1AB7DA" w14:textId="77777777" w:rsidR="00791C1B" w:rsidRPr="00B7245B" w:rsidRDefault="00791C1B" w:rsidP="00FB6278">
            <w:pPr>
              <w:jc w:val="center"/>
              <w:rPr>
                <w:rFonts w:ascii="Arial" w:hAnsi="Arial" w:cs="Arial"/>
                <w:sz w:val="22"/>
                <w:szCs w:val="22"/>
              </w:rPr>
            </w:pPr>
            <w:r w:rsidRPr="00B7245B">
              <w:rPr>
                <w:rFonts w:ascii="Arial" w:hAnsi="Arial" w:cs="Arial"/>
                <w:sz w:val="22"/>
                <w:szCs w:val="22"/>
              </w:rPr>
              <w:t>87%</w:t>
            </w:r>
          </w:p>
          <w:p w14:paraId="4B0C15FD" w14:textId="77777777" w:rsidR="00791C1B" w:rsidRPr="00B7245B" w:rsidRDefault="00791C1B" w:rsidP="00FB6278">
            <w:pPr>
              <w:jc w:val="center"/>
              <w:rPr>
                <w:rFonts w:ascii="Arial" w:hAnsi="Arial" w:cs="Arial"/>
                <w:sz w:val="22"/>
                <w:szCs w:val="22"/>
              </w:rPr>
            </w:pPr>
          </w:p>
          <w:p w14:paraId="29B4650D" w14:textId="77777777" w:rsidR="00791C1B" w:rsidRPr="00B7245B" w:rsidRDefault="00791C1B" w:rsidP="00FB6278">
            <w:pPr>
              <w:jc w:val="center"/>
              <w:rPr>
                <w:rFonts w:ascii="Arial" w:hAnsi="Arial"/>
                <w:sz w:val="22"/>
              </w:rPr>
            </w:pPr>
            <w:r w:rsidRPr="00B7245B">
              <w:rPr>
                <w:rFonts w:ascii="Arial" w:hAnsi="Arial"/>
                <w:sz w:val="22"/>
              </w:rPr>
              <w:t>(Q21d)</w:t>
            </w:r>
          </w:p>
        </w:tc>
      </w:tr>
      <w:tr w:rsidR="00791C1B" w:rsidRPr="009E33FB" w14:paraId="145FDF9E" w14:textId="77777777" w:rsidTr="00CD4F89">
        <w:trPr>
          <w:trHeight w:val="1050"/>
          <w:jc w:val="center"/>
        </w:trPr>
        <w:tc>
          <w:tcPr>
            <w:tcW w:w="4718" w:type="dxa"/>
            <w:tcBorders>
              <w:top w:val="single" w:sz="4" w:space="0" w:color="auto"/>
              <w:left w:val="single" w:sz="4" w:space="0" w:color="auto"/>
              <w:bottom w:val="single" w:sz="4" w:space="0" w:color="auto"/>
              <w:right w:val="single" w:sz="4" w:space="0" w:color="auto"/>
            </w:tcBorders>
            <w:hideMark/>
          </w:tcPr>
          <w:p w14:paraId="67330F2F" w14:textId="77777777" w:rsidR="00791C1B" w:rsidRPr="009E33FB" w:rsidRDefault="00791C1B" w:rsidP="00FB6278">
            <w:pPr>
              <w:rPr>
                <w:rFonts w:ascii="Arial" w:hAnsi="Arial" w:cs="Arial"/>
                <w:sz w:val="22"/>
                <w:szCs w:val="22"/>
              </w:rPr>
            </w:pPr>
            <w:r w:rsidRPr="009E33FB">
              <w:rPr>
                <w:rFonts w:ascii="Arial" w:hAnsi="Arial" w:cs="Arial"/>
                <w:sz w:val="22"/>
                <w:szCs w:val="22"/>
              </w:rPr>
              <w:t xml:space="preserve">% </w:t>
            </w:r>
            <w:proofErr w:type="gramStart"/>
            <w:r w:rsidRPr="009E33FB">
              <w:rPr>
                <w:rFonts w:ascii="Arial" w:hAnsi="Arial" w:cs="Arial"/>
                <w:sz w:val="22"/>
                <w:szCs w:val="22"/>
              </w:rPr>
              <w:t>staff</w:t>
            </w:r>
            <w:proofErr w:type="gramEnd"/>
            <w:r w:rsidRPr="009E33FB">
              <w:rPr>
                <w:rFonts w:ascii="Arial" w:hAnsi="Arial" w:cs="Arial"/>
                <w:sz w:val="22"/>
                <w:szCs w:val="22"/>
              </w:rPr>
              <w:t xml:space="preserve"> recommending Moorfields as a place to work</w:t>
            </w:r>
          </w:p>
        </w:tc>
        <w:tc>
          <w:tcPr>
            <w:tcW w:w="3394" w:type="dxa"/>
            <w:tcBorders>
              <w:top w:val="single" w:sz="4" w:space="0" w:color="auto"/>
              <w:left w:val="single" w:sz="4" w:space="0" w:color="auto"/>
              <w:bottom w:val="single" w:sz="4" w:space="0" w:color="auto"/>
              <w:right w:val="single" w:sz="4" w:space="0" w:color="auto"/>
            </w:tcBorders>
          </w:tcPr>
          <w:p w14:paraId="2CDA742A" w14:textId="77777777" w:rsidR="00791C1B" w:rsidRPr="009E33FB" w:rsidRDefault="00791C1B" w:rsidP="00FB6278">
            <w:pPr>
              <w:jc w:val="center"/>
              <w:rPr>
                <w:rFonts w:ascii="Arial" w:hAnsi="Arial" w:cs="Arial"/>
                <w:sz w:val="22"/>
                <w:szCs w:val="22"/>
              </w:rPr>
            </w:pPr>
            <w:r w:rsidRPr="009E33FB">
              <w:rPr>
                <w:rFonts w:ascii="Arial" w:hAnsi="Arial" w:cs="Arial"/>
                <w:sz w:val="22"/>
                <w:szCs w:val="22"/>
              </w:rPr>
              <w:t xml:space="preserve">63% </w:t>
            </w:r>
          </w:p>
          <w:p w14:paraId="53A72CEC" w14:textId="77777777" w:rsidR="00791C1B" w:rsidRPr="009E33FB" w:rsidRDefault="00791C1B" w:rsidP="00FB6278">
            <w:pPr>
              <w:jc w:val="center"/>
              <w:rPr>
                <w:rFonts w:ascii="Arial" w:hAnsi="Arial" w:cs="Arial"/>
                <w:sz w:val="22"/>
                <w:szCs w:val="22"/>
              </w:rPr>
            </w:pPr>
          </w:p>
          <w:p w14:paraId="4F734661" w14:textId="77777777" w:rsidR="00791C1B" w:rsidRPr="00BD44BB" w:rsidRDefault="00791C1B" w:rsidP="00FB6278">
            <w:pPr>
              <w:jc w:val="center"/>
              <w:rPr>
                <w:rFonts w:ascii="Arial" w:hAnsi="Arial"/>
                <w:sz w:val="22"/>
              </w:rPr>
            </w:pPr>
            <w:r w:rsidRPr="00BD44BB">
              <w:rPr>
                <w:rFonts w:ascii="Arial" w:hAnsi="Arial"/>
                <w:sz w:val="22"/>
              </w:rPr>
              <w:t xml:space="preserve">(Q21c) </w:t>
            </w:r>
          </w:p>
        </w:tc>
      </w:tr>
    </w:tbl>
    <w:p w14:paraId="3D1264D9" w14:textId="77777777" w:rsidR="00791C1B" w:rsidRPr="009E33FB" w:rsidRDefault="00791C1B" w:rsidP="00FB6278">
      <w:pPr>
        <w:rPr>
          <w:rFonts w:ascii="Arial" w:hAnsi="Arial" w:cs="Arial"/>
          <w:sz w:val="22"/>
          <w:szCs w:val="22"/>
        </w:rPr>
      </w:pPr>
    </w:p>
    <w:p w14:paraId="05B3B85F" w14:textId="77777777" w:rsidR="00791C1B" w:rsidRPr="009E33FB" w:rsidRDefault="00791C1B" w:rsidP="00FB6278">
      <w:pPr>
        <w:rPr>
          <w:rFonts w:ascii="Arial" w:hAnsi="Arial" w:cs="Arial"/>
          <w:sz w:val="22"/>
          <w:szCs w:val="22"/>
        </w:rPr>
      </w:pPr>
      <w:r w:rsidRPr="009E33FB">
        <w:rPr>
          <w:rFonts w:ascii="Arial" w:hAnsi="Arial" w:cs="Arial"/>
          <w:sz w:val="22"/>
          <w:szCs w:val="22"/>
        </w:rPr>
        <w:t>NB: The phrasing of the questions is as follows:</w:t>
      </w:r>
    </w:p>
    <w:p w14:paraId="5AB4B853" w14:textId="77777777" w:rsidR="00791C1B" w:rsidRPr="00BD44BB" w:rsidRDefault="00791C1B" w:rsidP="00FB6278">
      <w:pPr>
        <w:pStyle w:val="ListParagraph"/>
        <w:numPr>
          <w:ilvl w:val="0"/>
          <w:numId w:val="41"/>
        </w:numPr>
        <w:rPr>
          <w:rFonts w:ascii="Arial" w:hAnsi="Arial"/>
          <w:sz w:val="22"/>
        </w:rPr>
      </w:pPr>
      <w:r w:rsidRPr="009E33FB">
        <w:rPr>
          <w:rFonts w:ascii="Arial" w:hAnsi="Arial" w:cs="Arial"/>
          <w:sz w:val="22"/>
          <w:szCs w:val="22"/>
        </w:rPr>
        <w:t>Q21d - If a friend or relative needed treatment I would be happy with the standard of care provided by this organisation</w:t>
      </w:r>
    </w:p>
    <w:p w14:paraId="6210419C" w14:textId="77777777" w:rsidR="00791C1B" w:rsidRPr="00BD44BB" w:rsidRDefault="00791C1B" w:rsidP="00FB6278">
      <w:pPr>
        <w:pStyle w:val="ListParagraph"/>
        <w:numPr>
          <w:ilvl w:val="0"/>
          <w:numId w:val="41"/>
        </w:numPr>
        <w:rPr>
          <w:rFonts w:ascii="Arial" w:hAnsi="Arial"/>
          <w:sz w:val="22"/>
        </w:rPr>
      </w:pPr>
      <w:r w:rsidRPr="00BD44BB">
        <w:rPr>
          <w:rFonts w:ascii="Arial" w:hAnsi="Arial"/>
          <w:sz w:val="22"/>
        </w:rPr>
        <w:t>Q21c - I would recommend my organisation as a place to work</w:t>
      </w:r>
    </w:p>
    <w:p w14:paraId="24B1E85F" w14:textId="77777777" w:rsidR="00791C1B" w:rsidRPr="00BD44BB" w:rsidRDefault="00791C1B" w:rsidP="00FB6278">
      <w:pPr>
        <w:spacing w:after="160"/>
        <w:rPr>
          <w:rFonts w:ascii="Arial" w:hAnsi="Arial"/>
          <w:b/>
          <w:sz w:val="22"/>
        </w:rPr>
      </w:pPr>
      <w:r w:rsidRPr="00BD44BB">
        <w:rPr>
          <w:rFonts w:ascii="Arial" w:hAnsi="Arial"/>
          <w:b/>
          <w:sz w:val="22"/>
        </w:rPr>
        <w:br w:type="page"/>
      </w:r>
    </w:p>
    <w:p w14:paraId="582C512A" w14:textId="77777777" w:rsidR="00791C1B" w:rsidRPr="00BD44BB" w:rsidRDefault="00791C1B" w:rsidP="00FB6278">
      <w:pPr>
        <w:rPr>
          <w:rFonts w:ascii="Arial" w:hAnsi="Arial"/>
          <w:b/>
          <w:sz w:val="22"/>
        </w:rPr>
      </w:pPr>
    </w:p>
    <w:p w14:paraId="37328B21" w14:textId="77777777" w:rsidR="00791C1B" w:rsidRPr="00BD44BB" w:rsidRDefault="00791C1B" w:rsidP="00FB6278">
      <w:pPr>
        <w:rPr>
          <w:rFonts w:ascii="Arial" w:hAnsi="Arial"/>
          <w:b/>
          <w:sz w:val="22"/>
        </w:rPr>
      </w:pPr>
      <w:r w:rsidRPr="00BD44BB">
        <w:rPr>
          <w:rFonts w:ascii="Arial" w:hAnsi="Arial"/>
          <w:b/>
          <w:sz w:val="22"/>
        </w:rPr>
        <w:t xml:space="preserve">  Data for the period April 2021 – March 2022 </w:t>
      </w:r>
    </w:p>
    <w:tbl>
      <w:tblPr>
        <w:tblW w:w="8120" w:type="dxa"/>
        <w:tblInd w:w="93" w:type="dxa"/>
        <w:tblLook w:val="04A0" w:firstRow="1" w:lastRow="0" w:firstColumn="1" w:lastColumn="0" w:noHBand="0" w:noVBand="1"/>
      </w:tblPr>
      <w:tblGrid>
        <w:gridCol w:w="5820"/>
        <w:gridCol w:w="2300"/>
      </w:tblGrid>
      <w:tr w:rsidR="00791C1B" w:rsidRPr="009E33FB" w14:paraId="502F7B3B" w14:textId="77777777" w:rsidTr="005E0560">
        <w:trPr>
          <w:trHeight w:val="315"/>
        </w:trPr>
        <w:tc>
          <w:tcPr>
            <w:tcW w:w="5820" w:type="dxa"/>
            <w:tcBorders>
              <w:top w:val="nil"/>
              <w:left w:val="nil"/>
              <w:bottom w:val="nil"/>
              <w:right w:val="nil"/>
            </w:tcBorders>
            <w:shd w:val="clear" w:color="auto" w:fill="auto"/>
            <w:noWrap/>
            <w:vAlign w:val="center"/>
            <w:hideMark/>
          </w:tcPr>
          <w:p w14:paraId="6E2B7FAA" w14:textId="77777777" w:rsidR="00AA5801" w:rsidRDefault="00AA5801" w:rsidP="00FB6278">
            <w:pPr>
              <w:rPr>
                <w:rFonts w:ascii="Arial" w:hAnsi="Arial"/>
                <w:b/>
                <w:color w:val="000000"/>
                <w:sz w:val="22"/>
              </w:rPr>
            </w:pPr>
          </w:p>
          <w:p w14:paraId="291046C8" w14:textId="126CACBD" w:rsidR="00791C1B" w:rsidRPr="00952C33" w:rsidRDefault="00791C1B" w:rsidP="00FB6278">
            <w:pPr>
              <w:rPr>
                <w:rFonts w:ascii="Arial" w:hAnsi="Arial"/>
                <w:b/>
                <w:color w:val="000000"/>
                <w:sz w:val="22"/>
              </w:rPr>
            </w:pPr>
            <w:r w:rsidRPr="00952C33">
              <w:rPr>
                <w:rFonts w:ascii="Arial" w:hAnsi="Arial"/>
                <w:b/>
                <w:color w:val="000000"/>
                <w:sz w:val="22"/>
              </w:rPr>
              <w:t>Relevant union officials</w:t>
            </w:r>
          </w:p>
        </w:tc>
        <w:tc>
          <w:tcPr>
            <w:tcW w:w="2300" w:type="dxa"/>
            <w:tcBorders>
              <w:top w:val="nil"/>
              <w:left w:val="nil"/>
              <w:bottom w:val="nil"/>
              <w:right w:val="nil"/>
            </w:tcBorders>
            <w:shd w:val="clear" w:color="auto" w:fill="auto"/>
            <w:noWrap/>
            <w:vAlign w:val="bottom"/>
            <w:hideMark/>
          </w:tcPr>
          <w:p w14:paraId="70783FAB" w14:textId="77777777" w:rsidR="00791C1B" w:rsidRPr="00952C33" w:rsidRDefault="00791C1B" w:rsidP="00FB6278">
            <w:pPr>
              <w:rPr>
                <w:rFonts w:ascii="Arial" w:hAnsi="Arial"/>
                <w:color w:val="000000"/>
                <w:sz w:val="22"/>
              </w:rPr>
            </w:pPr>
          </w:p>
        </w:tc>
      </w:tr>
      <w:tr w:rsidR="00791C1B" w:rsidRPr="009E33FB" w14:paraId="31313837" w14:textId="77777777" w:rsidTr="005E0560">
        <w:trPr>
          <w:trHeight w:val="570"/>
        </w:trPr>
        <w:tc>
          <w:tcPr>
            <w:tcW w:w="58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9766DE" w14:textId="77777777" w:rsidR="00791C1B" w:rsidRPr="00DA33AB" w:rsidRDefault="00791C1B" w:rsidP="00FB6278">
            <w:pPr>
              <w:rPr>
                <w:rFonts w:ascii="Arial" w:eastAsia="Times New Roman" w:hAnsi="Arial" w:cs="Arial"/>
                <w:b/>
                <w:bCs/>
                <w:color w:val="000000"/>
                <w:sz w:val="22"/>
                <w:szCs w:val="22"/>
                <w:lang w:eastAsia="en-GB"/>
              </w:rPr>
            </w:pPr>
            <w:r w:rsidRPr="00DA33AB">
              <w:rPr>
                <w:rFonts w:ascii="Arial" w:eastAsia="Times New Roman" w:hAnsi="Arial" w:cs="Arial"/>
                <w:b/>
                <w:bCs/>
                <w:color w:val="000000"/>
                <w:sz w:val="22"/>
                <w:szCs w:val="22"/>
                <w:lang w:eastAsia="en-GB"/>
              </w:rPr>
              <w:t>Number of employees who were relevant union officials during the relevant period</w:t>
            </w:r>
          </w:p>
        </w:tc>
        <w:tc>
          <w:tcPr>
            <w:tcW w:w="2300" w:type="dxa"/>
            <w:tcBorders>
              <w:top w:val="single" w:sz="8" w:space="0" w:color="auto"/>
              <w:left w:val="nil"/>
              <w:bottom w:val="single" w:sz="8" w:space="0" w:color="auto"/>
              <w:right w:val="single" w:sz="8" w:space="0" w:color="auto"/>
            </w:tcBorders>
            <w:shd w:val="clear" w:color="auto" w:fill="auto"/>
            <w:vAlign w:val="center"/>
            <w:hideMark/>
          </w:tcPr>
          <w:p w14:paraId="735223B8" w14:textId="77777777" w:rsidR="00791C1B" w:rsidRPr="00DA33AB" w:rsidRDefault="00791C1B" w:rsidP="00FB6278">
            <w:pPr>
              <w:rPr>
                <w:rFonts w:ascii="Arial" w:eastAsia="Times New Roman" w:hAnsi="Arial" w:cs="Arial"/>
                <w:b/>
                <w:bCs/>
                <w:color w:val="000000"/>
                <w:sz w:val="22"/>
                <w:szCs w:val="22"/>
                <w:lang w:eastAsia="en-GB"/>
              </w:rPr>
            </w:pPr>
            <w:r w:rsidRPr="00DA33AB">
              <w:rPr>
                <w:rFonts w:ascii="Arial" w:eastAsia="Times New Roman" w:hAnsi="Arial" w:cs="Arial"/>
                <w:b/>
                <w:bCs/>
                <w:color w:val="000000"/>
                <w:sz w:val="22"/>
                <w:szCs w:val="22"/>
                <w:lang w:eastAsia="en-GB"/>
              </w:rPr>
              <w:t>Full-time equivalent employee number</w:t>
            </w:r>
          </w:p>
        </w:tc>
      </w:tr>
      <w:tr w:rsidR="00791C1B" w:rsidRPr="009E33FB" w14:paraId="4334E778" w14:textId="77777777" w:rsidTr="005E0560">
        <w:trPr>
          <w:trHeight w:val="300"/>
        </w:trPr>
        <w:tc>
          <w:tcPr>
            <w:tcW w:w="5820" w:type="dxa"/>
            <w:tcBorders>
              <w:top w:val="nil"/>
              <w:left w:val="single" w:sz="8" w:space="0" w:color="auto"/>
              <w:bottom w:val="single" w:sz="8" w:space="0" w:color="auto"/>
              <w:right w:val="single" w:sz="8" w:space="0" w:color="auto"/>
            </w:tcBorders>
            <w:shd w:val="clear" w:color="auto" w:fill="auto"/>
            <w:noWrap/>
            <w:vAlign w:val="center"/>
            <w:hideMark/>
          </w:tcPr>
          <w:p w14:paraId="48465EE3" w14:textId="77777777" w:rsidR="00791C1B" w:rsidRPr="009E33FB" w:rsidRDefault="00791C1B" w:rsidP="00FB6278">
            <w:pPr>
              <w:jc w:val="cente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 </w:t>
            </w:r>
          </w:p>
        </w:tc>
        <w:tc>
          <w:tcPr>
            <w:tcW w:w="2300" w:type="dxa"/>
            <w:tcBorders>
              <w:top w:val="nil"/>
              <w:left w:val="nil"/>
              <w:bottom w:val="single" w:sz="8" w:space="0" w:color="auto"/>
              <w:right w:val="single" w:sz="8" w:space="0" w:color="auto"/>
            </w:tcBorders>
            <w:shd w:val="clear" w:color="auto" w:fill="auto"/>
            <w:noWrap/>
            <w:vAlign w:val="center"/>
            <w:hideMark/>
          </w:tcPr>
          <w:p w14:paraId="4EB2FA30" w14:textId="77777777" w:rsidR="00791C1B" w:rsidRPr="009E33FB" w:rsidRDefault="00791C1B" w:rsidP="00FB6278">
            <w:pPr>
              <w:jc w:val="cente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9.95</w:t>
            </w:r>
          </w:p>
        </w:tc>
      </w:tr>
      <w:tr w:rsidR="00791C1B" w:rsidRPr="009E33FB" w14:paraId="6924A190" w14:textId="77777777" w:rsidTr="005E0560">
        <w:trPr>
          <w:trHeight w:val="300"/>
        </w:trPr>
        <w:tc>
          <w:tcPr>
            <w:tcW w:w="5820" w:type="dxa"/>
            <w:tcBorders>
              <w:top w:val="nil"/>
              <w:left w:val="nil"/>
              <w:bottom w:val="nil"/>
              <w:right w:val="nil"/>
            </w:tcBorders>
            <w:shd w:val="clear" w:color="auto" w:fill="auto"/>
            <w:noWrap/>
            <w:vAlign w:val="center"/>
            <w:hideMark/>
          </w:tcPr>
          <w:p w14:paraId="5FA0ACE0" w14:textId="77777777" w:rsidR="00791C1B" w:rsidRPr="009E33FB" w:rsidRDefault="00791C1B" w:rsidP="00FB6278">
            <w:pPr>
              <w:rPr>
                <w:rFonts w:ascii="Arial" w:eastAsia="Times New Roman" w:hAnsi="Arial" w:cs="Arial"/>
                <w:b/>
                <w:bCs/>
                <w:color w:val="000000"/>
                <w:sz w:val="22"/>
                <w:szCs w:val="22"/>
                <w:lang w:eastAsia="en-GB"/>
              </w:rPr>
            </w:pPr>
          </w:p>
        </w:tc>
        <w:tc>
          <w:tcPr>
            <w:tcW w:w="2300" w:type="dxa"/>
            <w:vMerge w:val="restart"/>
            <w:tcBorders>
              <w:top w:val="nil"/>
              <w:left w:val="nil"/>
              <w:bottom w:val="single" w:sz="8" w:space="0" w:color="000000"/>
              <w:right w:val="nil"/>
            </w:tcBorders>
            <w:shd w:val="clear" w:color="auto" w:fill="auto"/>
            <w:noWrap/>
            <w:vAlign w:val="bottom"/>
            <w:hideMark/>
          </w:tcPr>
          <w:p w14:paraId="3214F5C0" w14:textId="77777777" w:rsidR="00791C1B" w:rsidRPr="009E33FB" w:rsidRDefault="00791C1B" w:rsidP="00FB6278">
            <w:pP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 </w:t>
            </w:r>
          </w:p>
        </w:tc>
      </w:tr>
      <w:tr w:rsidR="00791C1B" w:rsidRPr="009E33FB" w14:paraId="1CAF6930" w14:textId="77777777" w:rsidTr="005E0560">
        <w:trPr>
          <w:trHeight w:val="315"/>
        </w:trPr>
        <w:tc>
          <w:tcPr>
            <w:tcW w:w="5820" w:type="dxa"/>
            <w:tcBorders>
              <w:top w:val="nil"/>
              <w:left w:val="nil"/>
              <w:bottom w:val="nil"/>
              <w:right w:val="nil"/>
            </w:tcBorders>
            <w:shd w:val="clear" w:color="auto" w:fill="auto"/>
            <w:noWrap/>
            <w:vAlign w:val="center"/>
            <w:hideMark/>
          </w:tcPr>
          <w:p w14:paraId="3D56F0D9" w14:textId="36DDF430" w:rsidR="00791C1B" w:rsidRPr="009E33FB" w:rsidRDefault="00791C1B" w:rsidP="00FB6278">
            <w:pPr>
              <w:rPr>
                <w:rFonts w:ascii="Arial" w:eastAsia="Times New Roman" w:hAnsi="Arial" w:cs="Arial"/>
                <w:b/>
                <w:bCs/>
                <w:color w:val="000000"/>
                <w:sz w:val="22"/>
                <w:szCs w:val="22"/>
                <w:lang w:eastAsia="en-GB"/>
              </w:rPr>
            </w:pPr>
            <w:r w:rsidRPr="009E33FB">
              <w:rPr>
                <w:rFonts w:ascii="Arial" w:eastAsia="Times New Roman" w:hAnsi="Arial" w:cs="Arial"/>
                <w:b/>
                <w:bCs/>
                <w:color w:val="000000"/>
                <w:sz w:val="22"/>
                <w:szCs w:val="22"/>
                <w:lang w:eastAsia="en-GB"/>
              </w:rPr>
              <w:t>Percentage of time spent on facility time</w:t>
            </w:r>
          </w:p>
        </w:tc>
        <w:tc>
          <w:tcPr>
            <w:tcW w:w="2300" w:type="dxa"/>
            <w:vMerge/>
            <w:tcBorders>
              <w:top w:val="nil"/>
              <w:left w:val="nil"/>
              <w:bottom w:val="single" w:sz="8" w:space="0" w:color="000000"/>
              <w:right w:val="nil"/>
            </w:tcBorders>
            <w:vAlign w:val="center"/>
            <w:hideMark/>
          </w:tcPr>
          <w:p w14:paraId="4B627F03" w14:textId="77777777" w:rsidR="00791C1B" w:rsidRPr="00952C33" w:rsidRDefault="00791C1B" w:rsidP="00FB6278">
            <w:pPr>
              <w:rPr>
                <w:rFonts w:ascii="Arial" w:hAnsi="Arial"/>
                <w:color w:val="000000"/>
                <w:sz w:val="22"/>
              </w:rPr>
            </w:pPr>
          </w:p>
        </w:tc>
      </w:tr>
      <w:tr w:rsidR="00791C1B" w:rsidRPr="009E33FB" w14:paraId="35622900" w14:textId="77777777" w:rsidTr="005E0560">
        <w:trPr>
          <w:trHeight w:val="300"/>
        </w:trPr>
        <w:tc>
          <w:tcPr>
            <w:tcW w:w="58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631AC6" w14:textId="77777777" w:rsidR="00791C1B" w:rsidRPr="00DA33AB" w:rsidRDefault="00791C1B" w:rsidP="00FB6278">
            <w:pPr>
              <w:rPr>
                <w:rFonts w:ascii="Arial" w:eastAsia="Times New Roman" w:hAnsi="Arial" w:cs="Arial"/>
                <w:b/>
                <w:bCs/>
                <w:color w:val="000000"/>
                <w:sz w:val="22"/>
                <w:szCs w:val="22"/>
                <w:lang w:eastAsia="en-GB"/>
              </w:rPr>
            </w:pPr>
            <w:r w:rsidRPr="00DA33AB">
              <w:rPr>
                <w:rFonts w:ascii="Arial" w:eastAsia="Times New Roman" w:hAnsi="Arial" w:cs="Arial"/>
                <w:b/>
                <w:bCs/>
                <w:color w:val="000000"/>
                <w:sz w:val="22"/>
                <w:szCs w:val="22"/>
                <w:lang w:eastAsia="en-GB"/>
              </w:rPr>
              <w:t>Percentage of time</w:t>
            </w:r>
          </w:p>
        </w:tc>
        <w:tc>
          <w:tcPr>
            <w:tcW w:w="2300" w:type="dxa"/>
            <w:tcBorders>
              <w:top w:val="nil"/>
              <w:left w:val="nil"/>
              <w:bottom w:val="single" w:sz="8" w:space="0" w:color="auto"/>
              <w:right w:val="single" w:sz="8" w:space="0" w:color="auto"/>
            </w:tcBorders>
            <w:shd w:val="clear" w:color="auto" w:fill="auto"/>
            <w:noWrap/>
            <w:vAlign w:val="center"/>
            <w:hideMark/>
          </w:tcPr>
          <w:p w14:paraId="4506EA95" w14:textId="77777777" w:rsidR="00791C1B" w:rsidRPr="00DA33AB" w:rsidRDefault="00791C1B" w:rsidP="00FB6278">
            <w:pPr>
              <w:rPr>
                <w:rFonts w:ascii="Arial" w:eastAsia="Times New Roman" w:hAnsi="Arial" w:cs="Arial"/>
                <w:b/>
                <w:bCs/>
                <w:color w:val="000000"/>
                <w:sz w:val="22"/>
                <w:szCs w:val="22"/>
                <w:lang w:eastAsia="en-GB"/>
              </w:rPr>
            </w:pPr>
            <w:r w:rsidRPr="00DA33AB">
              <w:rPr>
                <w:rFonts w:ascii="Arial" w:eastAsia="Times New Roman" w:hAnsi="Arial" w:cs="Arial"/>
                <w:b/>
                <w:bCs/>
                <w:color w:val="000000"/>
                <w:sz w:val="22"/>
                <w:szCs w:val="22"/>
                <w:lang w:eastAsia="en-GB"/>
              </w:rPr>
              <w:t>Number of employees</w:t>
            </w:r>
          </w:p>
        </w:tc>
      </w:tr>
      <w:tr w:rsidR="00791C1B" w:rsidRPr="009E33FB" w14:paraId="0D40C897" w14:textId="77777777" w:rsidTr="005E0560">
        <w:trPr>
          <w:trHeight w:val="300"/>
        </w:trPr>
        <w:tc>
          <w:tcPr>
            <w:tcW w:w="5820" w:type="dxa"/>
            <w:tcBorders>
              <w:top w:val="nil"/>
              <w:left w:val="single" w:sz="8" w:space="0" w:color="auto"/>
              <w:bottom w:val="single" w:sz="8" w:space="0" w:color="auto"/>
              <w:right w:val="single" w:sz="8" w:space="0" w:color="auto"/>
            </w:tcBorders>
            <w:shd w:val="clear" w:color="auto" w:fill="auto"/>
            <w:noWrap/>
            <w:vAlign w:val="center"/>
            <w:hideMark/>
          </w:tcPr>
          <w:p w14:paraId="11CBBACC" w14:textId="77777777" w:rsidR="00791C1B" w:rsidRPr="009E33FB" w:rsidRDefault="00791C1B" w:rsidP="00FB6278">
            <w:pP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0%</w:t>
            </w:r>
          </w:p>
        </w:tc>
        <w:tc>
          <w:tcPr>
            <w:tcW w:w="2300" w:type="dxa"/>
            <w:tcBorders>
              <w:top w:val="nil"/>
              <w:left w:val="nil"/>
              <w:bottom w:val="single" w:sz="8" w:space="0" w:color="auto"/>
              <w:right w:val="single" w:sz="8" w:space="0" w:color="auto"/>
            </w:tcBorders>
            <w:shd w:val="clear" w:color="auto" w:fill="auto"/>
            <w:noWrap/>
            <w:vAlign w:val="center"/>
          </w:tcPr>
          <w:p w14:paraId="4FC9D6C3" w14:textId="77777777" w:rsidR="00791C1B" w:rsidRPr="009E33FB" w:rsidRDefault="00791C1B" w:rsidP="00FB6278">
            <w:pPr>
              <w:jc w:val="cente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0</w:t>
            </w:r>
          </w:p>
        </w:tc>
      </w:tr>
      <w:tr w:rsidR="00791C1B" w:rsidRPr="009E33FB" w14:paraId="7EB16919" w14:textId="77777777" w:rsidTr="005E0560">
        <w:trPr>
          <w:trHeight w:val="300"/>
        </w:trPr>
        <w:tc>
          <w:tcPr>
            <w:tcW w:w="5820" w:type="dxa"/>
            <w:tcBorders>
              <w:top w:val="nil"/>
              <w:left w:val="single" w:sz="8" w:space="0" w:color="auto"/>
              <w:bottom w:val="single" w:sz="8" w:space="0" w:color="auto"/>
              <w:right w:val="single" w:sz="8" w:space="0" w:color="auto"/>
            </w:tcBorders>
            <w:shd w:val="clear" w:color="auto" w:fill="auto"/>
            <w:noWrap/>
            <w:vAlign w:val="center"/>
            <w:hideMark/>
          </w:tcPr>
          <w:p w14:paraId="095C02DB" w14:textId="77777777" w:rsidR="00791C1B" w:rsidRPr="009E33FB" w:rsidRDefault="00791C1B" w:rsidP="00FB6278">
            <w:pP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1-50%</w:t>
            </w:r>
          </w:p>
        </w:tc>
        <w:tc>
          <w:tcPr>
            <w:tcW w:w="2300" w:type="dxa"/>
            <w:tcBorders>
              <w:top w:val="nil"/>
              <w:left w:val="nil"/>
              <w:bottom w:val="single" w:sz="8" w:space="0" w:color="auto"/>
              <w:right w:val="single" w:sz="8" w:space="0" w:color="auto"/>
            </w:tcBorders>
            <w:shd w:val="clear" w:color="auto" w:fill="auto"/>
            <w:noWrap/>
            <w:vAlign w:val="center"/>
          </w:tcPr>
          <w:p w14:paraId="29E62F4D" w14:textId="77777777" w:rsidR="00791C1B" w:rsidRPr="009E33FB" w:rsidRDefault="00791C1B" w:rsidP="00FB6278">
            <w:pPr>
              <w:jc w:val="cente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11</w:t>
            </w:r>
          </w:p>
        </w:tc>
      </w:tr>
      <w:tr w:rsidR="00791C1B" w:rsidRPr="009E33FB" w14:paraId="465C9880" w14:textId="77777777" w:rsidTr="005E0560">
        <w:trPr>
          <w:trHeight w:val="300"/>
        </w:trPr>
        <w:tc>
          <w:tcPr>
            <w:tcW w:w="5820" w:type="dxa"/>
            <w:tcBorders>
              <w:top w:val="nil"/>
              <w:left w:val="nil"/>
              <w:bottom w:val="nil"/>
              <w:right w:val="nil"/>
            </w:tcBorders>
            <w:shd w:val="clear" w:color="auto" w:fill="auto"/>
            <w:noWrap/>
            <w:vAlign w:val="center"/>
            <w:hideMark/>
          </w:tcPr>
          <w:p w14:paraId="7719D2E6" w14:textId="77777777" w:rsidR="00791C1B" w:rsidRPr="009E33FB" w:rsidRDefault="00791C1B" w:rsidP="00FB6278">
            <w:pPr>
              <w:rPr>
                <w:rFonts w:ascii="Arial" w:eastAsia="Times New Roman" w:hAnsi="Arial" w:cs="Arial"/>
                <w:b/>
                <w:bCs/>
                <w:color w:val="000000"/>
                <w:sz w:val="22"/>
                <w:szCs w:val="22"/>
                <w:lang w:eastAsia="en-GB"/>
              </w:rPr>
            </w:pPr>
          </w:p>
        </w:tc>
        <w:tc>
          <w:tcPr>
            <w:tcW w:w="2300" w:type="dxa"/>
            <w:vMerge w:val="restart"/>
            <w:tcBorders>
              <w:top w:val="nil"/>
              <w:left w:val="nil"/>
              <w:bottom w:val="single" w:sz="8" w:space="0" w:color="000000"/>
              <w:right w:val="nil"/>
            </w:tcBorders>
            <w:shd w:val="clear" w:color="auto" w:fill="auto"/>
            <w:noWrap/>
            <w:vAlign w:val="bottom"/>
            <w:hideMark/>
          </w:tcPr>
          <w:p w14:paraId="34BCB445" w14:textId="77777777" w:rsidR="00791C1B" w:rsidRPr="009E33FB" w:rsidRDefault="00791C1B" w:rsidP="00FB6278">
            <w:pP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 </w:t>
            </w:r>
          </w:p>
        </w:tc>
      </w:tr>
      <w:tr w:rsidR="00791C1B" w:rsidRPr="009E33FB" w14:paraId="43D86DDD" w14:textId="77777777" w:rsidTr="005E0560">
        <w:trPr>
          <w:trHeight w:val="315"/>
        </w:trPr>
        <w:tc>
          <w:tcPr>
            <w:tcW w:w="5820" w:type="dxa"/>
            <w:tcBorders>
              <w:top w:val="nil"/>
              <w:left w:val="nil"/>
              <w:bottom w:val="nil"/>
              <w:right w:val="nil"/>
            </w:tcBorders>
            <w:shd w:val="clear" w:color="auto" w:fill="auto"/>
            <w:noWrap/>
            <w:vAlign w:val="center"/>
            <w:hideMark/>
          </w:tcPr>
          <w:p w14:paraId="695353BE" w14:textId="7BEDAD66" w:rsidR="00791C1B" w:rsidRPr="009E33FB" w:rsidRDefault="00791C1B" w:rsidP="00FB6278">
            <w:pPr>
              <w:rPr>
                <w:rFonts w:ascii="Arial" w:eastAsia="Times New Roman" w:hAnsi="Arial" w:cs="Arial"/>
                <w:b/>
                <w:bCs/>
                <w:color w:val="000000"/>
                <w:sz w:val="22"/>
                <w:szCs w:val="22"/>
                <w:lang w:eastAsia="en-GB"/>
              </w:rPr>
            </w:pPr>
            <w:r w:rsidRPr="009E33FB">
              <w:rPr>
                <w:rFonts w:ascii="Arial" w:eastAsia="Times New Roman" w:hAnsi="Arial" w:cs="Arial"/>
                <w:b/>
                <w:bCs/>
                <w:color w:val="000000"/>
                <w:sz w:val="22"/>
                <w:szCs w:val="22"/>
                <w:lang w:eastAsia="en-GB"/>
              </w:rPr>
              <w:t>Percentage of pay bill spent on facility time</w:t>
            </w:r>
          </w:p>
        </w:tc>
        <w:tc>
          <w:tcPr>
            <w:tcW w:w="2300" w:type="dxa"/>
            <w:vMerge/>
            <w:tcBorders>
              <w:top w:val="nil"/>
              <w:left w:val="nil"/>
              <w:bottom w:val="single" w:sz="8" w:space="0" w:color="000000"/>
              <w:right w:val="nil"/>
            </w:tcBorders>
            <w:vAlign w:val="center"/>
            <w:hideMark/>
          </w:tcPr>
          <w:p w14:paraId="3CC099C8" w14:textId="77777777" w:rsidR="00791C1B" w:rsidRPr="00952C33" w:rsidRDefault="00791C1B" w:rsidP="00FB6278">
            <w:pPr>
              <w:rPr>
                <w:rFonts w:ascii="Arial" w:hAnsi="Arial"/>
                <w:color w:val="000000"/>
                <w:sz w:val="22"/>
              </w:rPr>
            </w:pPr>
          </w:p>
        </w:tc>
      </w:tr>
      <w:tr w:rsidR="00791C1B" w:rsidRPr="009E33FB" w14:paraId="14461A52" w14:textId="77777777" w:rsidTr="005E0560">
        <w:trPr>
          <w:trHeight w:val="315"/>
        </w:trPr>
        <w:tc>
          <w:tcPr>
            <w:tcW w:w="58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FB99D0" w14:textId="77777777" w:rsidR="00791C1B" w:rsidRPr="009E33FB" w:rsidRDefault="00791C1B" w:rsidP="00FB6278">
            <w:pPr>
              <w:rPr>
                <w:rFonts w:ascii="Arial" w:eastAsia="Times New Roman" w:hAnsi="Arial" w:cs="Arial"/>
                <w:i/>
                <w:iCs/>
                <w:color w:val="000000"/>
                <w:sz w:val="22"/>
                <w:szCs w:val="22"/>
                <w:lang w:eastAsia="en-GB"/>
              </w:rPr>
            </w:pPr>
            <w:r w:rsidRPr="009E33FB">
              <w:rPr>
                <w:rFonts w:ascii="Arial" w:eastAsia="Times New Roman" w:hAnsi="Arial" w:cs="Arial"/>
                <w:i/>
                <w:iCs/>
                <w:color w:val="000000"/>
                <w:sz w:val="22"/>
                <w:szCs w:val="22"/>
                <w:lang w:eastAsia="en-GB"/>
              </w:rPr>
              <w:t> </w:t>
            </w:r>
          </w:p>
        </w:tc>
        <w:tc>
          <w:tcPr>
            <w:tcW w:w="2300" w:type="dxa"/>
            <w:tcBorders>
              <w:top w:val="nil"/>
              <w:left w:val="nil"/>
              <w:bottom w:val="single" w:sz="8" w:space="0" w:color="auto"/>
              <w:right w:val="single" w:sz="8" w:space="0" w:color="auto"/>
            </w:tcBorders>
            <w:shd w:val="clear" w:color="auto" w:fill="auto"/>
            <w:noWrap/>
            <w:vAlign w:val="center"/>
            <w:hideMark/>
          </w:tcPr>
          <w:p w14:paraId="2F48BB4C" w14:textId="77777777" w:rsidR="00791C1B" w:rsidRPr="009E33FB" w:rsidRDefault="00791C1B" w:rsidP="00FB6278">
            <w:pPr>
              <w:jc w:val="center"/>
              <w:rPr>
                <w:rFonts w:ascii="Arial" w:eastAsia="Times New Roman" w:hAnsi="Arial" w:cs="Arial"/>
                <w:i/>
                <w:iCs/>
                <w:color w:val="000000"/>
                <w:sz w:val="22"/>
                <w:szCs w:val="22"/>
                <w:lang w:eastAsia="en-GB"/>
              </w:rPr>
            </w:pPr>
            <w:r w:rsidRPr="009E33FB">
              <w:rPr>
                <w:rFonts w:ascii="Arial" w:eastAsia="Times New Roman" w:hAnsi="Arial" w:cs="Arial"/>
                <w:i/>
                <w:iCs/>
                <w:color w:val="000000"/>
                <w:sz w:val="22"/>
                <w:szCs w:val="22"/>
                <w:lang w:eastAsia="en-GB"/>
              </w:rPr>
              <w:t>£</w:t>
            </w:r>
          </w:p>
        </w:tc>
      </w:tr>
      <w:tr w:rsidR="00791C1B" w:rsidRPr="009E33FB" w14:paraId="76EB20C6" w14:textId="77777777" w:rsidTr="005E0560">
        <w:trPr>
          <w:trHeight w:val="300"/>
        </w:trPr>
        <w:tc>
          <w:tcPr>
            <w:tcW w:w="5820" w:type="dxa"/>
            <w:tcBorders>
              <w:top w:val="nil"/>
              <w:left w:val="single" w:sz="8" w:space="0" w:color="auto"/>
              <w:bottom w:val="single" w:sz="8" w:space="0" w:color="auto"/>
              <w:right w:val="single" w:sz="8" w:space="0" w:color="auto"/>
            </w:tcBorders>
            <w:shd w:val="clear" w:color="auto" w:fill="auto"/>
            <w:noWrap/>
            <w:vAlign w:val="center"/>
            <w:hideMark/>
          </w:tcPr>
          <w:p w14:paraId="606C68BF" w14:textId="77777777" w:rsidR="00791C1B" w:rsidRPr="009E33FB" w:rsidRDefault="00791C1B" w:rsidP="00FB6278">
            <w:pP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Provide the total cost of facility time</w:t>
            </w:r>
          </w:p>
        </w:tc>
        <w:tc>
          <w:tcPr>
            <w:tcW w:w="2300" w:type="dxa"/>
            <w:tcBorders>
              <w:top w:val="nil"/>
              <w:left w:val="nil"/>
              <w:bottom w:val="single" w:sz="8" w:space="0" w:color="auto"/>
              <w:right w:val="single" w:sz="8" w:space="0" w:color="auto"/>
            </w:tcBorders>
            <w:shd w:val="clear" w:color="auto" w:fill="auto"/>
            <w:noWrap/>
            <w:vAlign w:val="center"/>
          </w:tcPr>
          <w:p w14:paraId="39FB40A1" w14:textId="77777777" w:rsidR="00791C1B" w:rsidRPr="009E33FB" w:rsidRDefault="00791C1B" w:rsidP="00FB6278">
            <w:pPr>
              <w:jc w:val="cente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64,626</w:t>
            </w:r>
          </w:p>
        </w:tc>
      </w:tr>
      <w:tr w:rsidR="00791C1B" w:rsidRPr="009E33FB" w14:paraId="0CEF09F9" w14:textId="77777777" w:rsidTr="005E0560">
        <w:trPr>
          <w:trHeight w:val="852"/>
        </w:trPr>
        <w:tc>
          <w:tcPr>
            <w:tcW w:w="5820" w:type="dxa"/>
            <w:tcBorders>
              <w:top w:val="nil"/>
              <w:left w:val="single" w:sz="8" w:space="0" w:color="auto"/>
              <w:bottom w:val="single" w:sz="8" w:space="0" w:color="auto"/>
              <w:right w:val="single" w:sz="8" w:space="0" w:color="auto"/>
            </w:tcBorders>
            <w:shd w:val="clear" w:color="auto" w:fill="auto"/>
            <w:vAlign w:val="center"/>
            <w:hideMark/>
          </w:tcPr>
          <w:p w14:paraId="3555464A" w14:textId="77777777" w:rsidR="00791C1B" w:rsidRPr="009E33FB" w:rsidRDefault="00791C1B" w:rsidP="00FB6278">
            <w:pP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Provide the total pay bill</w:t>
            </w:r>
          </w:p>
        </w:tc>
        <w:tc>
          <w:tcPr>
            <w:tcW w:w="2300" w:type="dxa"/>
            <w:tcBorders>
              <w:top w:val="nil"/>
              <w:left w:val="nil"/>
              <w:bottom w:val="single" w:sz="8" w:space="0" w:color="auto"/>
              <w:right w:val="single" w:sz="8" w:space="0" w:color="auto"/>
            </w:tcBorders>
            <w:shd w:val="clear" w:color="auto" w:fill="auto"/>
            <w:noWrap/>
            <w:vAlign w:val="center"/>
          </w:tcPr>
          <w:p w14:paraId="23765030" w14:textId="77777777" w:rsidR="00791C1B" w:rsidRPr="009E33FB" w:rsidRDefault="00791C1B" w:rsidP="00FB6278">
            <w:pPr>
              <w:jc w:val="cente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508,634</w:t>
            </w:r>
          </w:p>
        </w:tc>
      </w:tr>
      <w:tr w:rsidR="00791C1B" w:rsidRPr="009E33FB" w14:paraId="39D0DD26" w14:textId="77777777" w:rsidTr="005E0560">
        <w:trPr>
          <w:trHeight w:val="570"/>
        </w:trPr>
        <w:tc>
          <w:tcPr>
            <w:tcW w:w="5820" w:type="dxa"/>
            <w:tcBorders>
              <w:top w:val="nil"/>
              <w:left w:val="single" w:sz="8" w:space="0" w:color="auto"/>
              <w:bottom w:val="nil"/>
              <w:right w:val="single" w:sz="8" w:space="0" w:color="auto"/>
            </w:tcBorders>
            <w:shd w:val="clear" w:color="auto" w:fill="auto"/>
            <w:vAlign w:val="center"/>
            <w:hideMark/>
          </w:tcPr>
          <w:p w14:paraId="495E4257" w14:textId="77777777" w:rsidR="00791C1B" w:rsidRPr="009E33FB" w:rsidRDefault="00791C1B" w:rsidP="00FB6278">
            <w:pP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Provide the percentage of the total pay bill spent on facility time, calculated as:</w:t>
            </w:r>
          </w:p>
        </w:tc>
        <w:tc>
          <w:tcPr>
            <w:tcW w:w="2300" w:type="dxa"/>
            <w:vMerge w:val="restart"/>
            <w:tcBorders>
              <w:top w:val="nil"/>
              <w:left w:val="single" w:sz="8" w:space="0" w:color="auto"/>
              <w:bottom w:val="single" w:sz="8" w:space="0" w:color="000000"/>
              <w:right w:val="single" w:sz="8" w:space="0" w:color="auto"/>
            </w:tcBorders>
            <w:shd w:val="clear" w:color="auto" w:fill="auto"/>
            <w:noWrap/>
            <w:vAlign w:val="center"/>
          </w:tcPr>
          <w:p w14:paraId="4023D5E1" w14:textId="77777777" w:rsidR="00791C1B" w:rsidRPr="009E33FB" w:rsidRDefault="00791C1B" w:rsidP="00FB6278">
            <w:pPr>
              <w:jc w:val="cente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12.71%</w:t>
            </w:r>
          </w:p>
        </w:tc>
      </w:tr>
      <w:tr w:rsidR="00791C1B" w:rsidRPr="009E33FB" w14:paraId="657FFE7F" w14:textId="77777777" w:rsidTr="005E0560">
        <w:trPr>
          <w:trHeight w:val="315"/>
        </w:trPr>
        <w:tc>
          <w:tcPr>
            <w:tcW w:w="5820" w:type="dxa"/>
            <w:tcBorders>
              <w:top w:val="nil"/>
              <w:left w:val="single" w:sz="8" w:space="0" w:color="auto"/>
              <w:bottom w:val="single" w:sz="8" w:space="0" w:color="auto"/>
              <w:right w:val="single" w:sz="8" w:space="0" w:color="auto"/>
            </w:tcBorders>
            <w:shd w:val="clear" w:color="auto" w:fill="auto"/>
            <w:vAlign w:val="center"/>
            <w:hideMark/>
          </w:tcPr>
          <w:p w14:paraId="1CC0CE6D" w14:textId="77777777" w:rsidR="00791C1B" w:rsidRPr="009E33FB" w:rsidRDefault="00791C1B" w:rsidP="00FB6278">
            <w:pP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w:t>
            </w:r>
            <w:proofErr w:type="gramStart"/>
            <w:r w:rsidRPr="009E33FB">
              <w:rPr>
                <w:rFonts w:ascii="Arial" w:eastAsia="Times New Roman" w:hAnsi="Arial" w:cs="Arial"/>
                <w:color w:val="000000"/>
                <w:sz w:val="22"/>
                <w:szCs w:val="22"/>
                <w:lang w:eastAsia="en-GB"/>
              </w:rPr>
              <w:t>total</w:t>
            </w:r>
            <w:proofErr w:type="gramEnd"/>
            <w:r w:rsidRPr="009E33FB">
              <w:rPr>
                <w:rFonts w:ascii="Arial" w:eastAsia="Times New Roman" w:hAnsi="Arial" w:cs="Arial"/>
                <w:color w:val="000000"/>
                <w:sz w:val="22"/>
                <w:szCs w:val="22"/>
                <w:lang w:eastAsia="en-GB"/>
              </w:rPr>
              <w:t xml:space="preserve"> cost of facility time ÷ total pay bill) x 100 </w:t>
            </w:r>
          </w:p>
        </w:tc>
        <w:tc>
          <w:tcPr>
            <w:tcW w:w="2300" w:type="dxa"/>
            <w:vMerge/>
            <w:tcBorders>
              <w:top w:val="nil"/>
              <w:left w:val="single" w:sz="8" w:space="0" w:color="auto"/>
              <w:bottom w:val="single" w:sz="8" w:space="0" w:color="000000"/>
              <w:right w:val="single" w:sz="8" w:space="0" w:color="auto"/>
            </w:tcBorders>
            <w:vAlign w:val="center"/>
          </w:tcPr>
          <w:p w14:paraId="2BBBFA59" w14:textId="77777777" w:rsidR="00791C1B" w:rsidRPr="00952C33" w:rsidRDefault="00791C1B" w:rsidP="00FB6278">
            <w:pPr>
              <w:rPr>
                <w:rFonts w:ascii="Arial" w:hAnsi="Arial"/>
                <w:color w:val="000000"/>
                <w:sz w:val="22"/>
              </w:rPr>
            </w:pPr>
          </w:p>
        </w:tc>
      </w:tr>
      <w:tr w:rsidR="00791C1B" w:rsidRPr="009E33FB" w14:paraId="0C084C87" w14:textId="77777777" w:rsidTr="005E0560">
        <w:trPr>
          <w:trHeight w:val="300"/>
        </w:trPr>
        <w:tc>
          <w:tcPr>
            <w:tcW w:w="5820" w:type="dxa"/>
            <w:tcBorders>
              <w:top w:val="nil"/>
              <w:left w:val="nil"/>
              <w:bottom w:val="nil"/>
              <w:right w:val="nil"/>
            </w:tcBorders>
            <w:shd w:val="clear" w:color="auto" w:fill="auto"/>
            <w:noWrap/>
            <w:vAlign w:val="center"/>
            <w:hideMark/>
          </w:tcPr>
          <w:p w14:paraId="7A5349FD" w14:textId="77777777" w:rsidR="00791C1B" w:rsidRPr="009E33FB" w:rsidRDefault="00791C1B" w:rsidP="00FB6278">
            <w:pPr>
              <w:rPr>
                <w:rFonts w:ascii="Arial" w:eastAsia="Times New Roman" w:hAnsi="Arial" w:cs="Arial"/>
                <w:b/>
                <w:bCs/>
                <w:color w:val="000000"/>
                <w:sz w:val="22"/>
                <w:szCs w:val="22"/>
                <w:lang w:eastAsia="en-GB"/>
              </w:rPr>
            </w:pPr>
          </w:p>
        </w:tc>
        <w:tc>
          <w:tcPr>
            <w:tcW w:w="2300" w:type="dxa"/>
            <w:vMerge w:val="restart"/>
            <w:tcBorders>
              <w:top w:val="nil"/>
              <w:left w:val="nil"/>
              <w:bottom w:val="single" w:sz="8" w:space="0" w:color="000000"/>
              <w:right w:val="nil"/>
            </w:tcBorders>
            <w:shd w:val="clear" w:color="auto" w:fill="auto"/>
            <w:noWrap/>
            <w:vAlign w:val="center"/>
          </w:tcPr>
          <w:p w14:paraId="684A78C7" w14:textId="77777777" w:rsidR="00791C1B" w:rsidRPr="009E33FB" w:rsidRDefault="00791C1B" w:rsidP="00FB6278">
            <w:pPr>
              <w:rPr>
                <w:rFonts w:ascii="Arial" w:eastAsia="Times New Roman" w:hAnsi="Arial" w:cs="Arial"/>
                <w:color w:val="000000"/>
                <w:sz w:val="22"/>
                <w:szCs w:val="22"/>
                <w:lang w:eastAsia="en-GB"/>
              </w:rPr>
            </w:pPr>
          </w:p>
        </w:tc>
      </w:tr>
      <w:tr w:rsidR="00791C1B" w:rsidRPr="009E33FB" w14:paraId="38FA36FA" w14:textId="77777777" w:rsidTr="005E0560">
        <w:trPr>
          <w:trHeight w:val="315"/>
        </w:trPr>
        <w:tc>
          <w:tcPr>
            <w:tcW w:w="5820" w:type="dxa"/>
            <w:tcBorders>
              <w:top w:val="nil"/>
              <w:left w:val="nil"/>
              <w:bottom w:val="nil"/>
              <w:right w:val="nil"/>
            </w:tcBorders>
            <w:shd w:val="clear" w:color="auto" w:fill="auto"/>
            <w:noWrap/>
            <w:vAlign w:val="center"/>
            <w:hideMark/>
          </w:tcPr>
          <w:p w14:paraId="356C8F8A" w14:textId="5C9FAD95" w:rsidR="00791C1B" w:rsidRPr="009E33FB" w:rsidRDefault="00791C1B" w:rsidP="00FB6278">
            <w:pPr>
              <w:rPr>
                <w:rFonts w:ascii="Arial" w:eastAsia="Times New Roman" w:hAnsi="Arial" w:cs="Arial"/>
                <w:b/>
                <w:bCs/>
                <w:color w:val="000000"/>
                <w:sz w:val="22"/>
                <w:szCs w:val="22"/>
                <w:lang w:eastAsia="en-GB"/>
              </w:rPr>
            </w:pPr>
            <w:r w:rsidRPr="009E33FB">
              <w:rPr>
                <w:rFonts w:ascii="Arial" w:eastAsia="Times New Roman" w:hAnsi="Arial" w:cs="Arial"/>
                <w:b/>
                <w:bCs/>
                <w:color w:val="000000"/>
                <w:sz w:val="22"/>
                <w:szCs w:val="22"/>
                <w:lang w:eastAsia="en-GB"/>
              </w:rPr>
              <w:t>Paid trade union activities</w:t>
            </w:r>
          </w:p>
        </w:tc>
        <w:tc>
          <w:tcPr>
            <w:tcW w:w="2300" w:type="dxa"/>
            <w:vMerge/>
            <w:tcBorders>
              <w:top w:val="nil"/>
              <w:left w:val="nil"/>
              <w:bottom w:val="single" w:sz="8" w:space="0" w:color="000000"/>
              <w:right w:val="nil"/>
            </w:tcBorders>
            <w:vAlign w:val="center"/>
          </w:tcPr>
          <w:p w14:paraId="20CB7953" w14:textId="77777777" w:rsidR="00791C1B" w:rsidRPr="00952C33" w:rsidRDefault="00791C1B" w:rsidP="00FB6278">
            <w:pPr>
              <w:rPr>
                <w:rFonts w:ascii="Arial" w:hAnsi="Arial"/>
                <w:color w:val="000000"/>
                <w:sz w:val="22"/>
              </w:rPr>
            </w:pPr>
          </w:p>
        </w:tc>
      </w:tr>
      <w:tr w:rsidR="00791C1B" w:rsidRPr="009E33FB" w14:paraId="66BB6103" w14:textId="77777777" w:rsidTr="005E0560">
        <w:trPr>
          <w:trHeight w:val="855"/>
        </w:trPr>
        <w:tc>
          <w:tcPr>
            <w:tcW w:w="5820" w:type="dxa"/>
            <w:tcBorders>
              <w:top w:val="single" w:sz="8" w:space="0" w:color="auto"/>
              <w:left w:val="single" w:sz="8" w:space="0" w:color="auto"/>
              <w:bottom w:val="nil"/>
              <w:right w:val="single" w:sz="8" w:space="0" w:color="auto"/>
            </w:tcBorders>
            <w:shd w:val="clear" w:color="auto" w:fill="auto"/>
            <w:vAlign w:val="center"/>
            <w:hideMark/>
          </w:tcPr>
          <w:p w14:paraId="721BD5C8" w14:textId="77777777" w:rsidR="00791C1B" w:rsidRPr="009E33FB" w:rsidRDefault="00791C1B" w:rsidP="00FB6278">
            <w:pP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Time spent on paid trade union activities as a percentage of total paid facility time hours calculated as:</w:t>
            </w:r>
          </w:p>
        </w:tc>
        <w:tc>
          <w:tcPr>
            <w:tcW w:w="2300" w:type="dxa"/>
            <w:vMerge w:val="restart"/>
            <w:tcBorders>
              <w:top w:val="nil"/>
              <w:left w:val="single" w:sz="8" w:space="0" w:color="auto"/>
              <w:bottom w:val="single" w:sz="8" w:space="0" w:color="000000"/>
              <w:right w:val="single" w:sz="8" w:space="0" w:color="auto"/>
            </w:tcBorders>
            <w:shd w:val="clear" w:color="auto" w:fill="auto"/>
            <w:noWrap/>
            <w:vAlign w:val="center"/>
          </w:tcPr>
          <w:p w14:paraId="30E54601" w14:textId="77777777" w:rsidR="00791C1B" w:rsidRPr="009E33FB" w:rsidRDefault="00791C1B" w:rsidP="00FB6278">
            <w:pPr>
              <w:jc w:val="cente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100%</w:t>
            </w:r>
          </w:p>
        </w:tc>
      </w:tr>
      <w:tr w:rsidR="00791C1B" w:rsidRPr="009E33FB" w14:paraId="4653DEEE" w14:textId="77777777" w:rsidTr="005E0560">
        <w:trPr>
          <w:trHeight w:val="870"/>
        </w:trPr>
        <w:tc>
          <w:tcPr>
            <w:tcW w:w="5820" w:type="dxa"/>
            <w:tcBorders>
              <w:top w:val="nil"/>
              <w:left w:val="single" w:sz="8" w:space="0" w:color="auto"/>
              <w:bottom w:val="single" w:sz="8" w:space="0" w:color="auto"/>
              <w:right w:val="single" w:sz="8" w:space="0" w:color="auto"/>
            </w:tcBorders>
            <w:shd w:val="clear" w:color="auto" w:fill="auto"/>
            <w:vAlign w:val="center"/>
            <w:hideMark/>
          </w:tcPr>
          <w:p w14:paraId="3D85A953" w14:textId="77777777" w:rsidR="00791C1B" w:rsidRPr="009E33FB" w:rsidRDefault="00791C1B" w:rsidP="00FB6278">
            <w:pP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w:t>
            </w:r>
            <w:proofErr w:type="gramStart"/>
            <w:r w:rsidRPr="009E33FB">
              <w:rPr>
                <w:rFonts w:ascii="Arial" w:eastAsia="Times New Roman" w:hAnsi="Arial" w:cs="Arial"/>
                <w:color w:val="000000"/>
                <w:sz w:val="22"/>
                <w:szCs w:val="22"/>
                <w:lang w:eastAsia="en-GB"/>
              </w:rPr>
              <w:t>total</w:t>
            </w:r>
            <w:proofErr w:type="gramEnd"/>
            <w:r w:rsidRPr="009E33FB">
              <w:rPr>
                <w:rFonts w:ascii="Arial" w:eastAsia="Times New Roman" w:hAnsi="Arial" w:cs="Arial"/>
                <w:color w:val="000000"/>
                <w:sz w:val="22"/>
                <w:szCs w:val="22"/>
                <w:lang w:eastAsia="en-GB"/>
              </w:rPr>
              <w:t xml:space="preserve"> hours spent on paid trade union activities by relevant union officials during the relevant period ÷ total paid facility time hours) x 100</w:t>
            </w:r>
          </w:p>
        </w:tc>
        <w:tc>
          <w:tcPr>
            <w:tcW w:w="2300" w:type="dxa"/>
            <w:vMerge/>
            <w:tcBorders>
              <w:top w:val="nil"/>
              <w:left w:val="single" w:sz="8" w:space="0" w:color="auto"/>
              <w:bottom w:val="single" w:sz="8" w:space="0" w:color="000000"/>
              <w:right w:val="single" w:sz="8" w:space="0" w:color="auto"/>
            </w:tcBorders>
            <w:vAlign w:val="center"/>
          </w:tcPr>
          <w:p w14:paraId="4BBDAAF2" w14:textId="77777777" w:rsidR="00791C1B" w:rsidRPr="00952C33" w:rsidRDefault="00791C1B" w:rsidP="00FB6278">
            <w:pPr>
              <w:rPr>
                <w:rFonts w:ascii="Arial" w:hAnsi="Arial"/>
                <w:color w:val="000000"/>
                <w:sz w:val="22"/>
              </w:rPr>
            </w:pPr>
          </w:p>
        </w:tc>
      </w:tr>
    </w:tbl>
    <w:p w14:paraId="1A9C2236" w14:textId="77777777" w:rsidR="00791C1B" w:rsidRPr="009E33FB" w:rsidRDefault="00791C1B" w:rsidP="00FB6278">
      <w:pPr>
        <w:pStyle w:val="MEHArial"/>
        <w:rPr>
          <w:rFonts w:cs="Arial"/>
          <w:b/>
          <w:sz w:val="22"/>
          <w:szCs w:val="22"/>
        </w:rPr>
      </w:pPr>
    </w:p>
    <w:p w14:paraId="72D92B9C" w14:textId="77777777" w:rsidR="00791C1B" w:rsidRPr="009E33FB" w:rsidRDefault="00791C1B" w:rsidP="00FB6278">
      <w:pPr>
        <w:pStyle w:val="MEHArial"/>
        <w:rPr>
          <w:rFonts w:cs="Arial"/>
          <w:b/>
          <w:sz w:val="22"/>
          <w:szCs w:val="22"/>
        </w:rPr>
      </w:pPr>
      <w:r w:rsidRPr="009E33FB">
        <w:rPr>
          <w:rFonts w:cs="Arial"/>
          <w:b/>
          <w:sz w:val="22"/>
          <w:szCs w:val="22"/>
        </w:rPr>
        <w:t>Staff exit packages 2021/22 [this information is subject to audit]</w:t>
      </w:r>
    </w:p>
    <w:tbl>
      <w:tblPr>
        <w:tblW w:w="9584" w:type="dxa"/>
        <w:tblInd w:w="93" w:type="dxa"/>
        <w:tblLook w:val="04A0" w:firstRow="1" w:lastRow="0" w:firstColumn="1" w:lastColumn="0" w:noHBand="0" w:noVBand="1"/>
      </w:tblPr>
      <w:tblGrid>
        <w:gridCol w:w="4480"/>
        <w:gridCol w:w="273"/>
        <w:gridCol w:w="1264"/>
        <w:gridCol w:w="383"/>
        <w:gridCol w:w="1165"/>
        <w:gridCol w:w="355"/>
        <w:gridCol w:w="1337"/>
        <w:gridCol w:w="355"/>
      </w:tblGrid>
      <w:tr w:rsidR="00791C1B" w:rsidRPr="009E33FB" w14:paraId="13FDF94A" w14:textId="77777777" w:rsidTr="005E0560">
        <w:trPr>
          <w:trHeight w:val="1140"/>
        </w:trPr>
        <w:tc>
          <w:tcPr>
            <w:tcW w:w="483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06AF024" w14:textId="77777777" w:rsidR="00791C1B" w:rsidRPr="00DA33AB" w:rsidRDefault="00791C1B" w:rsidP="00FB6278">
            <w:pPr>
              <w:rPr>
                <w:rFonts w:ascii="Arial" w:eastAsia="Times New Roman" w:hAnsi="Arial" w:cs="Arial"/>
                <w:b/>
                <w:bCs/>
                <w:sz w:val="22"/>
                <w:szCs w:val="22"/>
                <w:lang w:eastAsia="en-GB"/>
              </w:rPr>
            </w:pPr>
            <w:r w:rsidRPr="00DA33AB">
              <w:rPr>
                <w:rFonts w:ascii="Arial" w:eastAsia="Times New Roman" w:hAnsi="Arial" w:cs="Arial"/>
                <w:b/>
                <w:bCs/>
                <w:sz w:val="22"/>
                <w:szCs w:val="22"/>
                <w:lang w:eastAsia="en-GB"/>
              </w:rPr>
              <w:t>Exit package cost band</w:t>
            </w:r>
          </w:p>
        </w:tc>
        <w:tc>
          <w:tcPr>
            <w:tcW w:w="1537" w:type="dxa"/>
            <w:gridSpan w:val="2"/>
            <w:tcBorders>
              <w:top w:val="single" w:sz="4" w:space="0" w:color="auto"/>
              <w:left w:val="nil"/>
              <w:bottom w:val="single" w:sz="4" w:space="0" w:color="auto"/>
              <w:right w:val="single" w:sz="4" w:space="0" w:color="auto"/>
            </w:tcBorders>
            <w:shd w:val="clear" w:color="auto" w:fill="auto"/>
            <w:vAlign w:val="bottom"/>
            <w:hideMark/>
          </w:tcPr>
          <w:p w14:paraId="718B6147" w14:textId="77777777" w:rsidR="00791C1B" w:rsidRPr="00DA33AB" w:rsidRDefault="00791C1B" w:rsidP="00FB6278">
            <w:pPr>
              <w:rPr>
                <w:rFonts w:ascii="Arial" w:hAnsi="Arial"/>
                <w:b/>
                <w:bCs/>
                <w:sz w:val="22"/>
              </w:rPr>
            </w:pPr>
            <w:r w:rsidRPr="00DA33AB">
              <w:rPr>
                <w:rFonts w:ascii="Arial" w:hAnsi="Arial"/>
                <w:b/>
                <w:bCs/>
                <w:sz w:val="22"/>
              </w:rPr>
              <w:t>Number of compulsory redundancies</w:t>
            </w:r>
          </w:p>
        </w:tc>
        <w:tc>
          <w:tcPr>
            <w:tcW w:w="1520" w:type="dxa"/>
            <w:gridSpan w:val="2"/>
            <w:tcBorders>
              <w:top w:val="single" w:sz="4" w:space="0" w:color="auto"/>
              <w:left w:val="nil"/>
              <w:bottom w:val="single" w:sz="4" w:space="0" w:color="auto"/>
              <w:right w:val="single" w:sz="4" w:space="0" w:color="auto"/>
            </w:tcBorders>
            <w:shd w:val="clear" w:color="auto" w:fill="auto"/>
            <w:vAlign w:val="bottom"/>
            <w:hideMark/>
          </w:tcPr>
          <w:p w14:paraId="0B1FD695" w14:textId="77777777" w:rsidR="00791C1B" w:rsidRPr="00DA33AB" w:rsidRDefault="00791C1B" w:rsidP="00FB6278">
            <w:pPr>
              <w:rPr>
                <w:rFonts w:ascii="Arial" w:hAnsi="Arial"/>
                <w:b/>
                <w:bCs/>
                <w:sz w:val="22"/>
              </w:rPr>
            </w:pPr>
            <w:r w:rsidRPr="00DA33AB">
              <w:rPr>
                <w:rFonts w:ascii="Arial" w:hAnsi="Arial"/>
                <w:b/>
                <w:bCs/>
                <w:sz w:val="22"/>
              </w:rPr>
              <w:t>Number of other departures agreed</w:t>
            </w:r>
          </w:p>
        </w:tc>
        <w:tc>
          <w:tcPr>
            <w:tcW w:w="1692" w:type="dxa"/>
            <w:gridSpan w:val="2"/>
            <w:tcBorders>
              <w:top w:val="single" w:sz="4" w:space="0" w:color="auto"/>
              <w:left w:val="nil"/>
              <w:bottom w:val="single" w:sz="4" w:space="0" w:color="auto"/>
              <w:right w:val="single" w:sz="4" w:space="0" w:color="auto"/>
            </w:tcBorders>
            <w:shd w:val="clear" w:color="auto" w:fill="auto"/>
            <w:vAlign w:val="bottom"/>
            <w:hideMark/>
          </w:tcPr>
          <w:p w14:paraId="5F77DA49" w14:textId="77777777" w:rsidR="00791C1B" w:rsidRPr="00DA33AB" w:rsidRDefault="00791C1B" w:rsidP="00FB6278">
            <w:pPr>
              <w:rPr>
                <w:rFonts w:ascii="Arial" w:hAnsi="Arial"/>
                <w:b/>
                <w:bCs/>
                <w:sz w:val="22"/>
              </w:rPr>
            </w:pPr>
            <w:r w:rsidRPr="00DA33AB">
              <w:rPr>
                <w:rFonts w:ascii="Arial" w:hAnsi="Arial"/>
                <w:b/>
                <w:bCs/>
                <w:sz w:val="22"/>
              </w:rPr>
              <w:t>Total number of exit packages by cost band</w:t>
            </w:r>
          </w:p>
        </w:tc>
      </w:tr>
      <w:tr w:rsidR="00791C1B" w:rsidRPr="009E33FB" w14:paraId="2EFC4EF6" w14:textId="77777777" w:rsidTr="005E0560">
        <w:trPr>
          <w:trHeight w:val="285"/>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14:paraId="11514C66" w14:textId="77777777" w:rsidR="00791C1B" w:rsidRPr="009E33FB" w:rsidRDefault="00791C1B" w:rsidP="00FB6278">
            <w:pPr>
              <w:rPr>
                <w:rFonts w:ascii="Arial" w:eastAsia="Times New Roman" w:hAnsi="Arial" w:cs="Arial"/>
                <w:sz w:val="22"/>
                <w:szCs w:val="22"/>
                <w:lang w:eastAsia="en-GB"/>
              </w:rPr>
            </w:pPr>
            <w:r w:rsidRPr="009E33FB">
              <w:rPr>
                <w:rFonts w:ascii="Arial" w:eastAsia="Times New Roman" w:hAnsi="Arial" w:cs="Arial"/>
                <w:sz w:val="22"/>
                <w:szCs w:val="22"/>
                <w:lang w:eastAsia="en-GB"/>
              </w:rPr>
              <w:t>&lt;£10,000</w:t>
            </w:r>
          </w:p>
        </w:tc>
        <w:tc>
          <w:tcPr>
            <w:tcW w:w="1537" w:type="dxa"/>
            <w:gridSpan w:val="2"/>
            <w:tcBorders>
              <w:top w:val="nil"/>
              <w:left w:val="nil"/>
              <w:bottom w:val="single" w:sz="4" w:space="0" w:color="auto"/>
              <w:right w:val="single" w:sz="4" w:space="0" w:color="auto"/>
            </w:tcBorders>
            <w:shd w:val="clear" w:color="auto" w:fill="auto"/>
            <w:noWrap/>
            <w:vAlign w:val="bottom"/>
          </w:tcPr>
          <w:p w14:paraId="76ECA797"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w:t>
            </w:r>
          </w:p>
        </w:tc>
        <w:tc>
          <w:tcPr>
            <w:tcW w:w="1520" w:type="dxa"/>
            <w:gridSpan w:val="2"/>
            <w:tcBorders>
              <w:top w:val="nil"/>
              <w:left w:val="nil"/>
              <w:bottom w:val="single" w:sz="4" w:space="0" w:color="auto"/>
              <w:right w:val="single" w:sz="4" w:space="0" w:color="auto"/>
            </w:tcBorders>
            <w:shd w:val="clear" w:color="auto" w:fill="auto"/>
            <w:noWrap/>
            <w:vAlign w:val="bottom"/>
          </w:tcPr>
          <w:p w14:paraId="6FE63115"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w:t>
            </w:r>
          </w:p>
        </w:tc>
        <w:tc>
          <w:tcPr>
            <w:tcW w:w="1692" w:type="dxa"/>
            <w:gridSpan w:val="2"/>
            <w:tcBorders>
              <w:top w:val="nil"/>
              <w:left w:val="nil"/>
              <w:bottom w:val="single" w:sz="4" w:space="0" w:color="auto"/>
              <w:right w:val="single" w:sz="4" w:space="0" w:color="auto"/>
            </w:tcBorders>
            <w:shd w:val="clear" w:color="auto" w:fill="auto"/>
            <w:noWrap/>
            <w:vAlign w:val="bottom"/>
          </w:tcPr>
          <w:p w14:paraId="6CF5DBC0" w14:textId="77777777" w:rsidR="00791C1B" w:rsidRPr="00952C33" w:rsidRDefault="00791C1B" w:rsidP="00FB6278">
            <w:pPr>
              <w:jc w:val="right"/>
              <w:rPr>
                <w:rFonts w:ascii="Arial" w:hAnsi="Arial"/>
                <w:sz w:val="22"/>
              </w:rPr>
            </w:pPr>
            <w:r w:rsidRPr="00952C33">
              <w:rPr>
                <w:rFonts w:ascii="Arial" w:hAnsi="Arial"/>
                <w:sz w:val="22"/>
              </w:rPr>
              <w:t>-</w:t>
            </w:r>
          </w:p>
        </w:tc>
      </w:tr>
      <w:tr w:rsidR="00791C1B" w:rsidRPr="009E33FB" w14:paraId="43DDB9C0" w14:textId="77777777" w:rsidTr="005E0560">
        <w:trPr>
          <w:trHeight w:val="285"/>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14:paraId="206DF0BC" w14:textId="77777777" w:rsidR="00791C1B" w:rsidRPr="009E33FB" w:rsidRDefault="00791C1B" w:rsidP="00FB6278">
            <w:pPr>
              <w:rPr>
                <w:rFonts w:ascii="Arial" w:eastAsia="Times New Roman" w:hAnsi="Arial" w:cs="Arial"/>
                <w:sz w:val="22"/>
                <w:szCs w:val="22"/>
                <w:lang w:eastAsia="en-GB"/>
              </w:rPr>
            </w:pPr>
            <w:r w:rsidRPr="009E33FB">
              <w:rPr>
                <w:rFonts w:ascii="Arial" w:eastAsia="Times New Roman" w:hAnsi="Arial" w:cs="Arial"/>
                <w:sz w:val="22"/>
                <w:szCs w:val="22"/>
                <w:lang w:eastAsia="en-GB"/>
              </w:rPr>
              <w:t>£10,001 – £25,000</w:t>
            </w:r>
          </w:p>
        </w:tc>
        <w:tc>
          <w:tcPr>
            <w:tcW w:w="1537" w:type="dxa"/>
            <w:gridSpan w:val="2"/>
            <w:tcBorders>
              <w:top w:val="nil"/>
              <w:left w:val="nil"/>
              <w:bottom w:val="single" w:sz="4" w:space="0" w:color="auto"/>
              <w:right w:val="single" w:sz="4" w:space="0" w:color="auto"/>
            </w:tcBorders>
            <w:shd w:val="clear" w:color="auto" w:fill="auto"/>
            <w:noWrap/>
            <w:vAlign w:val="bottom"/>
          </w:tcPr>
          <w:p w14:paraId="34B92D12"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w:t>
            </w:r>
          </w:p>
        </w:tc>
        <w:tc>
          <w:tcPr>
            <w:tcW w:w="1520" w:type="dxa"/>
            <w:gridSpan w:val="2"/>
            <w:tcBorders>
              <w:top w:val="nil"/>
              <w:left w:val="nil"/>
              <w:bottom w:val="single" w:sz="4" w:space="0" w:color="auto"/>
              <w:right w:val="single" w:sz="4" w:space="0" w:color="auto"/>
            </w:tcBorders>
            <w:shd w:val="clear" w:color="auto" w:fill="auto"/>
            <w:noWrap/>
            <w:vAlign w:val="bottom"/>
          </w:tcPr>
          <w:p w14:paraId="3F02DE09"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w:t>
            </w:r>
          </w:p>
        </w:tc>
        <w:tc>
          <w:tcPr>
            <w:tcW w:w="1692" w:type="dxa"/>
            <w:gridSpan w:val="2"/>
            <w:tcBorders>
              <w:top w:val="nil"/>
              <w:left w:val="nil"/>
              <w:bottom w:val="single" w:sz="4" w:space="0" w:color="auto"/>
              <w:right w:val="single" w:sz="4" w:space="0" w:color="auto"/>
            </w:tcBorders>
            <w:shd w:val="clear" w:color="auto" w:fill="auto"/>
            <w:noWrap/>
            <w:vAlign w:val="bottom"/>
          </w:tcPr>
          <w:p w14:paraId="6C0CD895" w14:textId="77777777" w:rsidR="00791C1B" w:rsidRPr="00952C33" w:rsidRDefault="00791C1B" w:rsidP="00FB6278">
            <w:pPr>
              <w:jc w:val="right"/>
              <w:rPr>
                <w:rFonts w:ascii="Arial" w:hAnsi="Arial"/>
                <w:sz w:val="22"/>
              </w:rPr>
            </w:pPr>
            <w:r w:rsidRPr="00952C33">
              <w:rPr>
                <w:rFonts w:ascii="Arial" w:hAnsi="Arial"/>
                <w:sz w:val="22"/>
              </w:rPr>
              <w:t>-</w:t>
            </w:r>
          </w:p>
        </w:tc>
      </w:tr>
      <w:tr w:rsidR="00791C1B" w:rsidRPr="009E33FB" w14:paraId="6E169244" w14:textId="77777777" w:rsidTr="005E0560">
        <w:trPr>
          <w:trHeight w:val="285"/>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14:paraId="2C2BCAB3" w14:textId="77777777" w:rsidR="00791C1B" w:rsidRPr="009E33FB" w:rsidRDefault="00791C1B" w:rsidP="00FB6278">
            <w:pPr>
              <w:rPr>
                <w:rFonts w:ascii="Arial" w:eastAsia="Times New Roman" w:hAnsi="Arial" w:cs="Arial"/>
                <w:sz w:val="22"/>
                <w:szCs w:val="22"/>
                <w:lang w:eastAsia="en-GB"/>
              </w:rPr>
            </w:pPr>
            <w:r w:rsidRPr="009E33FB">
              <w:rPr>
                <w:rFonts w:ascii="Arial" w:eastAsia="Times New Roman" w:hAnsi="Arial" w:cs="Arial"/>
                <w:sz w:val="22"/>
                <w:szCs w:val="22"/>
                <w:lang w:eastAsia="en-GB"/>
              </w:rPr>
              <w:t>£25,001 – £50,000</w:t>
            </w:r>
          </w:p>
        </w:tc>
        <w:tc>
          <w:tcPr>
            <w:tcW w:w="1537" w:type="dxa"/>
            <w:gridSpan w:val="2"/>
            <w:tcBorders>
              <w:top w:val="nil"/>
              <w:left w:val="nil"/>
              <w:bottom w:val="single" w:sz="4" w:space="0" w:color="auto"/>
              <w:right w:val="single" w:sz="4" w:space="0" w:color="auto"/>
            </w:tcBorders>
            <w:shd w:val="clear" w:color="auto" w:fill="auto"/>
            <w:noWrap/>
            <w:vAlign w:val="bottom"/>
          </w:tcPr>
          <w:p w14:paraId="270C079A"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w:t>
            </w:r>
          </w:p>
        </w:tc>
        <w:tc>
          <w:tcPr>
            <w:tcW w:w="1520" w:type="dxa"/>
            <w:gridSpan w:val="2"/>
            <w:tcBorders>
              <w:top w:val="nil"/>
              <w:left w:val="nil"/>
              <w:bottom w:val="single" w:sz="4" w:space="0" w:color="auto"/>
              <w:right w:val="single" w:sz="4" w:space="0" w:color="auto"/>
            </w:tcBorders>
            <w:shd w:val="clear" w:color="auto" w:fill="auto"/>
            <w:noWrap/>
            <w:vAlign w:val="bottom"/>
          </w:tcPr>
          <w:p w14:paraId="138C58DE"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w:t>
            </w:r>
          </w:p>
        </w:tc>
        <w:tc>
          <w:tcPr>
            <w:tcW w:w="1692" w:type="dxa"/>
            <w:gridSpan w:val="2"/>
            <w:tcBorders>
              <w:top w:val="nil"/>
              <w:left w:val="nil"/>
              <w:bottom w:val="single" w:sz="4" w:space="0" w:color="auto"/>
              <w:right w:val="single" w:sz="4" w:space="0" w:color="auto"/>
            </w:tcBorders>
            <w:shd w:val="clear" w:color="auto" w:fill="auto"/>
            <w:noWrap/>
            <w:vAlign w:val="bottom"/>
          </w:tcPr>
          <w:p w14:paraId="0A39FFCA" w14:textId="77777777" w:rsidR="00791C1B" w:rsidRPr="00952C33" w:rsidRDefault="00791C1B" w:rsidP="00FB6278">
            <w:pPr>
              <w:jc w:val="right"/>
              <w:rPr>
                <w:rFonts w:ascii="Arial" w:hAnsi="Arial"/>
                <w:sz w:val="22"/>
              </w:rPr>
            </w:pPr>
            <w:r w:rsidRPr="00952C33">
              <w:rPr>
                <w:rFonts w:ascii="Arial" w:hAnsi="Arial"/>
                <w:sz w:val="22"/>
              </w:rPr>
              <w:t>-</w:t>
            </w:r>
          </w:p>
        </w:tc>
      </w:tr>
      <w:tr w:rsidR="00791C1B" w:rsidRPr="009E33FB" w14:paraId="700565F2" w14:textId="77777777" w:rsidTr="005E0560">
        <w:trPr>
          <w:trHeight w:val="285"/>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14:paraId="72F62925" w14:textId="77777777" w:rsidR="00791C1B" w:rsidRPr="009E33FB" w:rsidRDefault="00791C1B" w:rsidP="00FB6278">
            <w:pPr>
              <w:rPr>
                <w:rFonts w:ascii="Arial" w:eastAsia="Times New Roman" w:hAnsi="Arial" w:cs="Arial"/>
                <w:sz w:val="22"/>
                <w:szCs w:val="22"/>
                <w:lang w:eastAsia="en-GB"/>
              </w:rPr>
            </w:pPr>
            <w:r w:rsidRPr="009E33FB">
              <w:rPr>
                <w:rFonts w:ascii="Arial" w:eastAsia="Times New Roman" w:hAnsi="Arial" w:cs="Arial"/>
                <w:sz w:val="22"/>
                <w:szCs w:val="22"/>
                <w:lang w:eastAsia="en-GB"/>
              </w:rPr>
              <w:t>£50,001 - £100,000</w:t>
            </w:r>
          </w:p>
        </w:tc>
        <w:tc>
          <w:tcPr>
            <w:tcW w:w="1537" w:type="dxa"/>
            <w:gridSpan w:val="2"/>
            <w:tcBorders>
              <w:top w:val="nil"/>
              <w:left w:val="nil"/>
              <w:bottom w:val="single" w:sz="4" w:space="0" w:color="auto"/>
              <w:right w:val="single" w:sz="4" w:space="0" w:color="auto"/>
            </w:tcBorders>
            <w:shd w:val="clear" w:color="auto" w:fill="auto"/>
            <w:noWrap/>
            <w:vAlign w:val="bottom"/>
          </w:tcPr>
          <w:p w14:paraId="689566C0" w14:textId="4701F9D9" w:rsidR="00791C1B" w:rsidRPr="009E33FB" w:rsidRDefault="002B3BEB" w:rsidP="00FB6278">
            <w:pPr>
              <w:jc w:val="right"/>
              <w:rPr>
                <w:rFonts w:ascii="Arial" w:eastAsia="Times New Roman" w:hAnsi="Arial" w:cs="Arial"/>
                <w:sz w:val="22"/>
                <w:szCs w:val="22"/>
                <w:lang w:eastAsia="en-GB"/>
              </w:rPr>
            </w:pPr>
            <w:r>
              <w:rPr>
                <w:rFonts w:ascii="Arial" w:eastAsia="Times New Roman" w:hAnsi="Arial" w:cs="Arial"/>
                <w:sz w:val="22"/>
                <w:szCs w:val="22"/>
                <w:lang w:eastAsia="en-GB"/>
              </w:rPr>
              <w:t>1</w:t>
            </w:r>
          </w:p>
        </w:tc>
        <w:tc>
          <w:tcPr>
            <w:tcW w:w="1520" w:type="dxa"/>
            <w:gridSpan w:val="2"/>
            <w:tcBorders>
              <w:top w:val="nil"/>
              <w:left w:val="nil"/>
              <w:bottom w:val="single" w:sz="4" w:space="0" w:color="auto"/>
              <w:right w:val="single" w:sz="4" w:space="0" w:color="auto"/>
            </w:tcBorders>
            <w:shd w:val="clear" w:color="auto" w:fill="auto"/>
            <w:noWrap/>
            <w:vAlign w:val="bottom"/>
          </w:tcPr>
          <w:p w14:paraId="4693CCC2" w14:textId="31DAD8B1" w:rsidR="00791C1B" w:rsidRPr="009E33FB" w:rsidRDefault="002B3BEB" w:rsidP="00FB6278">
            <w:pPr>
              <w:jc w:val="right"/>
              <w:rPr>
                <w:rFonts w:ascii="Arial" w:eastAsia="Times New Roman" w:hAnsi="Arial" w:cs="Arial"/>
                <w:sz w:val="22"/>
                <w:szCs w:val="22"/>
                <w:lang w:eastAsia="en-GB"/>
              </w:rPr>
            </w:pPr>
            <w:r>
              <w:rPr>
                <w:rFonts w:ascii="Arial" w:eastAsia="Times New Roman" w:hAnsi="Arial" w:cs="Arial"/>
                <w:sz w:val="22"/>
                <w:szCs w:val="22"/>
                <w:lang w:eastAsia="en-GB"/>
              </w:rPr>
              <w:t>-</w:t>
            </w:r>
          </w:p>
        </w:tc>
        <w:tc>
          <w:tcPr>
            <w:tcW w:w="1692" w:type="dxa"/>
            <w:gridSpan w:val="2"/>
            <w:tcBorders>
              <w:top w:val="nil"/>
              <w:left w:val="nil"/>
              <w:bottom w:val="single" w:sz="4" w:space="0" w:color="auto"/>
              <w:right w:val="single" w:sz="4" w:space="0" w:color="auto"/>
            </w:tcBorders>
            <w:shd w:val="clear" w:color="auto" w:fill="auto"/>
            <w:noWrap/>
            <w:vAlign w:val="bottom"/>
          </w:tcPr>
          <w:p w14:paraId="2F2315BB" w14:textId="77777777" w:rsidR="00791C1B" w:rsidRPr="00952C33" w:rsidRDefault="00791C1B" w:rsidP="00FB6278">
            <w:pPr>
              <w:jc w:val="right"/>
              <w:rPr>
                <w:rFonts w:ascii="Arial" w:hAnsi="Arial"/>
                <w:sz w:val="22"/>
              </w:rPr>
            </w:pPr>
            <w:r w:rsidRPr="00952C33">
              <w:rPr>
                <w:rFonts w:ascii="Arial" w:hAnsi="Arial"/>
                <w:sz w:val="22"/>
              </w:rPr>
              <w:t>1</w:t>
            </w:r>
          </w:p>
        </w:tc>
      </w:tr>
      <w:tr w:rsidR="00791C1B" w:rsidRPr="009E33FB" w14:paraId="2A9803CE" w14:textId="77777777" w:rsidTr="005E0560">
        <w:trPr>
          <w:trHeight w:val="285"/>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14:paraId="1A24EBE7" w14:textId="77777777" w:rsidR="00791C1B" w:rsidRPr="009E33FB" w:rsidRDefault="00791C1B" w:rsidP="00FB6278">
            <w:pPr>
              <w:rPr>
                <w:rFonts w:ascii="Arial" w:eastAsia="Times New Roman" w:hAnsi="Arial" w:cs="Arial"/>
                <w:sz w:val="22"/>
                <w:szCs w:val="22"/>
                <w:lang w:eastAsia="en-GB"/>
              </w:rPr>
            </w:pPr>
            <w:r w:rsidRPr="009E33FB">
              <w:rPr>
                <w:rFonts w:ascii="Arial" w:eastAsia="Times New Roman" w:hAnsi="Arial" w:cs="Arial"/>
                <w:sz w:val="22"/>
                <w:szCs w:val="22"/>
                <w:lang w:eastAsia="en-GB"/>
              </w:rPr>
              <w:t>Total number of exit packages by type</w:t>
            </w:r>
          </w:p>
        </w:tc>
        <w:tc>
          <w:tcPr>
            <w:tcW w:w="1537" w:type="dxa"/>
            <w:gridSpan w:val="2"/>
            <w:tcBorders>
              <w:top w:val="nil"/>
              <w:left w:val="nil"/>
              <w:bottom w:val="single" w:sz="4" w:space="0" w:color="auto"/>
              <w:right w:val="single" w:sz="4" w:space="0" w:color="auto"/>
            </w:tcBorders>
            <w:shd w:val="clear" w:color="auto" w:fill="auto"/>
            <w:noWrap/>
            <w:vAlign w:val="bottom"/>
          </w:tcPr>
          <w:p w14:paraId="157AC17B"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w:t>
            </w:r>
          </w:p>
        </w:tc>
        <w:tc>
          <w:tcPr>
            <w:tcW w:w="1520" w:type="dxa"/>
            <w:gridSpan w:val="2"/>
            <w:tcBorders>
              <w:top w:val="nil"/>
              <w:left w:val="nil"/>
              <w:bottom w:val="single" w:sz="4" w:space="0" w:color="auto"/>
              <w:right w:val="single" w:sz="4" w:space="0" w:color="auto"/>
            </w:tcBorders>
            <w:shd w:val="clear" w:color="auto" w:fill="auto"/>
            <w:noWrap/>
            <w:vAlign w:val="bottom"/>
          </w:tcPr>
          <w:p w14:paraId="215D46E1"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w:t>
            </w:r>
          </w:p>
        </w:tc>
        <w:tc>
          <w:tcPr>
            <w:tcW w:w="1692" w:type="dxa"/>
            <w:gridSpan w:val="2"/>
            <w:tcBorders>
              <w:top w:val="nil"/>
              <w:left w:val="nil"/>
              <w:bottom w:val="single" w:sz="4" w:space="0" w:color="auto"/>
              <w:right w:val="single" w:sz="4" w:space="0" w:color="auto"/>
            </w:tcBorders>
            <w:shd w:val="clear" w:color="auto" w:fill="auto"/>
            <w:noWrap/>
            <w:vAlign w:val="bottom"/>
          </w:tcPr>
          <w:p w14:paraId="1274EC40" w14:textId="77777777" w:rsidR="00791C1B" w:rsidRPr="00952C33" w:rsidRDefault="00791C1B" w:rsidP="00FB6278">
            <w:pPr>
              <w:jc w:val="right"/>
              <w:rPr>
                <w:rFonts w:ascii="Arial" w:hAnsi="Arial"/>
                <w:sz w:val="22"/>
              </w:rPr>
            </w:pPr>
            <w:r w:rsidRPr="00952C33">
              <w:rPr>
                <w:rFonts w:ascii="Arial" w:hAnsi="Arial"/>
                <w:sz w:val="22"/>
              </w:rPr>
              <w:t>-</w:t>
            </w:r>
          </w:p>
        </w:tc>
      </w:tr>
      <w:tr w:rsidR="00791C1B" w:rsidRPr="009E33FB" w14:paraId="35E295DA" w14:textId="77777777" w:rsidTr="005E0560">
        <w:trPr>
          <w:trHeight w:val="285"/>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14:paraId="24D6C44A" w14:textId="77777777" w:rsidR="00791C1B" w:rsidRPr="009E33FB" w:rsidRDefault="00791C1B" w:rsidP="00FB6278">
            <w:pPr>
              <w:rPr>
                <w:rFonts w:ascii="Arial" w:eastAsia="Times New Roman" w:hAnsi="Arial" w:cs="Arial"/>
                <w:sz w:val="22"/>
                <w:szCs w:val="22"/>
                <w:lang w:eastAsia="en-GB"/>
              </w:rPr>
            </w:pPr>
            <w:r w:rsidRPr="009E33FB">
              <w:rPr>
                <w:rFonts w:ascii="Arial" w:eastAsia="Times New Roman" w:hAnsi="Arial" w:cs="Arial"/>
                <w:sz w:val="22"/>
                <w:szCs w:val="22"/>
                <w:lang w:eastAsia="en-GB"/>
              </w:rPr>
              <w:t>Total resource cost £000s</w:t>
            </w:r>
          </w:p>
        </w:tc>
        <w:tc>
          <w:tcPr>
            <w:tcW w:w="1537" w:type="dxa"/>
            <w:gridSpan w:val="2"/>
            <w:tcBorders>
              <w:top w:val="nil"/>
              <w:left w:val="nil"/>
              <w:bottom w:val="single" w:sz="4" w:space="0" w:color="auto"/>
              <w:right w:val="single" w:sz="4" w:space="0" w:color="auto"/>
            </w:tcBorders>
            <w:shd w:val="clear" w:color="auto" w:fill="auto"/>
            <w:noWrap/>
            <w:vAlign w:val="bottom"/>
          </w:tcPr>
          <w:p w14:paraId="5E35052D" w14:textId="3B5454EB" w:rsidR="00791C1B" w:rsidRPr="009E33FB" w:rsidRDefault="002B3BEB" w:rsidP="00FB6278">
            <w:pPr>
              <w:jc w:val="right"/>
              <w:rPr>
                <w:rFonts w:ascii="Arial" w:eastAsia="Times New Roman" w:hAnsi="Arial" w:cs="Arial"/>
                <w:sz w:val="22"/>
                <w:szCs w:val="22"/>
                <w:lang w:eastAsia="en-GB"/>
              </w:rPr>
            </w:pPr>
            <w:r>
              <w:rPr>
                <w:rFonts w:ascii="Arial" w:eastAsia="Times New Roman" w:hAnsi="Arial" w:cs="Arial"/>
                <w:sz w:val="22"/>
                <w:szCs w:val="22"/>
                <w:lang w:eastAsia="en-GB"/>
              </w:rPr>
              <w:t>60</w:t>
            </w:r>
          </w:p>
        </w:tc>
        <w:tc>
          <w:tcPr>
            <w:tcW w:w="1520" w:type="dxa"/>
            <w:gridSpan w:val="2"/>
            <w:tcBorders>
              <w:top w:val="nil"/>
              <w:left w:val="nil"/>
              <w:bottom w:val="single" w:sz="4" w:space="0" w:color="auto"/>
              <w:right w:val="single" w:sz="4" w:space="0" w:color="auto"/>
            </w:tcBorders>
            <w:shd w:val="clear" w:color="auto" w:fill="auto"/>
            <w:noWrap/>
            <w:vAlign w:val="bottom"/>
          </w:tcPr>
          <w:p w14:paraId="33147554" w14:textId="33B7D67E" w:rsidR="00791C1B" w:rsidRPr="009E33FB" w:rsidRDefault="002B3BEB" w:rsidP="00FB6278">
            <w:pPr>
              <w:jc w:val="right"/>
              <w:rPr>
                <w:rFonts w:ascii="Arial" w:eastAsia="Times New Roman" w:hAnsi="Arial" w:cs="Arial"/>
                <w:sz w:val="22"/>
                <w:szCs w:val="22"/>
                <w:lang w:eastAsia="en-GB"/>
              </w:rPr>
            </w:pPr>
            <w:r>
              <w:rPr>
                <w:rFonts w:ascii="Arial" w:eastAsia="Times New Roman" w:hAnsi="Arial" w:cs="Arial"/>
                <w:sz w:val="22"/>
                <w:szCs w:val="22"/>
                <w:lang w:eastAsia="en-GB"/>
              </w:rPr>
              <w:t>-</w:t>
            </w:r>
          </w:p>
        </w:tc>
        <w:tc>
          <w:tcPr>
            <w:tcW w:w="1692" w:type="dxa"/>
            <w:gridSpan w:val="2"/>
            <w:tcBorders>
              <w:top w:val="nil"/>
              <w:left w:val="nil"/>
              <w:bottom w:val="single" w:sz="4" w:space="0" w:color="auto"/>
              <w:right w:val="single" w:sz="4" w:space="0" w:color="auto"/>
            </w:tcBorders>
            <w:shd w:val="clear" w:color="auto" w:fill="auto"/>
            <w:noWrap/>
            <w:vAlign w:val="bottom"/>
          </w:tcPr>
          <w:p w14:paraId="32E5D329" w14:textId="77777777" w:rsidR="00791C1B" w:rsidRPr="00952C33" w:rsidRDefault="00791C1B" w:rsidP="00FB6278">
            <w:pPr>
              <w:jc w:val="right"/>
              <w:rPr>
                <w:rFonts w:ascii="Arial" w:hAnsi="Arial"/>
                <w:sz w:val="22"/>
              </w:rPr>
            </w:pPr>
            <w:r w:rsidRPr="00952C33">
              <w:rPr>
                <w:rFonts w:ascii="Arial" w:hAnsi="Arial"/>
                <w:sz w:val="22"/>
              </w:rPr>
              <w:t>60</w:t>
            </w:r>
          </w:p>
        </w:tc>
      </w:tr>
      <w:tr w:rsidR="00791C1B" w:rsidRPr="009E33FB" w14:paraId="131AD6DD" w14:textId="77777777" w:rsidTr="005E0560">
        <w:trPr>
          <w:gridAfter w:val="1"/>
          <w:wAfter w:w="355" w:type="dxa"/>
          <w:trHeight w:val="255"/>
        </w:trPr>
        <w:tc>
          <w:tcPr>
            <w:tcW w:w="4480" w:type="dxa"/>
            <w:tcBorders>
              <w:top w:val="nil"/>
              <w:left w:val="nil"/>
              <w:bottom w:val="nil"/>
              <w:right w:val="nil"/>
            </w:tcBorders>
            <w:shd w:val="clear" w:color="auto" w:fill="auto"/>
            <w:noWrap/>
            <w:vAlign w:val="bottom"/>
            <w:hideMark/>
          </w:tcPr>
          <w:p w14:paraId="509B8A63" w14:textId="3890BB03" w:rsidR="00791C1B" w:rsidRDefault="00791C1B" w:rsidP="00FB6278">
            <w:pPr>
              <w:rPr>
                <w:rFonts w:ascii="Arial" w:eastAsia="Times New Roman" w:hAnsi="Arial" w:cs="Arial"/>
                <w:sz w:val="22"/>
                <w:szCs w:val="22"/>
                <w:lang w:eastAsia="en-GB"/>
              </w:rPr>
            </w:pPr>
          </w:p>
          <w:p w14:paraId="2363375C" w14:textId="77777777" w:rsidR="001A07DD" w:rsidRPr="009E33FB" w:rsidRDefault="001A07DD" w:rsidP="00FB6278">
            <w:pPr>
              <w:rPr>
                <w:rFonts w:ascii="Arial" w:eastAsia="Times New Roman" w:hAnsi="Arial" w:cs="Arial"/>
                <w:sz w:val="22"/>
                <w:szCs w:val="22"/>
                <w:lang w:eastAsia="en-GB"/>
              </w:rPr>
            </w:pPr>
          </w:p>
          <w:p w14:paraId="7A18C8A9" w14:textId="77777777" w:rsidR="00791C1B" w:rsidRPr="009E33FB" w:rsidRDefault="00791C1B" w:rsidP="00FB6278">
            <w:pPr>
              <w:rPr>
                <w:rFonts w:ascii="Arial" w:eastAsia="Times New Roman" w:hAnsi="Arial" w:cs="Arial"/>
                <w:sz w:val="22"/>
                <w:szCs w:val="22"/>
                <w:lang w:eastAsia="en-GB"/>
              </w:rPr>
            </w:pPr>
          </w:p>
        </w:tc>
        <w:tc>
          <w:tcPr>
            <w:tcW w:w="1537" w:type="dxa"/>
            <w:gridSpan w:val="2"/>
            <w:tcBorders>
              <w:top w:val="nil"/>
              <w:left w:val="nil"/>
              <w:bottom w:val="nil"/>
              <w:right w:val="nil"/>
            </w:tcBorders>
            <w:shd w:val="clear" w:color="auto" w:fill="auto"/>
            <w:noWrap/>
            <w:vAlign w:val="bottom"/>
            <w:hideMark/>
          </w:tcPr>
          <w:p w14:paraId="23D6ED4A" w14:textId="77777777" w:rsidR="00791C1B" w:rsidRPr="009E33FB" w:rsidRDefault="00791C1B" w:rsidP="00FB6278">
            <w:pPr>
              <w:rPr>
                <w:rFonts w:ascii="Arial" w:eastAsia="Times New Roman" w:hAnsi="Arial" w:cs="Arial"/>
                <w:sz w:val="22"/>
                <w:szCs w:val="22"/>
                <w:lang w:eastAsia="en-GB"/>
              </w:rPr>
            </w:pPr>
          </w:p>
        </w:tc>
        <w:tc>
          <w:tcPr>
            <w:tcW w:w="1520" w:type="dxa"/>
            <w:gridSpan w:val="2"/>
            <w:tcBorders>
              <w:top w:val="nil"/>
              <w:left w:val="nil"/>
              <w:bottom w:val="nil"/>
              <w:right w:val="nil"/>
            </w:tcBorders>
            <w:shd w:val="clear" w:color="auto" w:fill="auto"/>
            <w:noWrap/>
            <w:vAlign w:val="bottom"/>
            <w:hideMark/>
          </w:tcPr>
          <w:p w14:paraId="0759E6F5" w14:textId="77777777" w:rsidR="00791C1B" w:rsidRPr="009E33FB" w:rsidRDefault="00791C1B" w:rsidP="00FB6278">
            <w:pPr>
              <w:rPr>
                <w:rFonts w:ascii="Arial" w:eastAsia="Times New Roman" w:hAnsi="Arial" w:cs="Arial"/>
                <w:sz w:val="22"/>
                <w:szCs w:val="22"/>
                <w:lang w:eastAsia="en-GB"/>
              </w:rPr>
            </w:pPr>
          </w:p>
        </w:tc>
        <w:tc>
          <w:tcPr>
            <w:tcW w:w="1692" w:type="dxa"/>
            <w:gridSpan w:val="2"/>
            <w:tcBorders>
              <w:top w:val="nil"/>
              <w:left w:val="nil"/>
              <w:bottom w:val="nil"/>
              <w:right w:val="nil"/>
            </w:tcBorders>
            <w:shd w:val="clear" w:color="auto" w:fill="auto"/>
            <w:noWrap/>
            <w:vAlign w:val="bottom"/>
            <w:hideMark/>
          </w:tcPr>
          <w:p w14:paraId="1EFE0BE3" w14:textId="77777777" w:rsidR="00791C1B" w:rsidRPr="009E33FB" w:rsidRDefault="00791C1B" w:rsidP="00FB6278">
            <w:pPr>
              <w:rPr>
                <w:rFonts w:ascii="Arial" w:eastAsia="Times New Roman" w:hAnsi="Arial" w:cs="Arial"/>
                <w:sz w:val="22"/>
                <w:szCs w:val="22"/>
                <w:lang w:eastAsia="en-GB"/>
              </w:rPr>
            </w:pPr>
          </w:p>
        </w:tc>
      </w:tr>
      <w:tr w:rsidR="00791C1B" w:rsidRPr="009E33FB" w14:paraId="6F0503A4" w14:textId="77777777" w:rsidTr="005E0560">
        <w:trPr>
          <w:trHeight w:val="855"/>
        </w:trPr>
        <w:tc>
          <w:tcPr>
            <w:tcW w:w="637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7B19622" w14:textId="77777777" w:rsidR="00791C1B" w:rsidRPr="00DA33AB" w:rsidRDefault="00791C1B" w:rsidP="00FB6278">
            <w:pPr>
              <w:rPr>
                <w:rFonts w:ascii="Arial" w:eastAsia="Times New Roman" w:hAnsi="Arial" w:cs="Arial"/>
                <w:b/>
                <w:bCs/>
                <w:sz w:val="22"/>
                <w:szCs w:val="22"/>
                <w:lang w:eastAsia="en-GB"/>
              </w:rPr>
            </w:pPr>
            <w:r w:rsidRPr="00DA33AB">
              <w:rPr>
                <w:rFonts w:ascii="Arial" w:eastAsia="Times New Roman" w:hAnsi="Arial" w:cs="Arial"/>
                <w:b/>
                <w:bCs/>
                <w:sz w:val="22"/>
                <w:szCs w:val="22"/>
                <w:lang w:eastAsia="en-GB"/>
              </w:rPr>
              <w:lastRenderedPageBreak/>
              <w:t>Exit packages - non-compulsory departure payments</w:t>
            </w:r>
          </w:p>
        </w:tc>
        <w:tc>
          <w:tcPr>
            <w:tcW w:w="1520" w:type="dxa"/>
            <w:gridSpan w:val="2"/>
            <w:tcBorders>
              <w:top w:val="single" w:sz="4" w:space="0" w:color="auto"/>
              <w:left w:val="nil"/>
              <w:bottom w:val="single" w:sz="4" w:space="0" w:color="auto"/>
              <w:right w:val="single" w:sz="4" w:space="0" w:color="auto"/>
            </w:tcBorders>
            <w:shd w:val="clear" w:color="auto" w:fill="auto"/>
            <w:vAlign w:val="bottom"/>
            <w:hideMark/>
          </w:tcPr>
          <w:p w14:paraId="42D95285" w14:textId="77777777" w:rsidR="00791C1B" w:rsidRPr="00DA33AB" w:rsidRDefault="00791C1B" w:rsidP="00FB6278">
            <w:pPr>
              <w:rPr>
                <w:rFonts w:ascii="Arial" w:eastAsia="Times New Roman" w:hAnsi="Arial" w:cs="Arial"/>
                <w:b/>
                <w:bCs/>
                <w:sz w:val="22"/>
                <w:szCs w:val="22"/>
                <w:lang w:eastAsia="en-GB"/>
              </w:rPr>
            </w:pPr>
            <w:r w:rsidRPr="00DA33AB">
              <w:rPr>
                <w:rFonts w:ascii="Arial" w:eastAsia="Times New Roman" w:hAnsi="Arial" w:cs="Arial"/>
                <w:b/>
                <w:bCs/>
                <w:sz w:val="22"/>
                <w:szCs w:val="22"/>
                <w:lang w:eastAsia="en-GB"/>
              </w:rPr>
              <w:t>Agreements</w:t>
            </w:r>
            <w:r w:rsidRPr="00DA33AB">
              <w:rPr>
                <w:rFonts w:ascii="Arial" w:eastAsia="Times New Roman" w:hAnsi="Arial" w:cs="Arial"/>
                <w:b/>
                <w:bCs/>
                <w:sz w:val="22"/>
                <w:szCs w:val="22"/>
                <w:lang w:eastAsia="en-GB"/>
              </w:rPr>
              <w:br/>
              <w:t>Number</w:t>
            </w:r>
          </w:p>
        </w:tc>
        <w:tc>
          <w:tcPr>
            <w:tcW w:w="1692" w:type="dxa"/>
            <w:gridSpan w:val="2"/>
            <w:tcBorders>
              <w:top w:val="single" w:sz="4" w:space="0" w:color="auto"/>
              <w:left w:val="nil"/>
              <w:bottom w:val="single" w:sz="4" w:space="0" w:color="auto"/>
              <w:right w:val="single" w:sz="4" w:space="0" w:color="auto"/>
            </w:tcBorders>
            <w:shd w:val="clear" w:color="auto" w:fill="auto"/>
            <w:vAlign w:val="bottom"/>
            <w:hideMark/>
          </w:tcPr>
          <w:p w14:paraId="263F8CB0" w14:textId="77777777" w:rsidR="00791C1B" w:rsidRPr="00DA33AB" w:rsidRDefault="00791C1B" w:rsidP="00FB6278">
            <w:pPr>
              <w:rPr>
                <w:rFonts w:ascii="Arial" w:eastAsia="Times New Roman" w:hAnsi="Arial" w:cs="Arial"/>
                <w:b/>
                <w:bCs/>
                <w:sz w:val="22"/>
                <w:szCs w:val="22"/>
                <w:lang w:eastAsia="en-GB"/>
              </w:rPr>
            </w:pPr>
            <w:r w:rsidRPr="00DA33AB">
              <w:rPr>
                <w:rFonts w:ascii="Arial" w:eastAsia="Times New Roman" w:hAnsi="Arial" w:cs="Arial"/>
                <w:b/>
                <w:bCs/>
                <w:sz w:val="22"/>
                <w:szCs w:val="22"/>
                <w:lang w:eastAsia="en-GB"/>
              </w:rPr>
              <w:t>Total Value of Agreements</w:t>
            </w:r>
            <w:r w:rsidRPr="00DA33AB">
              <w:rPr>
                <w:rFonts w:ascii="Arial" w:eastAsia="Times New Roman" w:hAnsi="Arial" w:cs="Arial"/>
                <w:b/>
                <w:bCs/>
                <w:sz w:val="22"/>
                <w:szCs w:val="22"/>
                <w:lang w:eastAsia="en-GB"/>
              </w:rPr>
              <w:br/>
              <w:t>£000s</w:t>
            </w:r>
          </w:p>
        </w:tc>
      </w:tr>
      <w:tr w:rsidR="00791C1B" w:rsidRPr="009E33FB" w14:paraId="4F928FDD" w14:textId="77777777" w:rsidTr="005E0560">
        <w:trPr>
          <w:trHeight w:val="585"/>
        </w:trPr>
        <w:tc>
          <w:tcPr>
            <w:tcW w:w="637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E69A443" w14:textId="77777777" w:rsidR="00791C1B" w:rsidRPr="009E33FB" w:rsidRDefault="00791C1B" w:rsidP="00FB6278">
            <w:pPr>
              <w:rPr>
                <w:rFonts w:ascii="Arial" w:eastAsia="Times New Roman" w:hAnsi="Arial" w:cs="Arial"/>
                <w:sz w:val="22"/>
                <w:szCs w:val="22"/>
                <w:lang w:eastAsia="en-GB"/>
              </w:rPr>
            </w:pPr>
            <w:r w:rsidRPr="009E33FB">
              <w:rPr>
                <w:rFonts w:ascii="Arial" w:eastAsia="Times New Roman" w:hAnsi="Arial" w:cs="Arial"/>
                <w:sz w:val="22"/>
                <w:szCs w:val="22"/>
                <w:lang w:eastAsia="en-GB"/>
              </w:rPr>
              <w:t>Voluntary redundancies including early retirement contractual costs</w:t>
            </w:r>
          </w:p>
        </w:tc>
        <w:tc>
          <w:tcPr>
            <w:tcW w:w="1520" w:type="dxa"/>
            <w:gridSpan w:val="2"/>
            <w:tcBorders>
              <w:top w:val="nil"/>
              <w:left w:val="nil"/>
              <w:bottom w:val="single" w:sz="4" w:space="0" w:color="auto"/>
              <w:right w:val="single" w:sz="4" w:space="0" w:color="auto"/>
            </w:tcBorders>
            <w:shd w:val="clear" w:color="auto" w:fill="auto"/>
            <w:noWrap/>
            <w:vAlign w:val="bottom"/>
          </w:tcPr>
          <w:p w14:paraId="25CF7795" w14:textId="5A07E5BC" w:rsidR="00791C1B" w:rsidRPr="009E33FB" w:rsidRDefault="002B3BEB" w:rsidP="00FB6278">
            <w:pPr>
              <w:jc w:val="right"/>
              <w:rPr>
                <w:rFonts w:ascii="Arial" w:eastAsia="Times New Roman" w:hAnsi="Arial" w:cs="Arial"/>
                <w:sz w:val="22"/>
                <w:szCs w:val="22"/>
                <w:lang w:eastAsia="en-GB"/>
              </w:rPr>
            </w:pPr>
            <w:r>
              <w:rPr>
                <w:rFonts w:ascii="Arial" w:eastAsia="Times New Roman" w:hAnsi="Arial" w:cs="Arial"/>
                <w:sz w:val="22"/>
                <w:szCs w:val="22"/>
                <w:lang w:eastAsia="en-GB"/>
              </w:rPr>
              <w:t>-</w:t>
            </w:r>
          </w:p>
        </w:tc>
        <w:tc>
          <w:tcPr>
            <w:tcW w:w="1692" w:type="dxa"/>
            <w:gridSpan w:val="2"/>
            <w:tcBorders>
              <w:top w:val="nil"/>
              <w:left w:val="nil"/>
              <w:bottom w:val="single" w:sz="4" w:space="0" w:color="auto"/>
              <w:right w:val="single" w:sz="4" w:space="0" w:color="auto"/>
            </w:tcBorders>
            <w:shd w:val="clear" w:color="auto" w:fill="auto"/>
            <w:noWrap/>
            <w:vAlign w:val="bottom"/>
          </w:tcPr>
          <w:p w14:paraId="232B4F6B" w14:textId="7C054778" w:rsidR="00791C1B" w:rsidRPr="009E33FB" w:rsidRDefault="002B3BEB" w:rsidP="00FB6278">
            <w:pPr>
              <w:jc w:val="right"/>
              <w:rPr>
                <w:rFonts w:ascii="Arial" w:eastAsia="Times New Roman" w:hAnsi="Arial" w:cs="Arial"/>
                <w:sz w:val="22"/>
                <w:szCs w:val="22"/>
                <w:lang w:eastAsia="en-GB"/>
              </w:rPr>
            </w:pPr>
            <w:r>
              <w:rPr>
                <w:rFonts w:ascii="Arial" w:eastAsia="Times New Roman" w:hAnsi="Arial" w:cs="Arial"/>
                <w:sz w:val="22"/>
                <w:szCs w:val="22"/>
                <w:lang w:eastAsia="en-GB"/>
              </w:rPr>
              <w:t>-</w:t>
            </w:r>
          </w:p>
        </w:tc>
      </w:tr>
      <w:tr w:rsidR="00791C1B" w:rsidRPr="009E33FB" w14:paraId="2DFB2381" w14:textId="77777777" w:rsidTr="005E0560">
        <w:trPr>
          <w:trHeight w:val="285"/>
        </w:trPr>
        <w:tc>
          <w:tcPr>
            <w:tcW w:w="637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44A602E0" w14:textId="77777777" w:rsidR="00791C1B" w:rsidRPr="009E33FB" w:rsidRDefault="00791C1B" w:rsidP="00FB6278">
            <w:pPr>
              <w:rPr>
                <w:rFonts w:ascii="Arial" w:eastAsia="Times New Roman" w:hAnsi="Arial" w:cs="Arial"/>
                <w:sz w:val="22"/>
                <w:szCs w:val="22"/>
                <w:lang w:eastAsia="en-GB"/>
              </w:rPr>
            </w:pPr>
            <w:r w:rsidRPr="009E33FB">
              <w:rPr>
                <w:rFonts w:ascii="Arial" w:eastAsia="Times New Roman" w:hAnsi="Arial" w:cs="Arial"/>
                <w:sz w:val="22"/>
                <w:szCs w:val="22"/>
                <w:lang w:eastAsia="en-GB"/>
              </w:rPr>
              <w:t>Mutually agreed resignations (MARS) contractual costs</w:t>
            </w:r>
          </w:p>
        </w:tc>
        <w:tc>
          <w:tcPr>
            <w:tcW w:w="1520" w:type="dxa"/>
            <w:gridSpan w:val="2"/>
            <w:tcBorders>
              <w:top w:val="nil"/>
              <w:left w:val="nil"/>
              <w:bottom w:val="single" w:sz="4" w:space="0" w:color="auto"/>
              <w:right w:val="single" w:sz="4" w:space="0" w:color="auto"/>
            </w:tcBorders>
            <w:shd w:val="clear" w:color="auto" w:fill="auto"/>
            <w:vAlign w:val="bottom"/>
          </w:tcPr>
          <w:p w14:paraId="2FC9334D"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w:t>
            </w:r>
          </w:p>
        </w:tc>
        <w:tc>
          <w:tcPr>
            <w:tcW w:w="1692" w:type="dxa"/>
            <w:gridSpan w:val="2"/>
            <w:tcBorders>
              <w:top w:val="nil"/>
              <w:left w:val="nil"/>
              <w:bottom w:val="single" w:sz="4" w:space="0" w:color="auto"/>
              <w:right w:val="single" w:sz="4" w:space="0" w:color="auto"/>
            </w:tcBorders>
            <w:shd w:val="clear" w:color="auto" w:fill="auto"/>
            <w:vAlign w:val="bottom"/>
          </w:tcPr>
          <w:p w14:paraId="54C1E857"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w:t>
            </w:r>
          </w:p>
        </w:tc>
      </w:tr>
      <w:tr w:rsidR="00791C1B" w:rsidRPr="009E33FB" w14:paraId="518477A7" w14:textId="77777777" w:rsidTr="005E0560">
        <w:trPr>
          <w:trHeight w:val="555"/>
        </w:trPr>
        <w:tc>
          <w:tcPr>
            <w:tcW w:w="637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168DD3CC" w14:textId="77777777" w:rsidR="00791C1B" w:rsidRPr="009E33FB" w:rsidRDefault="00791C1B" w:rsidP="00FB6278">
            <w:pPr>
              <w:rPr>
                <w:rFonts w:ascii="Arial" w:eastAsia="Times New Roman" w:hAnsi="Arial" w:cs="Arial"/>
                <w:sz w:val="22"/>
                <w:szCs w:val="22"/>
                <w:lang w:eastAsia="en-GB"/>
              </w:rPr>
            </w:pPr>
            <w:r w:rsidRPr="009E33FB">
              <w:rPr>
                <w:rFonts w:ascii="Arial" w:eastAsia="Times New Roman" w:hAnsi="Arial" w:cs="Arial"/>
                <w:sz w:val="22"/>
                <w:szCs w:val="22"/>
                <w:lang w:eastAsia="en-GB"/>
              </w:rPr>
              <w:t>Early retirements in the efficiency of the service contractual costs</w:t>
            </w:r>
          </w:p>
        </w:tc>
        <w:tc>
          <w:tcPr>
            <w:tcW w:w="1520" w:type="dxa"/>
            <w:gridSpan w:val="2"/>
            <w:tcBorders>
              <w:top w:val="nil"/>
              <w:left w:val="nil"/>
              <w:bottom w:val="single" w:sz="4" w:space="0" w:color="auto"/>
              <w:right w:val="single" w:sz="4" w:space="0" w:color="auto"/>
            </w:tcBorders>
            <w:shd w:val="clear" w:color="auto" w:fill="auto"/>
            <w:noWrap/>
            <w:vAlign w:val="bottom"/>
          </w:tcPr>
          <w:p w14:paraId="5A02FAF8"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w:t>
            </w:r>
          </w:p>
        </w:tc>
        <w:tc>
          <w:tcPr>
            <w:tcW w:w="1692" w:type="dxa"/>
            <w:gridSpan w:val="2"/>
            <w:tcBorders>
              <w:top w:val="nil"/>
              <w:left w:val="nil"/>
              <w:bottom w:val="single" w:sz="4" w:space="0" w:color="auto"/>
              <w:right w:val="single" w:sz="4" w:space="0" w:color="auto"/>
            </w:tcBorders>
            <w:shd w:val="clear" w:color="auto" w:fill="auto"/>
            <w:noWrap/>
            <w:vAlign w:val="bottom"/>
          </w:tcPr>
          <w:p w14:paraId="3F62EF55"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w:t>
            </w:r>
          </w:p>
        </w:tc>
      </w:tr>
      <w:tr w:rsidR="00791C1B" w:rsidRPr="009E33FB" w14:paraId="17D4208D" w14:textId="77777777" w:rsidTr="005E0560">
        <w:trPr>
          <w:trHeight w:val="285"/>
        </w:trPr>
        <w:tc>
          <w:tcPr>
            <w:tcW w:w="637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1EF3176" w14:textId="77777777" w:rsidR="00791C1B" w:rsidRPr="009E33FB" w:rsidRDefault="00791C1B" w:rsidP="00FB6278">
            <w:pPr>
              <w:rPr>
                <w:rFonts w:ascii="Arial" w:eastAsia="Times New Roman" w:hAnsi="Arial" w:cs="Arial"/>
                <w:sz w:val="22"/>
                <w:szCs w:val="22"/>
                <w:lang w:eastAsia="en-GB"/>
              </w:rPr>
            </w:pPr>
            <w:r w:rsidRPr="009E33FB">
              <w:rPr>
                <w:rFonts w:ascii="Arial" w:eastAsia="Times New Roman" w:hAnsi="Arial" w:cs="Arial"/>
                <w:sz w:val="22"/>
                <w:szCs w:val="22"/>
                <w:lang w:eastAsia="en-GB"/>
              </w:rPr>
              <w:t xml:space="preserve">Contractual payments in lieu of notice </w:t>
            </w:r>
          </w:p>
        </w:tc>
        <w:tc>
          <w:tcPr>
            <w:tcW w:w="1520" w:type="dxa"/>
            <w:gridSpan w:val="2"/>
            <w:tcBorders>
              <w:top w:val="nil"/>
              <w:left w:val="nil"/>
              <w:bottom w:val="single" w:sz="4" w:space="0" w:color="auto"/>
              <w:right w:val="single" w:sz="4" w:space="0" w:color="auto"/>
            </w:tcBorders>
            <w:shd w:val="clear" w:color="auto" w:fill="auto"/>
            <w:noWrap/>
            <w:vAlign w:val="bottom"/>
          </w:tcPr>
          <w:p w14:paraId="30495602"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w:t>
            </w:r>
          </w:p>
        </w:tc>
        <w:tc>
          <w:tcPr>
            <w:tcW w:w="1692" w:type="dxa"/>
            <w:gridSpan w:val="2"/>
            <w:tcBorders>
              <w:top w:val="nil"/>
              <w:left w:val="nil"/>
              <w:bottom w:val="single" w:sz="4" w:space="0" w:color="auto"/>
              <w:right w:val="single" w:sz="4" w:space="0" w:color="auto"/>
            </w:tcBorders>
            <w:shd w:val="clear" w:color="auto" w:fill="auto"/>
            <w:noWrap/>
            <w:vAlign w:val="bottom"/>
          </w:tcPr>
          <w:p w14:paraId="087551EA"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w:t>
            </w:r>
          </w:p>
        </w:tc>
      </w:tr>
      <w:tr w:rsidR="00791C1B" w:rsidRPr="009E33FB" w14:paraId="27FB778A" w14:textId="77777777" w:rsidTr="005E0560">
        <w:trPr>
          <w:trHeight w:val="585"/>
        </w:trPr>
        <w:tc>
          <w:tcPr>
            <w:tcW w:w="637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3FF190F2" w14:textId="77777777" w:rsidR="00791C1B" w:rsidRPr="009E33FB" w:rsidRDefault="00791C1B" w:rsidP="00FB6278">
            <w:pPr>
              <w:rPr>
                <w:rFonts w:ascii="Arial" w:eastAsia="Times New Roman" w:hAnsi="Arial" w:cs="Arial"/>
                <w:sz w:val="22"/>
                <w:szCs w:val="22"/>
                <w:lang w:eastAsia="en-GB"/>
              </w:rPr>
            </w:pPr>
            <w:r w:rsidRPr="009E33FB">
              <w:rPr>
                <w:rFonts w:ascii="Arial" w:eastAsia="Times New Roman" w:hAnsi="Arial" w:cs="Arial"/>
                <w:sz w:val="22"/>
                <w:szCs w:val="22"/>
                <w:lang w:eastAsia="en-GB"/>
              </w:rPr>
              <w:t>Exit payments following employment tribunals or court orders</w:t>
            </w:r>
          </w:p>
        </w:tc>
        <w:tc>
          <w:tcPr>
            <w:tcW w:w="1520" w:type="dxa"/>
            <w:gridSpan w:val="2"/>
            <w:tcBorders>
              <w:top w:val="nil"/>
              <w:left w:val="nil"/>
              <w:bottom w:val="single" w:sz="4" w:space="0" w:color="auto"/>
              <w:right w:val="single" w:sz="4" w:space="0" w:color="auto"/>
            </w:tcBorders>
            <w:shd w:val="clear" w:color="auto" w:fill="auto"/>
            <w:noWrap/>
            <w:vAlign w:val="bottom"/>
          </w:tcPr>
          <w:p w14:paraId="315277F2"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w:t>
            </w:r>
          </w:p>
        </w:tc>
        <w:tc>
          <w:tcPr>
            <w:tcW w:w="1692" w:type="dxa"/>
            <w:gridSpan w:val="2"/>
            <w:tcBorders>
              <w:top w:val="nil"/>
              <w:left w:val="nil"/>
              <w:bottom w:val="single" w:sz="4" w:space="0" w:color="auto"/>
              <w:right w:val="single" w:sz="4" w:space="0" w:color="auto"/>
            </w:tcBorders>
            <w:shd w:val="clear" w:color="auto" w:fill="auto"/>
            <w:noWrap/>
            <w:vAlign w:val="bottom"/>
          </w:tcPr>
          <w:p w14:paraId="43D04532"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w:t>
            </w:r>
          </w:p>
        </w:tc>
      </w:tr>
      <w:tr w:rsidR="00791C1B" w:rsidRPr="009E33FB" w14:paraId="2A5A84F9" w14:textId="77777777" w:rsidTr="005E0560">
        <w:trPr>
          <w:trHeight w:val="570"/>
        </w:trPr>
        <w:tc>
          <w:tcPr>
            <w:tcW w:w="637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525C3F1" w14:textId="77777777" w:rsidR="00791C1B" w:rsidRPr="009E33FB" w:rsidRDefault="00791C1B" w:rsidP="00FB6278">
            <w:pPr>
              <w:rPr>
                <w:rFonts w:ascii="Arial" w:eastAsia="Times New Roman" w:hAnsi="Arial" w:cs="Arial"/>
                <w:sz w:val="22"/>
                <w:szCs w:val="22"/>
                <w:lang w:eastAsia="en-GB"/>
              </w:rPr>
            </w:pPr>
            <w:r w:rsidRPr="009E33FB">
              <w:rPr>
                <w:rFonts w:ascii="Arial" w:eastAsia="Times New Roman" w:hAnsi="Arial" w:cs="Arial"/>
                <w:sz w:val="22"/>
                <w:szCs w:val="22"/>
                <w:lang w:eastAsia="en-GB"/>
              </w:rPr>
              <w:t xml:space="preserve">Non-contractual payments requiring HMT approval (special severance </w:t>
            </w:r>
            <w:proofErr w:type="gramStart"/>
            <w:r w:rsidRPr="009E33FB">
              <w:rPr>
                <w:rFonts w:ascii="Arial" w:eastAsia="Times New Roman" w:hAnsi="Arial" w:cs="Arial"/>
                <w:sz w:val="22"/>
                <w:szCs w:val="22"/>
                <w:lang w:eastAsia="en-GB"/>
              </w:rPr>
              <w:t>payments)*</w:t>
            </w:r>
            <w:proofErr w:type="gramEnd"/>
          </w:p>
        </w:tc>
        <w:tc>
          <w:tcPr>
            <w:tcW w:w="1520" w:type="dxa"/>
            <w:gridSpan w:val="2"/>
            <w:tcBorders>
              <w:top w:val="nil"/>
              <w:left w:val="nil"/>
              <w:bottom w:val="single" w:sz="4" w:space="0" w:color="auto"/>
              <w:right w:val="single" w:sz="4" w:space="0" w:color="auto"/>
            </w:tcBorders>
            <w:shd w:val="clear" w:color="auto" w:fill="auto"/>
            <w:noWrap/>
            <w:vAlign w:val="bottom"/>
          </w:tcPr>
          <w:p w14:paraId="44DAFA73"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w:t>
            </w:r>
          </w:p>
        </w:tc>
        <w:tc>
          <w:tcPr>
            <w:tcW w:w="1692" w:type="dxa"/>
            <w:gridSpan w:val="2"/>
            <w:tcBorders>
              <w:top w:val="nil"/>
              <w:left w:val="nil"/>
              <w:bottom w:val="single" w:sz="4" w:space="0" w:color="auto"/>
              <w:right w:val="single" w:sz="4" w:space="0" w:color="auto"/>
            </w:tcBorders>
            <w:shd w:val="clear" w:color="auto" w:fill="auto"/>
            <w:noWrap/>
            <w:vAlign w:val="bottom"/>
          </w:tcPr>
          <w:p w14:paraId="1FC6D809"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w:t>
            </w:r>
          </w:p>
        </w:tc>
      </w:tr>
      <w:tr w:rsidR="00791C1B" w:rsidRPr="009E33FB" w14:paraId="12E60DD1" w14:textId="77777777" w:rsidTr="005E0560">
        <w:trPr>
          <w:trHeight w:val="285"/>
        </w:trPr>
        <w:tc>
          <w:tcPr>
            <w:tcW w:w="637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DAC04AB" w14:textId="77777777" w:rsidR="00791C1B" w:rsidRPr="009E33FB" w:rsidRDefault="00791C1B" w:rsidP="00FB6278">
            <w:pPr>
              <w:rPr>
                <w:rFonts w:ascii="Arial" w:eastAsia="Times New Roman" w:hAnsi="Arial" w:cs="Arial"/>
                <w:sz w:val="22"/>
                <w:szCs w:val="22"/>
                <w:lang w:eastAsia="en-GB"/>
              </w:rPr>
            </w:pPr>
            <w:r w:rsidRPr="009E33FB">
              <w:rPr>
                <w:rFonts w:ascii="Arial" w:eastAsia="Times New Roman" w:hAnsi="Arial" w:cs="Arial"/>
                <w:sz w:val="22"/>
                <w:szCs w:val="22"/>
                <w:lang w:eastAsia="en-GB"/>
              </w:rPr>
              <w:t>Total</w:t>
            </w:r>
          </w:p>
        </w:tc>
        <w:tc>
          <w:tcPr>
            <w:tcW w:w="1520" w:type="dxa"/>
            <w:gridSpan w:val="2"/>
            <w:tcBorders>
              <w:top w:val="nil"/>
              <w:left w:val="nil"/>
              <w:bottom w:val="single" w:sz="4" w:space="0" w:color="auto"/>
              <w:right w:val="single" w:sz="4" w:space="0" w:color="auto"/>
            </w:tcBorders>
            <w:shd w:val="clear" w:color="auto" w:fill="auto"/>
            <w:noWrap/>
            <w:vAlign w:val="bottom"/>
          </w:tcPr>
          <w:p w14:paraId="7B3C0782" w14:textId="7193AF31" w:rsidR="00791C1B" w:rsidRPr="009E33FB" w:rsidRDefault="002B3BEB" w:rsidP="00FB6278">
            <w:pPr>
              <w:jc w:val="right"/>
              <w:rPr>
                <w:rFonts w:ascii="Arial" w:eastAsia="Times New Roman" w:hAnsi="Arial" w:cs="Arial"/>
                <w:sz w:val="22"/>
                <w:szCs w:val="22"/>
                <w:lang w:eastAsia="en-GB"/>
              </w:rPr>
            </w:pPr>
            <w:r>
              <w:rPr>
                <w:rFonts w:ascii="Arial" w:eastAsia="Times New Roman" w:hAnsi="Arial" w:cs="Arial"/>
                <w:sz w:val="22"/>
                <w:szCs w:val="22"/>
                <w:lang w:eastAsia="en-GB"/>
              </w:rPr>
              <w:t>-</w:t>
            </w:r>
          </w:p>
        </w:tc>
        <w:tc>
          <w:tcPr>
            <w:tcW w:w="1692" w:type="dxa"/>
            <w:gridSpan w:val="2"/>
            <w:tcBorders>
              <w:top w:val="nil"/>
              <w:left w:val="nil"/>
              <w:bottom w:val="single" w:sz="4" w:space="0" w:color="auto"/>
              <w:right w:val="single" w:sz="4" w:space="0" w:color="auto"/>
            </w:tcBorders>
            <w:shd w:val="clear" w:color="auto" w:fill="auto"/>
            <w:noWrap/>
            <w:vAlign w:val="bottom"/>
          </w:tcPr>
          <w:p w14:paraId="48F8FBF0" w14:textId="49B4DA85" w:rsidR="00791C1B" w:rsidRPr="009E33FB" w:rsidRDefault="002B3BEB" w:rsidP="00FB6278">
            <w:pPr>
              <w:jc w:val="right"/>
              <w:rPr>
                <w:rFonts w:ascii="Arial" w:eastAsia="Times New Roman" w:hAnsi="Arial" w:cs="Arial"/>
                <w:sz w:val="22"/>
                <w:szCs w:val="22"/>
                <w:lang w:eastAsia="en-GB"/>
              </w:rPr>
            </w:pPr>
            <w:r>
              <w:rPr>
                <w:rFonts w:ascii="Arial" w:eastAsia="Times New Roman" w:hAnsi="Arial" w:cs="Arial"/>
                <w:sz w:val="22"/>
                <w:szCs w:val="22"/>
                <w:lang w:eastAsia="en-GB"/>
              </w:rPr>
              <w:t>-</w:t>
            </w:r>
          </w:p>
        </w:tc>
      </w:tr>
      <w:tr w:rsidR="00791C1B" w:rsidRPr="009E33FB" w14:paraId="0817F150" w14:textId="77777777" w:rsidTr="005E0560">
        <w:trPr>
          <w:trHeight w:val="1110"/>
        </w:trPr>
        <w:tc>
          <w:tcPr>
            <w:tcW w:w="637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1EACC66C" w14:textId="4654A34F" w:rsidR="00791C1B" w:rsidRPr="009E33FB" w:rsidRDefault="00791C1B" w:rsidP="00FB6278">
            <w:pPr>
              <w:rPr>
                <w:rFonts w:ascii="Arial" w:eastAsia="Times New Roman" w:hAnsi="Arial" w:cs="Arial"/>
                <w:sz w:val="22"/>
                <w:szCs w:val="22"/>
                <w:lang w:eastAsia="en-GB"/>
              </w:rPr>
            </w:pPr>
            <w:r w:rsidRPr="009E33FB">
              <w:rPr>
                <w:rFonts w:ascii="Arial" w:eastAsia="Times New Roman" w:hAnsi="Arial" w:cs="Arial"/>
                <w:sz w:val="22"/>
                <w:szCs w:val="22"/>
                <w:lang w:eastAsia="en-GB"/>
              </w:rPr>
              <w:t>Of which:</w:t>
            </w:r>
            <w:r w:rsidRPr="009E33FB">
              <w:rPr>
                <w:rFonts w:ascii="Arial" w:eastAsia="Times New Roman" w:hAnsi="Arial" w:cs="Arial"/>
                <w:sz w:val="22"/>
                <w:szCs w:val="22"/>
                <w:lang w:eastAsia="en-GB"/>
              </w:rPr>
              <w:br/>
              <w:t xml:space="preserve">non-contractual payments requiring HMT approval made to individuals where the payment value was more than 12 </w:t>
            </w:r>
            <w:r w:rsidRPr="00A23770">
              <w:rPr>
                <w:rFonts w:ascii="Arial" w:eastAsia="Times New Roman" w:hAnsi="Arial" w:cs="Arial"/>
                <w:sz w:val="22"/>
                <w:szCs w:val="22"/>
                <w:lang w:eastAsia="en-GB"/>
              </w:rPr>
              <w:t>months</w:t>
            </w:r>
            <w:r w:rsidRPr="009E33FB">
              <w:rPr>
                <w:rFonts w:ascii="Arial" w:eastAsia="Times New Roman" w:hAnsi="Arial" w:cs="Arial"/>
                <w:sz w:val="22"/>
                <w:szCs w:val="22"/>
                <w:lang w:eastAsia="en-GB"/>
              </w:rPr>
              <w:t xml:space="preserve"> of their annual salary</w:t>
            </w:r>
          </w:p>
        </w:tc>
        <w:tc>
          <w:tcPr>
            <w:tcW w:w="1520" w:type="dxa"/>
            <w:gridSpan w:val="2"/>
            <w:tcBorders>
              <w:top w:val="nil"/>
              <w:left w:val="nil"/>
              <w:bottom w:val="single" w:sz="4" w:space="0" w:color="auto"/>
              <w:right w:val="single" w:sz="4" w:space="0" w:color="auto"/>
            </w:tcBorders>
            <w:shd w:val="clear" w:color="auto" w:fill="auto"/>
            <w:noWrap/>
            <w:vAlign w:val="bottom"/>
          </w:tcPr>
          <w:p w14:paraId="6544D940"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w:t>
            </w:r>
          </w:p>
        </w:tc>
        <w:tc>
          <w:tcPr>
            <w:tcW w:w="1692" w:type="dxa"/>
            <w:gridSpan w:val="2"/>
            <w:tcBorders>
              <w:top w:val="nil"/>
              <w:left w:val="nil"/>
              <w:bottom w:val="single" w:sz="4" w:space="0" w:color="auto"/>
              <w:right w:val="single" w:sz="4" w:space="0" w:color="auto"/>
            </w:tcBorders>
            <w:shd w:val="clear" w:color="auto" w:fill="auto"/>
            <w:noWrap/>
            <w:vAlign w:val="bottom"/>
          </w:tcPr>
          <w:p w14:paraId="1D4F590C"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w:t>
            </w:r>
          </w:p>
        </w:tc>
      </w:tr>
    </w:tbl>
    <w:p w14:paraId="19913646" w14:textId="77777777" w:rsidR="00791C1B" w:rsidRPr="009E33FB" w:rsidRDefault="00791C1B" w:rsidP="00FB6278">
      <w:pPr>
        <w:pStyle w:val="MEHArial"/>
        <w:rPr>
          <w:rFonts w:cs="Arial"/>
          <w:b/>
          <w:sz w:val="22"/>
          <w:szCs w:val="22"/>
        </w:rPr>
      </w:pPr>
    </w:p>
    <w:p w14:paraId="72DBD559" w14:textId="1CAE9975" w:rsidR="00791C1B" w:rsidRPr="009E33FB" w:rsidRDefault="00791C1B" w:rsidP="00FB6278">
      <w:pPr>
        <w:pStyle w:val="MEHArial"/>
        <w:rPr>
          <w:rFonts w:cs="Arial"/>
          <w:b/>
          <w:sz w:val="22"/>
          <w:szCs w:val="22"/>
        </w:rPr>
      </w:pPr>
      <w:r w:rsidRPr="009E33FB">
        <w:rPr>
          <w:rFonts w:cs="Arial"/>
          <w:b/>
          <w:sz w:val="22"/>
          <w:szCs w:val="22"/>
        </w:rPr>
        <w:t>Staff exit packages 202</w:t>
      </w:r>
      <w:r w:rsidR="002B3BEB">
        <w:rPr>
          <w:rFonts w:cs="Arial"/>
          <w:b/>
          <w:sz w:val="22"/>
          <w:szCs w:val="22"/>
        </w:rPr>
        <w:t>0</w:t>
      </w:r>
      <w:r w:rsidRPr="009E33FB">
        <w:rPr>
          <w:rFonts w:cs="Arial"/>
          <w:b/>
          <w:sz w:val="22"/>
          <w:szCs w:val="22"/>
        </w:rPr>
        <w:t>/2</w:t>
      </w:r>
      <w:r w:rsidR="002B3BEB">
        <w:rPr>
          <w:rFonts w:cs="Arial"/>
          <w:b/>
          <w:sz w:val="22"/>
          <w:szCs w:val="22"/>
        </w:rPr>
        <w:t>1</w:t>
      </w:r>
    </w:p>
    <w:tbl>
      <w:tblPr>
        <w:tblW w:w="9554" w:type="dxa"/>
        <w:tblInd w:w="93" w:type="dxa"/>
        <w:tblLook w:val="04A0" w:firstRow="1" w:lastRow="0" w:firstColumn="1" w:lastColumn="0" w:noHBand="0" w:noVBand="1"/>
      </w:tblPr>
      <w:tblGrid>
        <w:gridCol w:w="4480"/>
        <w:gridCol w:w="424"/>
        <w:gridCol w:w="1113"/>
        <w:gridCol w:w="534"/>
        <w:gridCol w:w="1023"/>
        <w:gridCol w:w="497"/>
        <w:gridCol w:w="1023"/>
        <w:gridCol w:w="497"/>
      </w:tblGrid>
      <w:tr w:rsidR="00791C1B" w:rsidRPr="009E33FB" w14:paraId="691DC5A1" w14:textId="77777777" w:rsidTr="005E0560">
        <w:trPr>
          <w:trHeight w:val="1140"/>
        </w:trPr>
        <w:tc>
          <w:tcPr>
            <w:tcW w:w="497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694A0D4" w14:textId="77777777" w:rsidR="00791C1B" w:rsidRPr="00DA33AB" w:rsidRDefault="00791C1B" w:rsidP="00FB6278">
            <w:pPr>
              <w:rPr>
                <w:rFonts w:ascii="Arial" w:eastAsia="Times New Roman" w:hAnsi="Arial" w:cs="Arial"/>
                <w:b/>
                <w:bCs/>
                <w:sz w:val="22"/>
                <w:szCs w:val="22"/>
                <w:lang w:eastAsia="en-GB"/>
              </w:rPr>
            </w:pPr>
            <w:r w:rsidRPr="00DA33AB">
              <w:rPr>
                <w:rFonts w:ascii="Arial" w:eastAsia="Times New Roman" w:hAnsi="Arial" w:cs="Arial"/>
                <w:b/>
                <w:bCs/>
                <w:sz w:val="22"/>
                <w:szCs w:val="22"/>
                <w:lang w:eastAsia="en-GB"/>
              </w:rPr>
              <w:t>Exit package cost band</w:t>
            </w:r>
          </w:p>
        </w:tc>
        <w:tc>
          <w:tcPr>
            <w:tcW w:w="1537" w:type="dxa"/>
            <w:gridSpan w:val="2"/>
            <w:tcBorders>
              <w:top w:val="single" w:sz="4" w:space="0" w:color="auto"/>
              <w:left w:val="nil"/>
              <w:bottom w:val="single" w:sz="4" w:space="0" w:color="auto"/>
              <w:right w:val="single" w:sz="4" w:space="0" w:color="auto"/>
            </w:tcBorders>
            <w:shd w:val="clear" w:color="auto" w:fill="auto"/>
            <w:vAlign w:val="bottom"/>
            <w:hideMark/>
          </w:tcPr>
          <w:p w14:paraId="3EEADBA1" w14:textId="77777777" w:rsidR="00791C1B" w:rsidRPr="00DA33AB" w:rsidRDefault="00791C1B" w:rsidP="00FB6278">
            <w:pPr>
              <w:rPr>
                <w:rFonts w:ascii="Arial" w:hAnsi="Arial"/>
                <w:b/>
                <w:bCs/>
                <w:sz w:val="22"/>
              </w:rPr>
            </w:pPr>
            <w:r w:rsidRPr="00DA33AB">
              <w:rPr>
                <w:rFonts w:ascii="Arial" w:hAnsi="Arial"/>
                <w:b/>
                <w:bCs/>
                <w:sz w:val="22"/>
              </w:rPr>
              <w:t>Number of compulsory redundancies</w:t>
            </w:r>
          </w:p>
        </w:tc>
        <w:tc>
          <w:tcPr>
            <w:tcW w:w="1520" w:type="dxa"/>
            <w:gridSpan w:val="2"/>
            <w:tcBorders>
              <w:top w:val="single" w:sz="4" w:space="0" w:color="auto"/>
              <w:left w:val="nil"/>
              <w:bottom w:val="single" w:sz="4" w:space="0" w:color="auto"/>
              <w:right w:val="single" w:sz="4" w:space="0" w:color="auto"/>
            </w:tcBorders>
            <w:shd w:val="clear" w:color="auto" w:fill="auto"/>
            <w:vAlign w:val="bottom"/>
            <w:hideMark/>
          </w:tcPr>
          <w:p w14:paraId="52F877A5" w14:textId="77777777" w:rsidR="00791C1B" w:rsidRPr="00DA33AB" w:rsidRDefault="00791C1B" w:rsidP="00FB6278">
            <w:pPr>
              <w:rPr>
                <w:rFonts w:ascii="Arial" w:hAnsi="Arial"/>
                <w:b/>
                <w:bCs/>
                <w:sz w:val="22"/>
              </w:rPr>
            </w:pPr>
            <w:r w:rsidRPr="00DA33AB">
              <w:rPr>
                <w:rFonts w:ascii="Arial" w:hAnsi="Arial"/>
                <w:b/>
                <w:bCs/>
                <w:sz w:val="22"/>
              </w:rPr>
              <w:t>Number of other departures agreed</w:t>
            </w:r>
          </w:p>
        </w:tc>
        <w:tc>
          <w:tcPr>
            <w:tcW w:w="1520" w:type="dxa"/>
            <w:gridSpan w:val="2"/>
            <w:tcBorders>
              <w:top w:val="single" w:sz="4" w:space="0" w:color="auto"/>
              <w:left w:val="nil"/>
              <w:bottom w:val="single" w:sz="4" w:space="0" w:color="auto"/>
              <w:right w:val="single" w:sz="4" w:space="0" w:color="auto"/>
            </w:tcBorders>
            <w:shd w:val="clear" w:color="auto" w:fill="auto"/>
            <w:vAlign w:val="bottom"/>
            <w:hideMark/>
          </w:tcPr>
          <w:p w14:paraId="2112CBB6" w14:textId="77777777" w:rsidR="00791C1B" w:rsidRPr="00DA33AB" w:rsidRDefault="00791C1B" w:rsidP="00FB6278">
            <w:pPr>
              <w:rPr>
                <w:rFonts w:ascii="Arial" w:hAnsi="Arial"/>
                <w:b/>
                <w:bCs/>
                <w:sz w:val="22"/>
              </w:rPr>
            </w:pPr>
            <w:r w:rsidRPr="00DA33AB">
              <w:rPr>
                <w:rFonts w:ascii="Arial" w:hAnsi="Arial"/>
                <w:b/>
                <w:bCs/>
                <w:sz w:val="22"/>
              </w:rPr>
              <w:t>Total number of exit packages by cost band</w:t>
            </w:r>
          </w:p>
        </w:tc>
      </w:tr>
      <w:tr w:rsidR="00791C1B" w:rsidRPr="009E33FB" w14:paraId="4646B32F" w14:textId="77777777" w:rsidTr="005E0560">
        <w:trPr>
          <w:trHeight w:val="285"/>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14:paraId="36339A64" w14:textId="77777777" w:rsidR="00791C1B" w:rsidRPr="009E33FB" w:rsidRDefault="00791C1B" w:rsidP="00FB6278">
            <w:pPr>
              <w:rPr>
                <w:rFonts w:ascii="Arial" w:eastAsia="Times New Roman" w:hAnsi="Arial" w:cs="Arial"/>
                <w:sz w:val="22"/>
                <w:szCs w:val="22"/>
                <w:lang w:eastAsia="en-GB"/>
              </w:rPr>
            </w:pPr>
            <w:r w:rsidRPr="009E33FB">
              <w:rPr>
                <w:rFonts w:ascii="Arial" w:eastAsia="Times New Roman" w:hAnsi="Arial" w:cs="Arial"/>
                <w:sz w:val="22"/>
                <w:szCs w:val="22"/>
                <w:lang w:eastAsia="en-GB"/>
              </w:rPr>
              <w:t>&lt;£10,000</w:t>
            </w:r>
          </w:p>
        </w:tc>
        <w:tc>
          <w:tcPr>
            <w:tcW w:w="1537" w:type="dxa"/>
            <w:gridSpan w:val="2"/>
            <w:tcBorders>
              <w:top w:val="nil"/>
              <w:left w:val="nil"/>
              <w:bottom w:val="single" w:sz="4" w:space="0" w:color="auto"/>
              <w:right w:val="single" w:sz="4" w:space="0" w:color="auto"/>
            </w:tcBorders>
            <w:shd w:val="clear" w:color="auto" w:fill="auto"/>
            <w:noWrap/>
            <w:vAlign w:val="bottom"/>
          </w:tcPr>
          <w:p w14:paraId="74B6AD31"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w:t>
            </w:r>
          </w:p>
        </w:tc>
        <w:tc>
          <w:tcPr>
            <w:tcW w:w="1520" w:type="dxa"/>
            <w:gridSpan w:val="2"/>
            <w:tcBorders>
              <w:top w:val="nil"/>
              <w:left w:val="nil"/>
              <w:bottom w:val="single" w:sz="4" w:space="0" w:color="auto"/>
              <w:right w:val="single" w:sz="4" w:space="0" w:color="auto"/>
            </w:tcBorders>
            <w:shd w:val="clear" w:color="auto" w:fill="auto"/>
            <w:noWrap/>
            <w:vAlign w:val="bottom"/>
          </w:tcPr>
          <w:p w14:paraId="1F1F19DA"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5</w:t>
            </w:r>
          </w:p>
        </w:tc>
        <w:tc>
          <w:tcPr>
            <w:tcW w:w="1520" w:type="dxa"/>
            <w:gridSpan w:val="2"/>
            <w:tcBorders>
              <w:top w:val="nil"/>
              <w:left w:val="nil"/>
              <w:bottom w:val="single" w:sz="4" w:space="0" w:color="auto"/>
              <w:right w:val="single" w:sz="4" w:space="0" w:color="auto"/>
            </w:tcBorders>
            <w:shd w:val="clear" w:color="auto" w:fill="auto"/>
            <w:noWrap/>
            <w:vAlign w:val="bottom"/>
          </w:tcPr>
          <w:p w14:paraId="072F8D27" w14:textId="77777777" w:rsidR="00791C1B" w:rsidRPr="00952C33" w:rsidRDefault="00791C1B" w:rsidP="00FB6278">
            <w:pPr>
              <w:jc w:val="right"/>
              <w:rPr>
                <w:rFonts w:ascii="Arial" w:hAnsi="Arial"/>
                <w:sz w:val="22"/>
              </w:rPr>
            </w:pPr>
            <w:r w:rsidRPr="00952C33">
              <w:rPr>
                <w:rFonts w:ascii="Arial" w:hAnsi="Arial"/>
                <w:sz w:val="22"/>
              </w:rPr>
              <w:t>5</w:t>
            </w:r>
          </w:p>
        </w:tc>
      </w:tr>
      <w:tr w:rsidR="00791C1B" w:rsidRPr="009E33FB" w14:paraId="0D5C4890" w14:textId="77777777" w:rsidTr="005E0560">
        <w:trPr>
          <w:trHeight w:val="285"/>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14:paraId="2154FDC0" w14:textId="77777777" w:rsidR="00791C1B" w:rsidRPr="009E33FB" w:rsidRDefault="00791C1B" w:rsidP="00FB6278">
            <w:pPr>
              <w:rPr>
                <w:rFonts w:ascii="Arial" w:eastAsia="Times New Roman" w:hAnsi="Arial" w:cs="Arial"/>
                <w:sz w:val="22"/>
                <w:szCs w:val="22"/>
                <w:lang w:eastAsia="en-GB"/>
              </w:rPr>
            </w:pPr>
            <w:r w:rsidRPr="009E33FB">
              <w:rPr>
                <w:rFonts w:ascii="Arial" w:eastAsia="Times New Roman" w:hAnsi="Arial" w:cs="Arial"/>
                <w:sz w:val="22"/>
                <w:szCs w:val="22"/>
                <w:lang w:eastAsia="en-GB"/>
              </w:rPr>
              <w:t>£10,001 – £25,000</w:t>
            </w:r>
          </w:p>
        </w:tc>
        <w:tc>
          <w:tcPr>
            <w:tcW w:w="1537" w:type="dxa"/>
            <w:gridSpan w:val="2"/>
            <w:tcBorders>
              <w:top w:val="nil"/>
              <w:left w:val="nil"/>
              <w:bottom w:val="single" w:sz="4" w:space="0" w:color="auto"/>
              <w:right w:val="single" w:sz="4" w:space="0" w:color="auto"/>
            </w:tcBorders>
            <w:shd w:val="clear" w:color="auto" w:fill="auto"/>
            <w:noWrap/>
            <w:vAlign w:val="bottom"/>
          </w:tcPr>
          <w:p w14:paraId="549762E6"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w:t>
            </w:r>
          </w:p>
        </w:tc>
        <w:tc>
          <w:tcPr>
            <w:tcW w:w="1520" w:type="dxa"/>
            <w:gridSpan w:val="2"/>
            <w:tcBorders>
              <w:top w:val="nil"/>
              <w:left w:val="nil"/>
              <w:bottom w:val="single" w:sz="4" w:space="0" w:color="auto"/>
              <w:right w:val="single" w:sz="4" w:space="0" w:color="auto"/>
            </w:tcBorders>
            <w:shd w:val="clear" w:color="auto" w:fill="auto"/>
            <w:noWrap/>
            <w:vAlign w:val="bottom"/>
          </w:tcPr>
          <w:p w14:paraId="4EB9FB94"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2</w:t>
            </w:r>
          </w:p>
        </w:tc>
        <w:tc>
          <w:tcPr>
            <w:tcW w:w="1520" w:type="dxa"/>
            <w:gridSpan w:val="2"/>
            <w:tcBorders>
              <w:top w:val="nil"/>
              <w:left w:val="nil"/>
              <w:bottom w:val="single" w:sz="4" w:space="0" w:color="auto"/>
              <w:right w:val="single" w:sz="4" w:space="0" w:color="auto"/>
            </w:tcBorders>
            <w:shd w:val="clear" w:color="auto" w:fill="auto"/>
            <w:noWrap/>
            <w:vAlign w:val="bottom"/>
          </w:tcPr>
          <w:p w14:paraId="4FF5376E" w14:textId="77777777" w:rsidR="00791C1B" w:rsidRPr="00952C33" w:rsidRDefault="00791C1B" w:rsidP="00FB6278">
            <w:pPr>
              <w:jc w:val="right"/>
              <w:rPr>
                <w:rFonts w:ascii="Arial" w:hAnsi="Arial"/>
                <w:sz w:val="22"/>
              </w:rPr>
            </w:pPr>
            <w:r w:rsidRPr="00952C33">
              <w:rPr>
                <w:rFonts w:ascii="Arial" w:hAnsi="Arial"/>
                <w:sz w:val="22"/>
              </w:rPr>
              <w:t>2</w:t>
            </w:r>
          </w:p>
        </w:tc>
      </w:tr>
      <w:tr w:rsidR="00791C1B" w:rsidRPr="009E33FB" w14:paraId="638E8F15" w14:textId="77777777" w:rsidTr="005E0560">
        <w:trPr>
          <w:trHeight w:val="285"/>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14:paraId="2858685F" w14:textId="77777777" w:rsidR="00791C1B" w:rsidRPr="009E33FB" w:rsidRDefault="00791C1B" w:rsidP="00FB6278">
            <w:pPr>
              <w:rPr>
                <w:rFonts w:ascii="Arial" w:eastAsia="Times New Roman" w:hAnsi="Arial" w:cs="Arial"/>
                <w:sz w:val="22"/>
                <w:szCs w:val="22"/>
                <w:lang w:eastAsia="en-GB"/>
              </w:rPr>
            </w:pPr>
            <w:r w:rsidRPr="009E33FB">
              <w:rPr>
                <w:rFonts w:ascii="Arial" w:eastAsia="Times New Roman" w:hAnsi="Arial" w:cs="Arial"/>
                <w:sz w:val="22"/>
                <w:szCs w:val="22"/>
                <w:lang w:eastAsia="en-GB"/>
              </w:rPr>
              <w:t>£25,001 – £50,000</w:t>
            </w:r>
          </w:p>
        </w:tc>
        <w:tc>
          <w:tcPr>
            <w:tcW w:w="1537" w:type="dxa"/>
            <w:gridSpan w:val="2"/>
            <w:tcBorders>
              <w:top w:val="nil"/>
              <w:left w:val="nil"/>
              <w:bottom w:val="single" w:sz="4" w:space="0" w:color="auto"/>
              <w:right w:val="single" w:sz="4" w:space="0" w:color="auto"/>
            </w:tcBorders>
            <w:shd w:val="clear" w:color="auto" w:fill="auto"/>
            <w:noWrap/>
            <w:vAlign w:val="bottom"/>
          </w:tcPr>
          <w:p w14:paraId="62A8D6DB"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w:t>
            </w:r>
          </w:p>
        </w:tc>
        <w:tc>
          <w:tcPr>
            <w:tcW w:w="1520" w:type="dxa"/>
            <w:gridSpan w:val="2"/>
            <w:tcBorders>
              <w:top w:val="nil"/>
              <w:left w:val="nil"/>
              <w:bottom w:val="single" w:sz="4" w:space="0" w:color="auto"/>
              <w:right w:val="single" w:sz="4" w:space="0" w:color="auto"/>
            </w:tcBorders>
            <w:shd w:val="clear" w:color="auto" w:fill="auto"/>
            <w:noWrap/>
            <w:vAlign w:val="bottom"/>
          </w:tcPr>
          <w:p w14:paraId="0247814E"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1</w:t>
            </w:r>
          </w:p>
        </w:tc>
        <w:tc>
          <w:tcPr>
            <w:tcW w:w="1520" w:type="dxa"/>
            <w:gridSpan w:val="2"/>
            <w:tcBorders>
              <w:top w:val="nil"/>
              <w:left w:val="nil"/>
              <w:bottom w:val="single" w:sz="4" w:space="0" w:color="auto"/>
              <w:right w:val="single" w:sz="4" w:space="0" w:color="auto"/>
            </w:tcBorders>
            <w:shd w:val="clear" w:color="auto" w:fill="auto"/>
            <w:noWrap/>
            <w:vAlign w:val="bottom"/>
          </w:tcPr>
          <w:p w14:paraId="0C38367A" w14:textId="77777777" w:rsidR="00791C1B" w:rsidRPr="00952C33" w:rsidRDefault="00791C1B" w:rsidP="00FB6278">
            <w:pPr>
              <w:jc w:val="right"/>
              <w:rPr>
                <w:rFonts w:ascii="Arial" w:hAnsi="Arial"/>
                <w:sz w:val="22"/>
              </w:rPr>
            </w:pPr>
            <w:r w:rsidRPr="00952C33">
              <w:rPr>
                <w:rFonts w:ascii="Arial" w:hAnsi="Arial"/>
                <w:sz w:val="22"/>
              </w:rPr>
              <w:t>1</w:t>
            </w:r>
          </w:p>
        </w:tc>
      </w:tr>
      <w:tr w:rsidR="00791C1B" w:rsidRPr="009E33FB" w14:paraId="33F59E4A" w14:textId="77777777" w:rsidTr="005E0560">
        <w:trPr>
          <w:trHeight w:val="285"/>
        </w:trPr>
        <w:tc>
          <w:tcPr>
            <w:tcW w:w="4977" w:type="dxa"/>
            <w:gridSpan w:val="2"/>
            <w:tcBorders>
              <w:top w:val="nil"/>
              <w:left w:val="single" w:sz="4" w:space="0" w:color="auto"/>
              <w:bottom w:val="single" w:sz="4" w:space="0" w:color="auto"/>
              <w:right w:val="single" w:sz="4" w:space="0" w:color="auto"/>
            </w:tcBorders>
            <w:shd w:val="clear" w:color="auto" w:fill="auto"/>
            <w:vAlign w:val="center"/>
          </w:tcPr>
          <w:p w14:paraId="6F140244" w14:textId="77777777" w:rsidR="00791C1B" w:rsidRPr="009E33FB" w:rsidRDefault="00791C1B" w:rsidP="00FB6278">
            <w:pPr>
              <w:rPr>
                <w:rFonts w:ascii="Arial" w:eastAsia="Times New Roman" w:hAnsi="Arial" w:cs="Arial"/>
                <w:sz w:val="22"/>
                <w:szCs w:val="22"/>
                <w:lang w:eastAsia="en-GB"/>
              </w:rPr>
            </w:pPr>
            <w:r w:rsidRPr="009E33FB">
              <w:rPr>
                <w:rFonts w:ascii="Arial" w:eastAsia="Times New Roman" w:hAnsi="Arial" w:cs="Arial"/>
                <w:sz w:val="22"/>
                <w:szCs w:val="22"/>
                <w:lang w:eastAsia="en-GB"/>
              </w:rPr>
              <w:t>£50,001 - £100,000</w:t>
            </w:r>
          </w:p>
        </w:tc>
        <w:tc>
          <w:tcPr>
            <w:tcW w:w="1537" w:type="dxa"/>
            <w:gridSpan w:val="2"/>
            <w:tcBorders>
              <w:top w:val="nil"/>
              <w:left w:val="nil"/>
              <w:bottom w:val="single" w:sz="4" w:space="0" w:color="auto"/>
              <w:right w:val="single" w:sz="4" w:space="0" w:color="auto"/>
            </w:tcBorders>
            <w:shd w:val="clear" w:color="auto" w:fill="auto"/>
            <w:noWrap/>
            <w:vAlign w:val="bottom"/>
          </w:tcPr>
          <w:p w14:paraId="6DA7DFF7"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w:t>
            </w:r>
          </w:p>
        </w:tc>
        <w:tc>
          <w:tcPr>
            <w:tcW w:w="1520" w:type="dxa"/>
            <w:gridSpan w:val="2"/>
            <w:tcBorders>
              <w:top w:val="nil"/>
              <w:left w:val="nil"/>
              <w:bottom w:val="single" w:sz="4" w:space="0" w:color="auto"/>
              <w:right w:val="single" w:sz="4" w:space="0" w:color="auto"/>
            </w:tcBorders>
            <w:shd w:val="clear" w:color="auto" w:fill="auto"/>
            <w:noWrap/>
            <w:vAlign w:val="bottom"/>
          </w:tcPr>
          <w:p w14:paraId="5C47EAE8"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2</w:t>
            </w:r>
          </w:p>
        </w:tc>
        <w:tc>
          <w:tcPr>
            <w:tcW w:w="1520" w:type="dxa"/>
            <w:gridSpan w:val="2"/>
            <w:tcBorders>
              <w:top w:val="nil"/>
              <w:left w:val="nil"/>
              <w:bottom w:val="single" w:sz="4" w:space="0" w:color="auto"/>
              <w:right w:val="single" w:sz="4" w:space="0" w:color="auto"/>
            </w:tcBorders>
            <w:shd w:val="clear" w:color="auto" w:fill="auto"/>
            <w:noWrap/>
            <w:vAlign w:val="bottom"/>
          </w:tcPr>
          <w:p w14:paraId="4E0BC0F0" w14:textId="77777777" w:rsidR="00791C1B" w:rsidRPr="00952C33" w:rsidRDefault="00791C1B" w:rsidP="00FB6278">
            <w:pPr>
              <w:jc w:val="right"/>
              <w:rPr>
                <w:rFonts w:ascii="Arial" w:hAnsi="Arial"/>
                <w:sz w:val="22"/>
              </w:rPr>
            </w:pPr>
            <w:r w:rsidRPr="00952C33">
              <w:rPr>
                <w:rFonts w:ascii="Arial" w:hAnsi="Arial"/>
                <w:sz w:val="22"/>
              </w:rPr>
              <w:t>2</w:t>
            </w:r>
          </w:p>
        </w:tc>
      </w:tr>
      <w:tr w:rsidR="00791C1B" w:rsidRPr="009E33FB" w14:paraId="133772B6" w14:textId="77777777" w:rsidTr="005E0560">
        <w:trPr>
          <w:trHeight w:val="285"/>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14:paraId="70C65452" w14:textId="77777777" w:rsidR="00791C1B" w:rsidRPr="009E33FB" w:rsidRDefault="00791C1B" w:rsidP="00FB6278">
            <w:pPr>
              <w:rPr>
                <w:rFonts w:ascii="Arial" w:eastAsia="Times New Roman" w:hAnsi="Arial" w:cs="Arial"/>
                <w:sz w:val="22"/>
                <w:szCs w:val="22"/>
                <w:lang w:eastAsia="en-GB"/>
              </w:rPr>
            </w:pPr>
            <w:r w:rsidRPr="009E33FB">
              <w:rPr>
                <w:rFonts w:ascii="Arial" w:eastAsia="Times New Roman" w:hAnsi="Arial" w:cs="Arial"/>
                <w:sz w:val="22"/>
                <w:szCs w:val="22"/>
                <w:lang w:eastAsia="en-GB"/>
              </w:rPr>
              <w:t>Total number of exit packages by type</w:t>
            </w:r>
          </w:p>
        </w:tc>
        <w:tc>
          <w:tcPr>
            <w:tcW w:w="1537" w:type="dxa"/>
            <w:gridSpan w:val="2"/>
            <w:tcBorders>
              <w:top w:val="nil"/>
              <w:left w:val="nil"/>
              <w:bottom w:val="single" w:sz="4" w:space="0" w:color="auto"/>
              <w:right w:val="single" w:sz="4" w:space="0" w:color="auto"/>
            </w:tcBorders>
            <w:shd w:val="clear" w:color="auto" w:fill="auto"/>
            <w:noWrap/>
            <w:vAlign w:val="bottom"/>
          </w:tcPr>
          <w:p w14:paraId="039DCD05"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w:t>
            </w:r>
          </w:p>
        </w:tc>
        <w:tc>
          <w:tcPr>
            <w:tcW w:w="1520" w:type="dxa"/>
            <w:gridSpan w:val="2"/>
            <w:tcBorders>
              <w:top w:val="nil"/>
              <w:left w:val="nil"/>
              <w:bottom w:val="single" w:sz="4" w:space="0" w:color="auto"/>
              <w:right w:val="single" w:sz="4" w:space="0" w:color="auto"/>
            </w:tcBorders>
            <w:shd w:val="clear" w:color="auto" w:fill="auto"/>
            <w:noWrap/>
            <w:vAlign w:val="bottom"/>
          </w:tcPr>
          <w:p w14:paraId="57CEFCC6"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10</w:t>
            </w:r>
          </w:p>
        </w:tc>
        <w:tc>
          <w:tcPr>
            <w:tcW w:w="1520" w:type="dxa"/>
            <w:gridSpan w:val="2"/>
            <w:tcBorders>
              <w:top w:val="nil"/>
              <w:left w:val="nil"/>
              <w:bottom w:val="single" w:sz="4" w:space="0" w:color="auto"/>
              <w:right w:val="single" w:sz="4" w:space="0" w:color="auto"/>
            </w:tcBorders>
            <w:shd w:val="clear" w:color="auto" w:fill="auto"/>
            <w:noWrap/>
            <w:vAlign w:val="bottom"/>
          </w:tcPr>
          <w:p w14:paraId="3AC42E78" w14:textId="77777777" w:rsidR="00791C1B" w:rsidRPr="00952C33" w:rsidRDefault="00791C1B" w:rsidP="00FB6278">
            <w:pPr>
              <w:jc w:val="right"/>
              <w:rPr>
                <w:rFonts w:ascii="Arial" w:hAnsi="Arial"/>
                <w:sz w:val="22"/>
              </w:rPr>
            </w:pPr>
            <w:r w:rsidRPr="00952C33">
              <w:rPr>
                <w:rFonts w:ascii="Arial" w:hAnsi="Arial"/>
                <w:sz w:val="22"/>
              </w:rPr>
              <w:t>10</w:t>
            </w:r>
          </w:p>
        </w:tc>
      </w:tr>
      <w:tr w:rsidR="00791C1B" w:rsidRPr="009E33FB" w14:paraId="12D30F76" w14:textId="77777777" w:rsidTr="005E0560">
        <w:trPr>
          <w:trHeight w:val="285"/>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14:paraId="51385DAC" w14:textId="77777777" w:rsidR="00791C1B" w:rsidRPr="009E33FB" w:rsidRDefault="00791C1B" w:rsidP="00FB6278">
            <w:pPr>
              <w:rPr>
                <w:rFonts w:ascii="Arial" w:eastAsia="Times New Roman" w:hAnsi="Arial" w:cs="Arial"/>
                <w:sz w:val="22"/>
                <w:szCs w:val="22"/>
                <w:lang w:eastAsia="en-GB"/>
              </w:rPr>
            </w:pPr>
            <w:r w:rsidRPr="009E33FB">
              <w:rPr>
                <w:rFonts w:ascii="Arial" w:eastAsia="Times New Roman" w:hAnsi="Arial" w:cs="Arial"/>
                <w:sz w:val="22"/>
                <w:szCs w:val="22"/>
                <w:lang w:eastAsia="en-GB"/>
              </w:rPr>
              <w:t>Total resource cost £000s</w:t>
            </w:r>
          </w:p>
        </w:tc>
        <w:tc>
          <w:tcPr>
            <w:tcW w:w="1537" w:type="dxa"/>
            <w:gridSpan w:val="2"/>
            <w:tcBorders>
              <w:top w:val="nil"/>
              <w:left w:val="nil"/>
              <w:bottom w:val="single" w:sz="4" w:space="0" w:color="auto"/>
              <w:right w:val="single" w:sz="4" w:space="0" w:color="auto"/>
            </w:tcBorders>
            <w:shd w:val="clear" w:color="auto" w:fill="auto"/>
            <w:noWrap/>
            <w:vAlign w:val="bottom"/>
          </w:tcPr>
          <w:p w14:paraId="7A6E7A1B"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w:t>
            </w:r>
          </w:p>
        </w:tc>
        <w:tc>
          <w:tcPr>
            <w:tcW w:w="1520" w:type="dxa"/>
            <w:gridSpan w:val="2"/>
            <w:tcBorders>
              <w:top w:val="nil"/>
              <w:left w:val="nil"/>
              <w:bottom w:val="single" w:sz="4" w:space="0" w:color="auto"/>
              <w:right w:val="single" w:sz="4" w:space="0" w:color="auto"/>
            </w:tcBorders>
            <w:shd w:val="clear" w:color="auto" w:fill="auto"/>
            <w:noWrap/>
            <w:vAlign w:val="bottom"/>
          </w:tcPr>
          <w:p w14:paraId="7B4F49DA"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230</w:t>
            </w:r>
          </w:p>
        </w:tc>
        <w:tc>
          <w:tcPr>
            <w:tcW w:w="1520" w:type="dxa"/>
            <w:gridSpan w:val="2"/>
            <w:tcBorders>
              <w:top w:val="nil"/>
              <w:left w:val="nil"/>
              <w:bottom w:val="single" w:sz="4" w:space="0" w:color="auto"/>
              <w:right w:val="single" w:sz="4" w:space="0" w:color="auto"/>
            </w:tcBorders>
            <w:shd w:val="clear" w:color="auto" w:fill="auto"/>
            <w:noWrap/>
            <w:vAlign w:val="bottom"/>
          </w:tcPr>
          <w:p w14:paraId="2BD12DB4" w14:textId="77777777" w:rsidR="00791C1B" w:rsidRPr="00952C33" w:rsidRDefault="00791C1B" w:rsidP="00FB6278">
            <w:pPr>
              <w:jc w:val="right"/>
              <w:rPr>
                <w:rFonts w:ascii="Arial" w:hAnsi="Arial"/>
                <w:sz w:val="22"/>
              </w:rPr>
            </w:pPr>
            <w:r w:rsidRPr="00952C33">
              <w:rPr>
                <w:rFonts w:ascii="Arial" w:hAnsi="Arial"/>
                <w:sz w:val="22"/>
              </w:rPr>
              <w:t>230</w:t>
            </w:r>
          </w:p>
        </w:tc>
      </w:tr>
      <w:tr w:rsidR="00791C1B" w:rsidRPr="009E33FB" w14:paraId="510CDFA0" w14:textId="77777777" w:rsidTr="005E0560">
        <w:trPr>
          <w:gridAfter w:val="1"/>
          <w:wAfter w:w="497" w:type="dxa"/>
          <w:trHeight w:val="255"/>
        </w:trPr>
        <w:tc>
          <w:tcPr>
            <w:tcW w:w="4480" w:type="dxa"/>
            <w:tcBorders>
              <w:top w:val="nil"/>
              <w:left w:val="nil"/>
              <w:bottom w:val="nil"/>
              <w:right w:val="nil"/>
            </w:tcBorders>
            <w:shd w:val="clear" w:color="auto" w:fill="auto"/>
            <w:noWrap/>
            <w:vAlign w:val="bottom"/>
          </w:tcPr>
          <w:p w14:paraId="4604D6C4" w14:textId="13BCAE81" w:rsidR="0066712A" w:rsidRPr="009E33FB" w:rsidRDefault="0066712A" w:rsidP="00FB6278">
            <w:pPr>
              <w:rPr>
                <w:rFonts w:ascii="Arial" w:eastAsia="Times New Roman" w:hAnsi="Arial" w:cs="Arial"/>
                <w:sz w:val="22"/>
                <w:szCs w:val="22"/>
                <w:lang w:eastAsia="en-GB"/>
              </w:rPr>
            </w:pPr>
          </w:p>
        </w:tc>
        <w:tc>
          <w:tcPr>
            <w:tcW w:w="1537" w:type="dxa"/>
            <w:gridSpan w:val="2"/>
            <w:tcBorders>
              <w:top w:val="nil"/>
              <w:left w:val="nil"/>
              <w:bottom w:val="nil"/>
              <w:right w:val="nil"/>
            </w:tcBorders>
            <w:shd w:val="clear" w:color="auto" w:fill="auto"/>
            <w:noWrap/>
            <w:vAlign w:val="bottom"/>
          </w:tcPr>
          <w:p w14:paraId="42B0002F" w14:textId="77777777" w:rsidR="00791C1B" w:rsidRPr="009E33FB" w:rsidRDefault="00791C1B" w:rsidP="00FB6278">
            <w:pPr>
              <w:rPr>
                <w:rFonts w:ascii="Arial" w:eastAsia="Times New Roman" w:hAnsi="Arial" w:cs="Arial"/>
                <w:sz w:val="22"/>
                <w:szCs w:val="22"/>
                <w:lang w:eastAsia="en-GB"/>
              </w:rPr>
            </w:pPr>
          </w:p>
        </w:tc>
        <w:tc>
          <w:tcPr>
            <w:tcW w:w="1520" w:type="dxa"/>
            <w:gridSpan w:val="2"/>
            <w:tcBorders>
              <w:top w:val="nil"/>
              <w:left w:val="nil"/>
              <w:bottom w:val="nil"/>
              <w:right w:val="nil"/>
            </w:tcBorders>
            <w:shd w:val="clear" w:color="auto" w:fill="auto"/>
            <w:noWrap/>
            <w:vAlign w:val="bottom"/>
          </w:tcPr>
          <w:p w14:paraId="7503E2E3" w14:textId="77777777" w:rsidR="00791C1B" w:rsidRPr="009E33FB" w:rsidRDefault="00791C1B" w:rsidP="00FB6278">
            <w:pPr>
              <w:rPr>
                <w:rFonts w:ascii="Arial" w:eastAsia="Times New Roman" w:hAnsi="Arial" w:cs="Arial"/>
                <w:sz w:val="22"/>
                <w:szCs w:val="22"/>
                <w:lang w:eastAsia="en-GB"/>
              </w:rPr>
            </w:pPr>
          </w:p>
        </w:tc>
        <w:tc>
          <w:tcPr>
            <w:tcW w:w="1520" w:type="dxa"/>
            <w:gridSpan w:val="2"/>
            <w:tcBorders>
              <w:top w:val="nil"/>
              <w:left w:val="nil"/>
              <w:bottom w:val="nil"/>
              <w:right w:val="nil"/>
            </w:tcBorders>
            <w:shd w:val="clear" w:color="auto" w:fill="auto"/>
            <w:noWrap/>
            <w:vAlign w:val="bottom"/>
          </w:tcPr>
          <w:p w14:paraId="31241A2C" w14:textId="77777777" w:rsidR="00791C1B" w:rsidRPr="009E33FB" w:rsidRDefault="00791C1B" w:rsidP="00FB6278">
            <w:pPr>
              <w:rPr>
                <w:rFonts w:ascii="Arial" w:eastAsia="Times New Roman" w:hAnsi="Arial" w:cs="Arial"/>
                <w:sz w:val="22"/>
                <w:szCs w:val="22"/>
                <w:lang w:eastAsia="en-GB"/>
              </w:rPr>
            </w:pPr>
          </w:p>
        </w:tc>
      </w:tr>
      <w:tr w:rsidR="00791C1B" w:rsidRPr="009E33FB" w14:paraId="61EE7A6B" w14:textId="77777777" w:rsidTr="005E0560">
        <w:trPr>
          <w:gridAfter w:val="1"/>
          <w:wAfter w:w="497" w:type="dxa"/>
          <w:trHeight w:val="255"/>
        </w:trPr>
        <w:tc>
          <w:tcPr>
            <w:tcW w:w="4480" w:type="dxa"/>
            <w:tcBorders>
              <w:top w:val="nil"/>
              <w:left w:val="nil"/>
              <w:bottom w:val="nil"/>
              <w:right w:val="nil"/>
            </w:tcBorders>
            <w:shd w:val="clear" w:color="auto" w:fill="auto"/>
            <w:noWrap/>
            <w:vAlign w:val="bottom"/>
            <w:hideMark/>
          </w:tcPr>
          <w:p w14:paraId="75EBEE90" w14:textId="77777777" w:rsidR="00791C1B" w:rsidRPr="009E33FB" w:rsidRDefault="00791C1B" w:rsidP="00FB6278">
            <w:pPr>
              <w:rPr>
                <w:rFonts w:ascii="Arial" w:eastAsia="Times New Roman" w:hAnsi="Arial" w:cs="Arial"/>
                <w:sz w:val="22"/>
                <w:szCs w:val="22"/>
                <w:lang w:eastAsia="en-GB"/>
              </w:rPr>
            </w:pPr>
          </w:p>
        </w:tc>
        <w:tc>
          <w:tcPr>
            <w:tcW w:w="1537" w:type="dxa"/>
            <w:gridSpan w:val="2"/>
            <w:tcBorders>
              <w:top w:val="nil"/>
              <w:left w:val="nil"/>
              <w:bottom w:val="nil"/>
              <w:right w:val="nil"/>
            </w:tcBorders>
            <w:shd w:val="clear" w:color="auto" w:fill="auto"/>
            <w:noWrap/>
            <w:vAlign w:val="bottom"/>
            <w:hideMark/>
          </w:tcPr>
          <w:p w14:paraId="772C0AA9" w14:textId="77777777" w:rsidR="00791C1B" w:rsidRPr="009E33FB" w:rsidRDefault="00791C1B" w:rsidP="00FB6278">
            <w:pPr>
              <w:rPr>
                <w:rFonts w:ascii="Arial" w:eastAsia="Times New Roman" w:hAnsi="Arial" w:cs="Arial"/>
                <w:sz w:val="22"/>
                <w:szCs w:val="22"/>
                <w:lang w:eastAsia="en-GB"/>
              </w:rPr>
            </w:pPr>
          </w:p>
        </w:tc>
        <w:tc>
          <w:tcPr>
            <w:tcW w:w="1520" w:type="dxa"/>
            <w:gridSpan w:val="2"/>
            <w:tcBorders>
              <w:top w:val="nil"/>
              <w:left w:val="nil"/>
              <w:bottom w:val="nil"/>
              <w:right w:val="nil"/>
            </w:tcBorders>
            <w:shd w:val="clear" w:color="auto" w:fill="auto"/>
            <w:noWrap/>
            <w:vAlign w:val="bottom"/>
            <w:hideMark/>
          </w:tcPr>
          <w:p w14:paraId="6FA1FB70" w14:textId="77777777" w:rsidR="00791C1B" w:rsidRPr="009E33FB" w:rsidRDefault="00791C1B" w:rsidP="00FB6278">
            <w:pPr>
              <w:rPr>
                <w:rFonts w:ascii="Arial" w:eastAsia="Times New Roman" w:hAnsi="Arial" w:cs="Arial"/>
                <w:sz w:val="22"/>
                <w:szCs w:val="22"/>
                <w:lang w:eastAsia="en-GB"/>
              </w:rPr>
            </w:pPr>
          </w:p>
        </w:tc>
        <w:tc>
          <w:tcPr>
            <w:tcW w:w="1520" w:type="dxa"/>
            <w:gridSpan w:val="2"/>
            <w:tcBorders>
              <w:top w:val="nil"/>
              <w:left w:val="nil"/>
              <w:bottom w:val="nil"/>
              <w:right w:val="nil"/>
            </w:tcBorders>
            <w:shd w:val="clear" w:color="auto" w:fill="auto"/>
            <w:noWrap/>
            <w:vAlign w:val="bottom"/>
            <w:hideMark/>
          </w:tcPr>
          <w:p w14:paraId="3437F63E" w14:textId="77777777" w:rsidR="00791C1B" w:rsidRPr="009E33FB" w:rsidRDefault="00791C1B" w:rsidP="00FB6278">
            <w:pPr>
              <w:rPr>
                <w:rFonts w:ascii="Arial" w:eastAsia="Times New Roman" w:hAnsi="Arial" w:cs="Arial"/>
                <w:sz w:val="22"/>
                <w:szCs w:val="22"/>
                <w:lang w:eastAsia="en-GB"/>
              </w:rPr>
            </w:pPr>
          </w:p>
        </w:tc>
      </w:tr>
      <w:tr w:rsidR="00791C1B" w:rsidRPr="009E33FB" w14:paraId="7E06FA82" w14:textId="77777777" w:rsidTr="005E0560">
        <w:trPr>
          <w:trHeight w:val="855"/>
        </w:trPr>
        <w:tc>
          <w:tcPr>
            <w:tcW w:w="651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14DB492B" w14:textId="77777777" w:rsidR="00791C1B" w:rsidRPr="00DA33AB" w:rsidRDefault="00791C1B" w:rsidP="00FB6278">
            <w:pPr>
              <w:rPr>
                <w:rFonts w:ascii="Arial" w:eastAsia="Times New Roman" w:hAnsi="Arial" w:cs="Arial"/>
                <w:b/>
                <w:bCs/>
                <w:sz w:val="22"/>
                <w:szCs w:val="22"/>
                <w:lang w:eastAsia="en-GB"/>
              </w:rPr>
            </w:pPr>
            <w:r w:rsidRPr="00DA33AB">
              <w:rPr>
                <w:rFonts w:ascii="Arial" w:eastAsia="Times New Roman" w:hAnsi="Arial" w:cs="Arial"/>
                <w:b/>
                <w:bCs/>
                <w:sz w:val="22"/>
                <w:szCs w:val="22"/>
                <w:lang w:eastAsia="en-GB"/>
              </w:rPr>
              <w:t>Exit packages - non-compulsory departure payments</w:t>
            </w:r>
          </w:p>
        </w:tc>
        <w:tc>
          <w:tcPr>
            <w:tcW w:w="1520" w:type="dxa"/>
            <w:gridSpan w:val="2"/>
            <w:tcBorders>
              <w:top w:val="single" w:sz="4" w:space="0" w:color="auto"/>
              <w:left w:val="nil"/>
              <w:bottom w:val="single" w:sz="4" w:space="0" w:color="auto"/>
              <w:right w:val="single" w:sz="4" w:space="0" w:color="auto"/>
            </w:tcBorders>
            <w:shd w:val="clear" w:color="auto" w:fill="auto"/>
            <w:vAlign w:val="bottom"/>
            <w:hideMark/>
          </w:tcPr>
          <w:p w14:paraId="3B92B87C" w14:textId="77777777" w:rsidR="00791C1B" w:rsidRPr="00DA33AB" w:rsidRDefault="00791C1B" w:rsidP="00FB6278">
            <w:pPr>
              <w:rPr>
                <w:rFonts w:ascii="Arial" w:eastAsia="Times New Roman" w:hAnsi="Arial" w:cs="Arial"/>
                <w:b/>
                <w:bCs/>
                <w:sz w:val="22"/>
                <w:szCs w:val="22"/>
                <w:lang w:eastAsia="en-GB"/>
              </w:rPr>
            </w:pPr>
            <w:r w:rsidRPr="00DA33AB">
              <w:rPr>
                <w:rFonts w:ascii="Arial" w:eastAsia="Times New Roman" w:hAnsi="Arial" w:cs="Arial"/>
                <w:b/>
                <w:bCs/>
                <w:sz w:val="22"/>
                <w:szCs w:val="22"/>
                <w:lang w:eastAsia="en-GB"/>
              </w:rPr>
              <w:t>Agreements</w:t>
            </w:r>
            <w:r w:rsidRPr="00DA33AB">
              <w:rPr>
                <w:rFonts w:ascii="Arial" w:eastAsia="Times New Roman" w:hAnsi="Arial" w:cs="Arial"/>
                <w:b/>
                <w:bCs/>
                <w:sz w:val="22"/>
                <w:szCs w:val="22"/>
                <w:lang w:eastAsia="en-GB"/>
              </w:rPr>
              <w:br/>
              <w:t>Number</w:t>
            </w:r>
          </w:p>
        </w:tc>
        <w:tc>
          <w:tcPr>
            <w:tcW w:w="1520" w:type="dxa"/>
            <w:gridSpan w:val="2"/>
            <w:tcBorders>
              <w:top w:val="single" w:sz="4" w:space="0" w:color="auto"/>
              <w:left w:val="nil"/>
              <w:bottom w:val="single" w:sz="4" w:space="0" w:color="auto"/>
              <w:right w:val="single" w:sz="4" w:space="0" w:color="auto"/>
            </w:tcBorders>
            <w:shd w:val="clear" w:color="auto" w:fill="auto"/>
            <w:vAlign w:val="bottom"/>
            <w:hideMark/>
          </w:tcPr>
          <w:p w14:paraId="06BC39ED" w14:textId="77777777" w:rsidR="00791C1B" w:rsidRPr="00DA33AB" w:rsidRDefault="00791C1B" w:rsidP="00FB6278">
            <w:pPr>
              <w:rPr>
                <w:rFonts w:ascii="Arial" w:eastAsia="Times New Roman" w:hAnsi="Arial" w:cs="Arial"/>
                <w:b/>
                <w:bCs/>
                <w:sz w:val="22"/>
                <w:szCs w:val="22"/>
                <w:lang w:eastAsia="en-GB"/>
              </w:rPr>
            </w:pPr>
            <w:r w:rsidRPr="00DA33AB">
              <w:rPr>
                <w:rFonts w:ascii="Arial" w:eastAsia="Times New Roman" w:hAnsi="Arial" w:cs="Arial"/>
                <w:b/>
                <w:bCs/>
                <w:sz w:val="22"/>
                <w:szCs w:val="22"/>
                <w:lang w:eastAsia="en-GB"/>
              </w:rPr>
              <w:t>Total Value of Agreements</w:t>
            </w:r>
            <w:r w:rsidRPr="00DA33AB">
              <w:rPr>
                <w:rFonts w:ascii="Arial" w:eastAsia="Times New Roman" w:hAnsi="Arial" w:cs="Arial"/>
                <w:b/>
                <w:bCs/>
                <w:sz w:val="22"/>
                <w:szCs w:val="22"/>
                <w:lang w:eastAsia="en-GB"/>
              </w:rPr>
              <w:br/>
              <w:t>£000s</w:t>
            </w:r>
          </w:p>
        </w:tc>
      </w:tr>
      <w:tr w:rsidR="00791C1B" w:rsidRPr="009E33FB" w14:paraId="41E9F237" w14:textId="77777777" w:rsidTr="005E0560">
        <w:trPr>
          <w:trHeight w:val="585"/>
        </w:trPr>
        <w:tc>
          <w:tcPr>
            <w:tcW w:w="651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CC53D04" w14:textId="77777777" w:rsidR="00791C1B" w:rsidRPr="009E33FB" w:rsidRDefault="00791C1B" w:rsidP="00FB6278">
            <w:pPr>
              <w:rPr>
                <w:rFonts w:ascii="Arial" w:eastAsia="Times New Roman" w:hAnsi="Arial" w:cs="Arial"/>
                <w:sz w:val="22"/>
                <w:szCs w:val="22"/>
                <w:lang w:eastAsia="en-GB"/>
              </w:rPr>
            </w:pPr>
            <w:r w:rsidRPr="009E33FB">
              <w:rPr>
                <w:rFonts w:ascii="Arial" w:eastAsia="Times New Roman" w:hAnsi="Arial" w:cs="Arial"/>
                <w:sz w:val="22"/>
                <w:szCs w:val="22"/>
                <w:lang w:eastAsia="en-GB"/>
              </w:rPr>
              <w:t>Voluntary redundancies including early retirement contractual costs</w:t>
            </w:r>
          </w:p>
        </w:tc>
        <w:tc>
          <w:tcPr>
            <w:tcW w:w="1520" w:type="dxa"/>
            <w:gridSpan w:val="2"/>
            <w:tcBorders>
              <w:top w:val="nil"/>
              <w:left w:val="nil"/>
              <w:bottom w:val="single" w:sz="4" w:space="0" w:color="auto"/>
              <w:right w:val="single" w:sz="4" w:space="0" w:color="auto"/>
            </w:tcBorders>
            <w:shd w:val="clear" w:color="auto" w:fill="auto"/>
            <w:noWrap/>
            <w:vAlign w:val="bottom"/>
          </w:tcPr>
          <w:p w14:paraId="65C2C2F4"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8</w:t>
            </w:r>
          </w:p>
        </w:tc>
        <w:tc>
          <w:tcPr>
            <w:tcW w:w="1520" w:type="dxa"/>
            <w:gridSpan w:val="2"/>
            <w:tcBorders>
              <w:top w:val="nil"/>
              <w:left w:val="nil"/>
              <w:bottom w:val="single" w:sz="4" w:space="0" w:color="auto"/>
              <w:right w:val="single" w:sz="4" w:space="0" w:color="auto"/>
            </w:tcBorders>
            <w:shd w:val="clear" w:color="auto" w:fill="auto"/>
            <w:noWrap/>
            <w:vAlign w:val="bottom"/>
          </w:tcPr>
          <w:p w14:paraId="7BBDF842"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212</w:t>
            </w:r>
          </w:p>
        </w:tc>
      </w:tr>
      <w:tr w:rsidR="00791C1B" w:rsidRPr="009E33FB" w14:paraId="169A6E96" w14:textId="77777777" w:rsidTr="005E0560">
        <w:trPr>
          <w:trHeight w:val="285"/>
        </w:trPr>
        <w:tc>
          <w:tcPr>
            <w:tcW w:w="651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46FDF3BC" w14:textId="77777777" w:rsidR="00791C1B" w:rsidRPr="009E33FB" w:rsidRDefault="00791C1B" w:rsidP="00FB6278">
            <w:pPr>
              <w:rPr>
                <w:rFonts w:ascii="Arial" w:eastAsia="Times New Roman" w:hAnsi="Arial" w:cs="Arial"/>
                <w:sz w:val="22"/>
                <w:szCs w:val="22"/>
                <w:lang w:eastAsia="en-GB"/>
              </w:rPr>
            </w:pPr>
            <w:r w:rsidRPr="009E33FB">
              <w:rPr>
                <w:rFonts w:ascii="Arial" w:eastAsia="Times New Roman" w:hAnsi="Arial" w:cs="Arial"/>
                <w:sz w:val="22"/>
                <w:szCs w:val="22"/>
                <w:lang w:eastAsia="en-GB"/>
              </w:rPr>
              <w:t>Mutually agreed resignations (MARS) contractual costs</w:t>
            </w:r>
          </w:p>
        </w:tc>
        <w:tc>
          <w:tcPr>
            <w:tcW w:w="1520" w:type="dxa"/>
            <w:gridSpan w:val="2"/>
            <w:tcBorders>
              <w:top w:val="nil"/>
              <w:left w:val="nil"/>
              <w:bottom w:val="single" w:sz="4" w:space="0" w:color="auto"/>
              <w:right w:val="single" w:sz="4" w:space="0" w:color="auto"/>
            </w:tcBorders>
            <w:shd w:val="clear" w:color="auto" w:fill="auto"/>
            <w:vAlign w:val="bottom"/>
          </w:tcPr>
          <w:p w14:paraId="177C3F47"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w:t>
            </w:r>
          </w:p>
        </w:tc>
        <w:tc>
          <w:tcPr>
            <w:tcW w:w="1520" w:type="dxa"/>
            <w:gridSpan w:val="2"/>
            <w:tcBorders>
              <w:top w:val="nil"/>
              <w:left w:val="nil"/>
              <w:bottom w:val="single" w:sz="4" w:space="0" w:color="auto"/>
              <w:right w:val="single" w:sz="4" w:space="0" w:color="auto"/>
            </w:tcBorders>
            <w:shd w:val="clear" w:color="auto" w:fill="auto"/>
            <w:vAlign w:val="bottom"/>
          </w:tcPr>
          <w:p w14:paraId="14944151"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w:t>
            </w:r>
          </w:p>
        </w:tc>
      </w:tr>
      <w:tr w:rsidR="00791C1B" w:rsidRPr="009E33FB" w14:paraId="7AD32416" w14:textId="77777777" w:rsidTr="005E0560">
        <w:trPr>
          <w:trHeight w:val="555"/>
        </w:trPr>
        <w:tc>
          <w:tcPr>
            <w:tcW w:w="651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3D911FC6" w14:textId="77777777" w:rsidR="00791C1B" w:rsidRPr="009E33FB" w:rsidRDefault="00791C1B" w:rsidP="00FB6278">
            <w:pPr>
              <w:rPr>
                <w:rFonts w:ascii="Arial" w:eastAsia="Times New Roman" w:hAnsi="Arial" w:cs="Arial"/>
                <w:sz w:val="22"/>
                <w:szCs w:val="22"/>
                <w:lang w:eastAsia="en-GB"/>
              </w:rPr>
            </w:pPr>
            <w:r w:rsidRPr="009E33FB">
              <w:rPr>
                <w:rFonts w:ascii="Arial" w:eastAsia="Times New Roman" w:hAnsi="Arial" w:cs="Arial"/>
                <w:sz w:val="22"/>
                <w:szCs w:val="22"/>
                <w:lang w:eastAsia="en-GB"/>
              </w:rPr>
              <w:t>Early retirements in the efficiency of the service contractual costs</w:t>
            </w:r>
          </w:p>
        </w:tc>
        <w:tc>
          <w:tcPr>
            <w:tcW w:w="1520" w:type="dxa"/>
            <w:gridSpan w:val="2"/>
            <w:tcBorders>
              <w:top w:val="nil"/>
              <w:left w:val="nil"/>
              <w:bottom w:val="single" w:sz="4" w:space="0" w:color="auto"/>
              <w:right w:val="single" w:sz="4" w:space="0" w:color="auto"/>
            </w:tcBorders>
            <w:shd w:val="clear" w:color="auto" w:fill="auto"/>
            <w:noWrap/>
            <w:vAlign w:val="bottom"/>
          </w:tcPr>
          <w:p w14:paraId="037CBA03"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w:t>
            </w:r>
          </w:p>
        </w:tc>
        <w:tc>
          <w:tcPr>
            <w:tcW w:w="1520" w:type="dxa"/>
            <w:gridSpan w:val="2"/>
            <w:tcBorders>
              <w:top w:val="nil"/>
              <w:left w:val="nil"/>
              <w:bottom w:val="single" w:sz="4" w:space="0" w:color="auto"/>
              <w:right w:val="single" w:sz="4" w:space="0" w:color="auto"/>
            </w:tcBorders>
            <w:shd w:val="clear" w:color="auto" w:fill="auto"/>
            <w:noWrap/>
            <w:vAlign w:val="bottom"/>
          </w:tcPr>
          <w:p w14:paraId="62F8B8B7"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w:t>
            </w:r>
          </w:p>
        </w:tc>
      </w:tr>
      <w:tr w:rsidR="00791C1B" w:rsidRPr="009E33FB" w14:paraId="67CA3EF2" w14:textId="77777777" w:rsidTr="005E0560">
        <w:trPr>
          <w:trHeight w:val="285"/>
        </w:trPr>
        <w:tc>
          <w:tcPr>
            <w:tcW w:w="651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111C5782" w14:textId="77777777" w:rsidR="00791C1B" w:rsidRPr="009E33FB" w:rsidRDefault="00791C1B" w:rsidP="00FB6278">
            <w:pPr>
              <w:rPr>
                <w:rFonts w:ascii="Arial" w:eastAsia="Times New Roman" w:hAnsi="Arial" w:cs="Arial"/>
                <w:sz w:val="22"/>
                <w:szCs w:val="22"/>
                <w:lang w:eastAsia="en-GB"/>
              </w:rPr>
            </w:pPr>
            <w:r w:rsidRPr="009E33FB">
              <w:rPr>
                <w:rFonts w:ascii="Arial" w:eastAsia="Times New Roman" w:hAnsi="Arial" w:cs="Arial"/>
                <w:sz w:val="22"/>
                <w:szCs w:val="22"/>
                <w:lang w:eastAsia="en-GB"/>
              </w:rPr>
              <w:t xml:space="preserve">Contractual payments in lieu of notice </w:t>
            </w:r>
          </w:p>
        </w:tc>
        <w:tc>
          <w:tcPr>
            <w:tcW w:w="1520" w:type="dxa"/>
            <w:gridSpan w:val="2"/>
            <w:tcBorders>
              <w:top w:val="nil"/>
              <w:left w:val="nil"/>
              <w:bottom w:val="single" w:sz="4" w:space="0" w:color="auto"/>
              <w:right w:val="single" w:sz="4" w:space="0" w:color="auto"/>
            </w:tcBorders>
            <w:shd w:val="clear" w:color="auto" w:fill="auto"/>
            <w:noWrap/>
            <w:vAlign w:val="bottom"/>
          </w:tcPr>
          <w:p w14:paraId="0755BEEB"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2</w:t>
            </w:r>
          </w:p>
        </w:tc>
        <w:tc>
          <w:tcPr>
            <w:tcW w:w="1520" w:type="dxa"/>
            <w:gridSpan w:val="2"/>
            <w:tcBorders>
              <w:top w:val="nil"/>
              <w:left w:val="nil"/>
              <w:bottom w:val="single" w:sz="4" w:space="0" w:color="auto"/>
              <w:right w:val="single" w:sz="4" w:space="0" w:color="auto"/>
            </w:tcBorders>
            <w:shd w:val="clear" w:color="auto" w:fill="auto"/>
            <w:noWrap/>
            <w:vAlign w:val="bottom"/>
          </w:tcPr>
          <w:p w14:paraId="7F89E2AF"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18</w:t>
            </w:r>
          </w:p>
        </w:tc>
      </w:tr>
      <w:tr w:rsidR="00791C1B" w:rsidRPr="009E33FB" w14:paraId="193A34CA" w14:textId="77777777" w:rsidTr="005E0560">
        <w:trPr>
          <w:trHeight w:val="585"/>
        </w:trPr>
        <w:tc>
          <w:tcPr>
            <w:tcW w:w="651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54DDAEFE" w14:textId="77777777" w:rsidR="00791C1B" w:rsidRPr="009E33FB" w:rsidRDefault="00791C1B" w:rsidP="00FB6278">
            <w:pPr>
              <w:rPr>
                <w:rFonts w:ascii="Arial" w:eastAsia="Times New Roman" w:hAnsi="Arial" w:cs="Arial"/>
                <w:sz w:val="22"/>
                <w:szCs w:val="22"/>
                <w:lang w:eastAsia="en-GB"/>
              </w:rPr>
            </w:pPr>
            <w:r w:rsidRPr="009E33FB">
              <w:rPr>
                <w:rFonts w:ascii="Arial" w:eastAsia="Times New Roman" w:hAnsi="Arial" w:cs="Arial"/>
                <w:sz w:val="22"/>
                <w:szCs w:val="22"/>
                <w:lang w:eastAsia="en-GB"/>
              </w:rPr>
              <w:t>Exit payments following employment tribunals or court orders</w:t>
            </w:r>
          </w:p>
        </w:tc>
        <w:tc>
          <w:tcPr>
            <w:tcW w:w="1520" w:type="dxa"/>
            <w:gridSpan w:val="2"/>
            <w:tcBorders>
              <w:top w:val="nil"/>
              <w:left w:val="nil"/>
              <w:bottom w:val="single" w:sz="4" w:space="0" w:color="auto"/>
              <w:right w:val="single" w:sz="4" w:space="0" w:color="auto"/>
            </w:tcBorders>
            <w:shd w:val="clear" w:color="auto" w:fill="auto"/>
            <w:noWrap/>
            <w:vAlign w:val="bottom"/>
          </w:tcPr>
          <w:p w14:paraId="578F2163"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w:t>
            </w:r>
          </w:p>
        </w:tc>
        <w:tc>
          <w:tcPr>
            <w:tcW w:w="1520" w:type="dxa"/>
            <w:gridSpan w:val="2"/>
            <w:tcBorders>
              <w:top w:val="nil"/>
              <w:left w:val="nil"/>
              <w:bottom w:val="single" w:sz="4" w:space="0" w:color="auto"/>
              <w:right w:val="single" w:sz="4" w:space="0" w:color="auto"/>
            </w:tcBorders>
            <w:shd w:val="clear" w:color="auto" w:fill="auto"/>
            <w:noWrap/>
            <w:vAlign w:val="bottom"/>
          </w:tcPr>
          <w:p w14:paraId="2900A803"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w:t>
            </w:r>
          </w:p>
        </w:tc>
      </w:tr>
      <w:tr w:rsidR="00791C1B" w:rsidRPr="009E33FB" w14:paraId="7A567DC6" w14:textId="77777777" w:rsidTr="005E0560">
        <w:trPr>
          <w:trHeight w:val="570"/>
        </w:trPr>
        <w:tc>
          <w:tcPr>
            <w:tcW w:w="651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907D79D" w14:textId="601C0CDA" w:rsidR="00791C1B" w:rsidRPr="009E33FB" w:rsidRDefault="00791C1B" w:rsidP="00FB6278">
            <w:pPr>
              <w:rPr>
                <w:rFonts w:ascii="Arial" w:eastAsia="Times New Roman" w:hAnsi="Arial" w:cs="Arial"/>
                <w:sz w:val="22"/>
                <w:szCs w:val="22"/>
                <w:lang w:eastAsia="en-GB"/>
              </w:rPr>
            </w:pPr>
            <w:r w:rsidRPr="009E33FB">
              <w:rPr>
                <w:rFonts w:ascii="Arial" w:eastAsia="Times New Roman" w:hAnsi="Arial" w:cs="Arial"/>
                <w:sz w:val="22"/>
                <w:szCs w:val="22"/>
                <w:lang w:eastAsia="en-GB"/>
              </w:rPr>
              <w:t xml:space="preserve">Non-contractual payments requiring HMT approval (special </w:t>
            </w:r>
            <w:proofErr w:type="spellStart"/>
            <w:r w:rsidRPr="009E33FB">
              <w:rPr>
                <w:rFonts w:ascii="Arial" w:eastAsia="Times New Roman" w:hAnsi="Arial" w:cs="Arial"/>
                <w:sz w:val="22"/>
                <w:szCs w:val="22"/>
                <w:lang w:eastAsia="en-GB"/>
              </w:rPr>
              <w:t>severence</w:t>
            </w:r>
            <w:proofErr w:type="spellEnd"/>
            <w:r w:rsidRPr="009E33FB">
              <w:rPr>
                <w:rFonts w:ascii="Arial" w:eastAsia="Times New Roman" w:hAnsi="Arial" w:cs="Arial"/>
                <w:sz w:val="22"/>
                <w:szCs w:val="22"/>
                <w:lang w:eastAsia="en-GB"/>
              </w:rPr>
              <w:t xml:space="preserve"> payments)</w:t>
            </w:r>
          </w:p>
        </w:tc>
        <w:tc>
          <w:tcPr>
            <w:tcW w:w="1520" w:type="dxa"/>
            <w:gridSpan w:val="2"/>
            <w:tcBorders>
              <w:top w:val="nil"/>
              <w:left w:val="nil"/>
              <w:bottom w:val="single" w:sz="4" w:space="0" w:color="auto"/>
              <w:right w:val="single" w:sz="4" w:space="0" w:color="auto"/>
            </w:tcBorders>
            <w:shd w:val="clear" w:color="auto" w:fill="auto"/>
            <w:noWrap/>
            <w:vAlign w:val="bottom"/>
          </w:tcPr>
          <w:p w14:paraId="6CE77EA5"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w:t>
            </w:r>
          </w:p>
        </w:tc>
        <w:tc>
          <w:tcPr>
            <w:tcW w:w="1520" w:type="dxa"/>
            <w:gridSpan w:val="2"/>
            <w:tcBorders>
              <w:top w:val="nil"/>
              <w:left w:val="nil"/>
              <w:bottom w:val="single" w:sz="4" w:space="0" w:color="auto"/>
              <w:right w:val="single" w:sz="4" w:space="0" w:color="auto"/>
            </w:tcBorders>
            <w:shd w:val="clear" w:color="auto" w:fill="auto"/>
            <w:noWrap/>
            <w:vAlign w:val="bottom"/>
          </w:tcPr>
          <w:p w14:paraId="07F26D44"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w:t>
            </w:r>
          </w:p>
        </w:tc>
      </w:tr>
      <w:tr w:rsidR="00791C1B" w:rsidRPr="009E33FB" w14:paraId="6BA19222" w14:textId="77777777" w:rsidTr="005E0560">
        <w:trPr>
          <w:trHeight w:val="285"/>
        </w:trPr>
        <w:tc>
          <w:tcPr>
            <w:tcW w:w="651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3241E59" w14:textId="77777777" w:rsidR="00791C1B" w:rsidRPr="009E33FB" w:rsidRDefault="00791C1B" w:rsidP="00FB6278">
            <w:pPr>
              <w:rPr>
                <w:rFonts w:ascii="Arial" w:eastAsia="Times New Roman" w:hAnsi="Arial" w:cs="Arial"/>
                <w:sz w:val="22"/>
                <w:szCs w:val="22"/>
                <w:lang w:eastAsia="en-GB"/>
              </w:rPr>
            </w:pPr>
            <w:r w:rsidRPr="009E33FB">
              <w:rPr>
                <w:rFonts w:ascii="Arial" w:eastAsia="Times New Roman" w:hAnsi="Arial" w:cs="Arial"/>
                <w:sz w:val="22"/>
                <w:szCs w:val="22"/>
                <w:lang w:eastAsia="en-GB"/>
              </w:rPr>
              <w:t>Total</w:t>
            </w:r>
          </w:p>
        </w:tc>
        <w:tc>
          <w:tcPr>
            <w:tcW w:w="1520" w:type="dxa"/>
            <w:gridSpan w:val="2"/>
            <w:tcBorders>
              <w:top w:val="nil"/>
              <w:left w:val="nil"/>
              <w:bottom w:val="single" w:sz="4" w:space="0" w:color="auto"/>
              <w:right w:val="single" w:sz="4" w:space="0" w:color="auto"/>
            </w:tcBorders>
            <w:shd w:val="clear" w:color="auto" w:fill="auto"/>
            <w:noWrap/>
            <w:vAlign w:val="bottom"/>
          </w:tcPr>
          <w:p w14:paraId="7BAD1B43"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10</w:t>
            </w:r>
          </w:p>
        </w:tc>
        <w:tc>
          <w:tcPr>
            <w:tcW w:w="1520" w:type="dxa"/>
            <w:gridSpan w:val="2"/>
            <w:tcBorders>
              <w:top w:val="nil"/>
              <w:left w:val="nil"/>
              <w:bottom w:val="single" w:sz="4" w:space="0" w:color="auto"/>
              <w:right w:val="single" w:sz="4" w:space="0" w:color="auto"/>
            </w:tcBorders>
            <w:shd w:val="clear" w:color="auto" w:fill="auto"/>
            <w:noWrap/>
            <w:vAlign w:val="bottom"/>
          </w:tcPr>
          <w:p w14:paraId="3AFBDEDD"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230</w:t>
            </w:r>
          </w:p>
        </w:tc>
      </w:tr>
      <w:tr w:rsidR="00791C1B" w:rsidRPr="009E33FB" w14:paraId="11EB7F91" w14:textId="77777777" w:rsidTr="005E0560">
        <w:trPr>
          <w:trHeight w:val="1110"/>
        </w:trPr>
        <w:tc>
          <w:tcPr>
            <w:tcW w:w="651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307017FE" w14:textId="77777777" w:rsidR="00791C1B" w:rsidRPr="009E33FB" w:rsidRDefault="00791C1B" w:rsidP="00FB6278">
            <w:pPr>
              <w:rPr>
                <w:rFonts w:ascii="Arial" w:eastAsia="Times New Roman" w:hAnsi="Arial" w:cs="Arial"/>
                <w:sz w:val="22"/>
                <w:szCs w:val="22"/>
                <w:lang w:eastAsia="en-GB"/>
              </w:rPr>
            </w:pPr>
            <w:r w:rsidRPr="009E33FB">
              <w:rPr>
                <w:rFonts w:ascii="Arial" w:eastAsia="Times New Roman" w:hAnsi="Arial" w:cs="Arial"/>
                <w:sz w:val="22"/>
                <w:szCs w:val="22"/>
                <w:lang w:eastAsia="en-GB"/>
              </w:rPr>
              <w:lastRenderedPageBreak/>
              <w:t>Of which:</w:t>
            </w:r>
            <w:r w:rsidRPr="009E33FB">
              <w:rPr>
                <w:rFonts w:ascii="Arial" w:eastAsia="Times New Roman" w:hAnsi="Arial" w:cs="Arial"/>
                <w:sz w:val="22"/>
                <w:szCs w:val="22"/>
                <w:lang w:eastAsia="en-GB"/>
              </w:rPr>
              <w:br/>
              <w:t xml:space="preserve">non-contractual payments requiring HMT approval made to individuals where the payment value was more than 12 </w:t>
            </w:r>
            <w:proofErr w:type="gramStart"/>
            <w:r w:rsidRPr="009E33FB">
              <w:rPr>
                <w:rFonts w:ascii="Arial" w:eastAsia="Times New Roman" w:hAnsi="Arial" w:cs="Arial"/>
                <w:sz w:val="22"/>
                <w:szCs w:val="22"/>
                <w:lang w:eastAsia="en-GB"/>
              </w:rPr>
              <w:t>months’</w:t>
            </w:r>
            <w:proofErr w:type="gramEnd"/>
            <w:r w:rsidRPr="009E33FB">
              <w:rPr>
                <w:rFonts w:ascii="Arial" w:eastAsia="Times New Roman" w:hAnsi="Arial" w:cs="Arial"/>
                <w:sz w:val="22"/>
                <w:szCs w:val="22"/>
                <w:lang w:eastAsia="en-GB"/>
              </w:rPr>
              <w:t xml:space="preserve"> of their annual salary</w:t>
            </w:r>
          </w:p>
        </w:tc>
        <w:tc>
          <w:tcPr>
            <w:tcW w:w="1520" w:type="dxa"/>
            <w:gridSpan w:val="2"/>
            <w:tcBorders>
              <w:top w:val="nil"/>
              <w:left w:val="nil"/>
              <w:bottom w:val="single" w:sz="4" w:space="0" w:color="auto"/>
              <w:right w:val="single" w:sz="4" w:space="0" w:color="auto"/>
            </w:tcBorders>
            <w:shd w:val="clear" w:color="auto" w:fill="auto"/>
            <w:noWrap/>
            <w:vAlign w:val="bottom"/>
          </w:tcPr>
          <w:p w14:paraId="575525A4" w14:textId="77777777" w:rsidR="00791C1B" w:rsidRPr="009E33FB" w:rsidRDefault="00791C1B" w:rsidP="00FB6278">
            <w:pPr>
              <w:jc w:val="right"/>
              <w:rPr>
                <w:rFonts w:ascii="Arial" w:eastAsia="Times New Roman" w:hAnsi="Arial" w:cs="Arial"/>
                <w:sz w:val="22"/>
                <w:szCs w:val="22"/>
                <w:lang w:eastAsia="en-GB"/>
              </w:rPr>
            </w:pPr>
            <w:r w:rsidRPr="009E33FB">
              <w:rPr>
                <w:rFonts w:ascii="Arial" w:eastAsia="Times New Roman" w:hAnsi="Arial" w:cs="Arial"/>
                <w:sz w:val="22"/>
                <w:szCs w:val="22"/>
                <w:lang w:eastAsia="en-GB"/>
              </w:rPr>
              <w:t>-</w:t>
            </w:r>
          </w:p>
        </w:tc>
        <w:tc>
          <w:tcPr>
            <w:tcW w:w="1520" w:type="dxa"/>
            <w:gridSpan w:val="2"/>
            <w:tcBorders>
              <w:top w:val="nil"/>
              <w:left w:val="nil"/>
              <w:bottom w:val="single" w:sz="4" w:space="0" w:color="auto"/>
              <w:right w:val="single" w:sz="4" w:space="0" w:color="auto"/>
            </w:tcBorders>
            <w:shd w:val="clear" w:color="auto" w:fill="auto"/>
            <w:noWrap/>
            <w:vAlign w:val="bottom"/>
          </w:tcPr>
          <w:p w14:paraId="7891F185" w14:textId="77777777" w:rsidR="00791C1B" w:rsidRPr="00952C33" w:rsidRDefault="00791C1B" w:rsidP="00FB6278">
            <w:pPr>
              <w:jc w:val="right"/>
              <w:rPr>
                <w:rFonts w:ascii="Arial" w:hAnsi="Arial"/>
                <w:sz w:val="22"/>
              </w:rPr>
            </w:pPr>
            <w:r w:rsidRPr="00952C33">
              <w:rPr>
                <w:rFonts w:ascii="Arial" w:hAnsi="Arial"/>
                <w:sz w:val="22"/>
              </w:rPr>
              <w:t>-</w:t>
            </w:r>
          </w:p>
        </w:tc>
      </w:tr>
    </w:tbl>
    <w:p w14:paraId="1289A815" w14:textId="77777777" w:rsidR="00791C1B" w:rsidRPr="009E33FB" w:rsidRDefault="00791C1B" w:rsidP="00FB6278">
      <w:pPr>
        <w:pStyle w:val="MEHArial"/>
        <w:rPr>
          <w:rFonts w:cs="Arial"/>
          <w:b/>
          <w:sz w:val="22"/>
          <w:szCs w:val="22"/>
        </w:rPr>
      </w:pPr>
    </w:p>
    <w:p w14:paraId="4601EF44" w14:textId="77777777" w:rsidR="00791C1B" w:rsidRPr="009E33FB" w:rsidRDefault="00791C1B" w:rsidP="00FB6278">
      <w:pPr>
        <w:pStyle w:val="MEHArial"/>
        <w:rPr>
          <w:rFonts w:cs="Arial"/>
          <w:b/>
          <w:sz w:val="22"/>
          <w:szCs w:val="22"/>
        </w:rPr>
      </w:pPr>
      <w:r w:rsidRPr="009E33FB">
        <w:rPr>
          <w:rFonts w:cs="Arial"/>
          <w:b/>
          <w:sz w:val="22"/>
          <w:szCs w:val="22"/>
        </w:rPr>
        <w:t xml:space="preserve">Off payroll engagements </w:t>
      </w:r>
    </w:p>
    <w:tbl>
      <w:tblPr>
        <w:tblW w:w="9568" w:type="dxa"/>
        <w:tblInd w:w="93" w:type="dxa"/>
        <w:tblLook w:val="04A0" w:firstRow="1" w:lastRow="0" w:firstColumn="1" w:lastColumn="0" w:noHBand="0" w:noVBand="1"/>
      </w:tblPr>
      <w:tblGrid>
        <w:gridCol w:w="8520"/>
        <w:gridCol w:w="1048"/>
      </w:tblGrid>
      <w:tr w:rsidR="00791C1B" w:rsidRPr="009E33FB" w14:paraId="68ABEF73" w14:textId="77777777" w:rsidTr="005E0560">
        <w:trPr>
          <w:trHeight w:val="300"/>
        </w:trPr>
        <w:tc>
          <w:tcPr>
            <w:tcW w:w="8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44E209" w14:textId="4C430455" w:rsidR="00791C1B" w:rsidRPr="009E33FB" w:rsidRDefault="00791C1B" w:rsidP="00FB6278">
            <w:pPr>
              <w:rPr>
                <w:rFonts w:ascii="Arial" w:eastAsia="Times New Roman" w:hAnsi="Arial" w:cs="Arial"/>
                <w:b/>
                <w:bCs/>
                <w:sz w:val="22"/>
                <w:szCs w:val="22"/>
                <w:lang w:eastAsia="en-GB"/>
              </w:rPr>
            </w:pPr>
            <w:r w:rsidRPr="009E33FB">
              <w:rPr>
                <w:rFonts w:ascii="Arial" w:eastAsia="Times New Roman" w:hAnsi="Arial" w:cs="Arial"/>
                <w:b/>
                <w:bCs/>
                <w:sz w:val="22"/>
                <w:szCs w:val="22"/>
                <w:lang w:eastAsia="en-GB"/>
              </w:rPr>
              <w:t>For all off-payroll engagements as of 31 Mar 202</w:t>
            </w:r>
            <w:r w:rsidR="00B37BE2">
              <w:rPr>
                <w:rFonts w:ascii="Arial" w:eastAsia="Times New Roman" w:hAnsi="Arial" w:cs="Arial"/>
                <w:b/>
                <w:bCs/>
                <w:sz w:val="22"/>
                <w:szCs w:val="22"/>
                <w:lang w:eastAsia="en-GB"/>
              </w:rPr>
              <w:t>2</w:t>
            </w:r>
            <w:r w:rsidRPr="009E33FB">
              <w:rPr>
                <w:rFonts w:ascii="Arial" w:eastAsia="Times New Roman" w:hAnsi="Arial" w:cs="Arial"/>
                <w:b/>
                <w:bCs/>
                <w:sz w:val="22"/>
                <w:szCs w:val="22"/>
                <w:lang w:eastAsia="en-GB"/>
              </w:rPr>
              <w:t>, for more than £245 per day and that last for longer than six months</w:t>
            </w:r>
          </w:p>
        </w:tc>
        <w:tc>
          <w:tcPr>
            <w:tcW w:w="1048" w:type="dxa"/>
            <w:tcBorders>
              <w:top w:val="single" w:sz="4" w:space="0" w:color="auto"/>
              <w:left w:val="nil"/>
              <w:bottom w:val="nil"/>
              <w:right w:val="single" w:sz="4" w:space="0" w:color="auto"/>
            </w:tcBorders>
            <w:shd w:val="clear" w:color="auto" w:fill="auto"/>
            <w:noWrap/>
            <w:vAlign w:val="bottom"/>
            <w:hideMark/>
          </w:tcPr>
          <w:p w14:paraId="14A06769" w14:textId="77777777" w:rsidR="00791C1B" w:rsidRPr="00952C33" w:rsidRDefault="00791C1B" w:rsidP="00FB6278">
            <w:pPr>
              <w:jc w:val="center"/>
              <w:rPr>
                <w:rFonts w:ascii="Arial" w:hAnsi="Arial"/>
                <w:b/>
                <w:color w:val="000000"/>
                <w:sz w:val="22"/>
              </w:rPr>
            </w:pPr>
            <w:r w:rsidRPr="00952C33">
              <w:rPr>
                <w:rFonts w:ascii="Arial" w:hAnsi="Arial"/>
                <w:b/>
                <w:color w:val="000000"/>
                <w:sz w:val="22"/>
              </w:rPr>
              <w:t>2021/22</w:t>
            </w:r>
          </w:p>
        </w:tc>
      </w:tr>
      <w:tr w:rsidR="00791C1B" w:rsidRPr="009E33FB" w14:paraId="5E40D113" w14:textId="77777777" w:rsidTr="005E0560">
        <w:trPr>
          <w:trHeight w:val="300"/>
        </w:trPr>
        <w:tc>
          <w:tcPr>
            <w:tcW w:w="8520" w:type="dxa"/>
            <w:vMerge/>
            <w:tcBorders>
              <w:top w:val="single" w:sz="4" w:space="0" w:color="auto"/>
              <w:left w:val="single" w:sz="4" w:space="0" w:color="auto"/>
              <w:bottom w:val="single" w:sz="4" w:space="0" w:color="000000"/>
              <w:right w:val="single" w:sz="4" w:space="0" w:color="auto"/>
            </w:tcBorders>
            <w:vAlign w:val="center"/>
            <w:hideMark/>
          </w:tcPr>
          <w:p w14:paraId="270DF37C" w14:textId="77777777" w:rsidR="00791C1B" w:rsidRPr="00952C33" w:rsidRDefault="00791C1B" w:rsidP="00FB6278">
            <w:pPr>
              <w:rPr>
                <w:rFonts w:ascii="Arial" w:hAnsi="Arial"/>
                <w:b/>
                <w:sz w:val="22"/>
              </w:rPr>
            </w:pPr>
          </w:p>
        </w:tc>
        <w:tc>
          <w:tcPr>
            <w:tcW w:w="1048" w:type="dxa"/>
            <w:tcBorders>
              <w:top w:val="nil"/>
              <w:left w:val="nil"/>
              <w:bottom w:val="single" w:sz="4" w:space="0" w:color="auto"/>
              <w:right w:val="single" w:sz="4" w:space="0" w:color="auto"/>
            </w:tcBorders>
            <w:shd w:val="clear" w:color="auto" w:fill="auto"/>
            <w:vAlign w:val="center"/>
            <w:hideMark/>
          </w:tcPr>
          <w:p w14:paraId="5D429451" w14:textId="77777777" w:rsidR="00791C1B" w:rsidRPr="00952C33" w:rsidRDefault="00791C1B" w:rsidP="00FB6278">
            <w:pPr>
              <w:jc w:val="center"/>
              <w:rPr>
                <w:rFonts w:ascii="Arial" w:hAnsi="Arial"/>
                <w:b/>
                <w:color w:val="000000"/>
                <w:sz w:val="22"/>
              </w:rPr>
            </w:pPr>
            <w:r w:rsidRPr="00952C33">
              <w:rPr>
                <w:rFonts w:ascii="Arial" w:hAnsi="Arial"/>
                <w:b/>
                <w:color w:val="000000"/>
                <w:sz w:val="22"/>
              </w:rPr>
              <w:t>Number</w:t>
            </w:r>
          </w:p>
        </w:tc>
      </w:tr>
      <w:tr w:rsidR="00791C1B" w:rsidRPr="009E33FB" w14:paraId="77603CB5" w14:textId="77777777" w:rsidTr="005E0560">
        <w:trPr>
          <w:trHeight w:val="300"/>
        </w:trPr>
        <w:tc>
          <w:tcPr>
            <w:tcW w:w="8520" w:type="dxa"/>
            <w:tcBorders>
              <w:top w:val="nil"/>
              <w:left w:val="single" w:sz="4" w:space="0" w:color="auto"/>
              <w:bottom w:val="nil"/>
              <w:right w:val="nil"/>
            </w:tcBorders>
            <w:shd w:val="clear" w:color="auto" w:fill="auto"/>
            <w:noWrap/>
            <w:vAlign w:val="center"/>
            <w:hideMark/>
          </w:tcPr>
          <w:p w14:paraId="77A1A416" w14:textId="16C880D4" w:rsidR="00791C1B" w:rsidRPr="009E33FB" w:rsidRDefault="00791C1B" w:rsidP="00FB6278">
            <w:pPr>
              <w:rPr>
                <w:rFonts w:ascii="Arial" w:eastAsia="Times New Roman" w:hAnsi="Arial" w:cs="Arial"/>
                <w:b/>
                <w:bCs/>
                <w:color w:val="000000"/>
                <w:sz w:val="22"/>
                <w:szCs w:val="22"/>
                <w:lang w:eastAsia="en-GB"/>
              </w:rPr>
            </w:pPr>
            <w:r w:rsidRPr="009E33FB">
              <w:rPr>
                <w:rFonts w:ascii="Arial" w:eastAsia="Times New Roman" w:hAnsi="Arial" w:cs="Arial"/>
                <w:b/>
                <w:bCs/>
                <w:color w:val="000000"/>
                <w:sz w:val="22"/>
                <w:szCs w:val="22"/>
                <w:lang w:eastAsia="en-GB"/>
              </w:rPr>
              <w:t>No. of existing engagements as of 31 Mar 202</w:t>
            </w:r>
            <w:r w:rsidR="00B37BE2">
              <w:rPr>
                <w:rFonts w:ascii="Arial" w:eastAsia="Times New Roman" w:hAnsi="Arial" w:cs="Arial"/>
                <w:b/>
                <w:bCs/>
                <w:color w:val="000000"/>
                <w:sz w:val="22"/>
                <w:szCs w:val="22"/>
                <w:lang w:eastAsia="en-GB"/>
              </w:rPr>
              <w:t>2</w:t>
            </w:r>
          </w:p>
        </w:tc>
        <w:tc>
          <w:tcPr>
            <w:tcW w:w="1048" w:type="dxa"/>
            <w:tcBorders>
              <w:top w:val="nil"/>
              <w:left w:val="single" w:sz="4" w:space="0" w:color="auto"/>
              <w:bottom w:val="nil"/>
              <w:right w:val="single" w:sz="4" w:space="0" w:color="auto"/>
            </w:tcBorders>
            <w:shd w:val="clear" w:color="auto" w:fill="auto"/>
            <w:noWrap/>
            <w:vAlign w:val="center"/>
          </w:tcPr>
          <w:p w14:paraId="0F20C633" w14:textId="77777777" w:rsidR="00791C1B" w:rsidRPr="009E33FB" w:rsidRDefault="00791C1B" w:rsidP="00FB6278">
            <w:pPr>
              <w:jc w:val="cente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w:t>
            </w:r>
          </w:p>
        </w:tc>
      </w:tr>
      <w:tr w:rsidR="00791C1B" w:rsidRPr="009E33FB" w14:paraId="07A14839" w14:textId="77777777" w:rsidTr="005E0560">
        <w:trPr>
          <w:trHeight w:val="300"/>
        </w:trPr>
        <w:tc>
          <w:tcPr>
            <w:tcW w:w="8520" w:type="dxa"/>
            <w:tcBorders>
              <w:top w:val="single" w:sz="4" w:space="0" w:color="auto"/>
              <w:left w:val="single" w:sz="4" w:space="0" w:color="auto"/>
              <w:bottom w:val="single" w:sz="4" w:space="0" w:color="auto"/>
              <w:right w:val="nil"/>
            </w:tcBorders>
            <w:shd w:val="clear" w:color="auto" w:fill="auto"/>
            <w:noWrap/>
            <w:vAlign w:val="center"/>
            <w:hideMark/>
          </w:tcPr>
          <w:p w14:paraId="4205F612" w14:textId="77777777" w:rsidR="00791C1B" w:rsidRPr="009E33FB" w:rsidRDefault="00791C1B" w:rsidP="00FB6278">
            <w:pPr>
              <w:rPr>
                <w:rFonts w:ascii="Arial" w:eastAsia="Times New Roman" w:hAnsi="Arial" w:cs="Arial"/>
                <w:b/>
                <w:bCs/>
                <w:color w:val="000000"/>
                <w:sz w:val="22"/>
                <w:szCs w:val="22"/>
                <w:lang w:eastAsia="en-GB"/>
              </w:rPr>
            </w:pPr>
            <w:r w:rsidRPr="009E33FB">
              <w:rPr>
                <w:rFonts w:ascii="Arial" w:eastAsia="Times New Roman" w:hAnsi="Arial" w:cs="Arial"/>
                <w:b/>
                <w:bCs/>
                <w:color w:val="000000"/>
                <w:sz w:val="22"/>
                <w:szCs w:val="22"/>
                <w:lang w:eastAsia="en-GB"/>
              </w:rPr>
              <w:t>Of which, the number that have existed:</w:t>
            </w:r>
          </w:p>
        </w:tc>
        <w:tc>
          <w:tcPr>
            <w:tcW w:w="1048" w:type="dxa"/>
            <w:tcBorders>
              <w:top w:val="single" w:sz="4" w:space="0" w:color="auto"/>
              <w:left w:val="nil"/>
              <w:bottom w:val="single" w:sz="4" w:space="0" w:color="auto"/>
              <w:right w:val="single" w:sz="4" w:space="0" w:color="auto"/>
            </w:tcBorders>
            <w:shd w:val="clear" w:color="auto" w:fill="auto"/>
            <w:noWrap/>
            <w:vAlign w:val="center"/>
          </w:tcPr>
          <w:p w14:paraId="79BDF65D" w14:textId="77777777" w:rsidR="00791C1B" w:rsidRPr="009E33FB" w:rsidRDefault="00791C1B" w:rsidP="00FB6278">
            <w:pPr>
              <w:jc w:val="center"/>
              <w:rPr>
                <w:rFonts w:ascii="Arial" w:eastAsia="Times New Roman" w:hAnsi="Arial" w:cs="Arial"/>
                <w:b/>
                <w:bCs/>
                <w:color w:val="000000"/>
                <w:sz w:val="22"/>
                <w:szCs w:val="22"/>
                <w:lang w:eastAsia="en-GB"/>
              </w:rPr>
            </w:pPr>
            <w:r w:rsidRPr="009E33FB">
              <w:rPr>
                <w:rFonts w:ascii="Arial" w:eastAsia="Times New Roman" w:hAnsi="Arial" w:cs="Arial"/>
                <w:b/>
                <w:bCs/>
                <w:color w:val="000000"/>
                <w:sz w:val="22"/>
                <w:szCs w:val="22"/>
                <w:lang w:eastAsia="en-GB"/>
              </w:rPr>
              <w:t>-</w:t>
            </w:r>
          </w:p>
        </w:tc>
      </w:tr>
      <w:tr w:rsidR="00791C1B" w:rsidRPr="009E33FB" w14:paraId="03611DB7" w14:textId="77777777" w:rsidTr="005E0560">
        <w:trPr>
          <w:trHeight w:val="300"/>
        </w:trPr>
        <w:tc>
          <w:tcPr>
            <w:tcW w:w="8520" w:type="dxa"/>
            <w:tcBorders>
              <w:top w:val="nil"/>
              <w:left w:val="single" w:sz="4" w:space="0" w:color="auto"/>
              <w:bottom w:val="single" w:sz="4" w:space="0" w:color="auto"/>
              <w:right w:val="nil"/>
            </w:tcBorders>
            <w:shd w:val="clear" w:color="auto" w:fill="auto"/>
            <w:noWrap/>
            <w:vAlign w:val="center"/>
            <w:hideMark/>
          </w:tcPr>
          <w:p w14:paraId="515C5EB0" w14:textId="77777777" w:rsidR="00791C1B" w:rsidRPr="009E33FB" w:rsidRDefault="00791C1B" w:rsidP="00FB6278">
            <w:pP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for less than one year at the time of reporting</w:t>
            </w:r>
          </w:p>
        </w:tc>
        <w:tc>
          <w:tcPr>
            <w:tcW w:w="1048" w:type="dxa"/>
            <w:tcBorders>
              <w:top w:val="nil"/>
              <w:left w:val="single" w:sz="4" w:space="0" w:color="auto"/>
              <w:bottom w:val="single" w:sz="4" w:space="0" w:color="auto"/>
              <w:right w:val="single" w:sz="4" w:space="0" w:color="auto"/>
            </w:tcBorders>
            <w:shd w:val="clear" w:color="auto" w:fill="auto"/>
            <w:noWrap/>
            <w:vAlign w:val="center"/>
          </w:tcPr>
          <w:p w14:paraId="5FA977AD" w14:textId="77777777" w:rsidR="00791C1B" w:rsidRPr="009E33FB" w:rsidRDefault="00791C1B" w:rsidP="00FB6278">
            <w:pPr>
              <w:jc w:val="cente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8</w:t>
            </w:r>
          </w:p>
        </w:tc>
      </w:tr>
      <w:tr w:rsidR="00791C1B" w:rsidRPr="009E33FB" w14:paraId="25F0EFE0" w14:textId="77777777" w:rsidTr="005E0560">
        <w:trPr>
          <w:trHeight w:val="300"/>
        </w:trPr>
        <w:tc>
          <w:tcPr>
            <w:tcW w:w="8520" w:type="dxa"/>
            <w:tcBorders>
              <w:top w:val="nil"/>
              <w:left w:val="single" w:sz="4" w:space="0" w:color="auto"/>
              <w:bottom w:val="single" w:sz="4" w:space="0" w:color="auto"/>
              <w:right w:val="nil"/>
            </w:tcBorders>
            <w:shd w:val="clear" w:color="auto" w:fill="auto"/>
            <w:noWrap/>
            <w:vAlign w:val="center"/>
            <w:hideMark/>
          </w:tcPr>
          <w:p w14:paraId="3FBD9E3E" w14:textId="77777777" w:rsidR="00791C1B" w:rsidRPr="009E33FB" w:rsidRDefault="00791C1B" w:rsidP="00FB6278">
            <w:pP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for between one and two years at the time of reporting</w:t>
            </w:r>
          </w:p>
        </w:tc>
        <w:tc>
          <w:tcPr>
            <w:tcW w:w="1048" w:type="dxa"/>
            <w:tcBorders>
              <w:top w:val="nil"/>
              <w:left w:val="single" w:sz="4" w:space="0" w:color="auto"/>
              <w:bottom w:val="single" w:sz="4" w:space="0" w:color="auto"/>
              <w:right w:val="single" w:sz="4" w:space="0" w:color="auto"/>
            </w:tcBorders>
            <w:shd w:val="clear" w:color="auto" w:fill="auto"/>
            <w:noWrap/>
            <w:vAlign w:val="center"/>
          </w:tcPr>
          <w:p w14:paraId="686C832B" w14:textId="77777777" w:rsidR="00791C1B" w:rsidRPr="009E33FB" w:rsidRDefault="00791C1B" w:rsidP="00FB6278">
            <w:pPr>
              <w:jc w:val="cente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1</w:t>
            </w:r>
          </w:p>
        </w:tc>
      </w:tr>
      <w:tr w:rsidR="00791C1B" w:rsidRPr="009E33FB" w14:paraId="426BEC33" w14:textId="77777777" w:rsidTr="005E0560">
        <w:trPr>
          <w:trHeight w:val="300"/>
        </w:trPr>
        <w:tc>
          <w:tcPr>
            <w:tcW w:w="8520" w:type="dxa"/>
            <w:tcBorders>
              <w:top w:val="nil"/>
              <w:left w:val="single" w:sz="4" w:space="0" w:color="auto"/>
              <w:bottom w:val="single" w:sz="4" w:space="0" w:color="auto"/>
              <w:right w:val="nil"/>
            </w:tcBorders>
            <w:shd w:val="clear" w:color="auto" w:fill="auto"/>
            <w:noWrap/>
            <w:vAlign w:val="center"/>
            <w:hideMark/>
          </w:tcPr>
          <w:p w14:paraId="272F2364" w14:textId="77777777" w:rsidR="00791C1B" w:rsidRPr="009E33FB" w:rsidRDefault="00791C1B" w:rsidP="00FB6278">
            <w:pP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for between 2 and 3 years at the time of reporting</w:t>
            </w:r>
          </w:p>
        </w:tc>
        <w:tc>
          <w:tcPr>
            <w:tcW w:w="1048" w:type="dxa"/>
            <w:tcBorders>
              <w:top w:val="nil"/>
              <w:left w:val="single" w:sz="4" w:space="0" w:color="auto"/>
              <w:bottom w:val="single" w:sz="4" w:space="0" w:color="auto"/>
              <w:right w:val="single" w:sz="4" w:space="0" w:color="auto"/>
            </w:tcBorders>
            <w:shd w:val="clear" w:color="auto" w:fill="auto"/>
            <w:noWrap/>
            <w:vAlign w:val="center"/>
          </w:tcPr>
          <w:p w14:paraId="566D83F3" w14:textId="77777777" w:rsidR="00791C1B" w:rsidRPr="009E33FB" w:rsidRDefault="00791C1B" w:rsidP="00FB6278">
            <w:pPr>
              <w:jc w:val="cente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2</w:t>
            </w:r>
          </w:p>
        </w:tc>
      </w:tr>
      <w:tr w:rsidR="00791C1B" w:rsidRPr="009E33FB" w14:paraId="5729616A" w14:textId="77777777" w:rsidTr="005E0560">
        <w:trPr>
          <w:trHeight w:val="300"/>
        </w:trPr>
        <w:tc>
          <w:tcPr>
            <w:tcW w:w="8520" w:type="dxa"/>
            <w:tcBorders>
              <w:top w:val="nil"/>
              <w:left w:val="single" w:sz="4" w:space="0" w:color="auto"/>
              <w:bottom w:val="single" w:sz="4" w:space="0" w:color="auto"/>
              <w:right w:val="nil"/>
            </w:tcBorders>
            <w:shd w:val="clear" w:color="auto" w:fill="auto"/>
            <w:noWrap/>
            <w:vAlign w:val="center"/>
            <w:hideMark/>
          </w:tcPr>
          <w:p w14:paraId="41514216" w14:textId="77777777" w:rsidR="00791C1B" w:rsidRPr="009E33FB" w:rsidRDefault="00791C1B" w:rsidP="00FB6278">
            <w:pP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for between 3 and 4 years at the time of reporting</w:t>
            </w:r>
          </w:p>
        </w:tc>
        <w:tc>
          <w:tcPr>
            <w:tcW w:w="1048" w:type="dxa"/>
            <w:tcBorders>
              <w:top w:val="nil"/>
              <w:left w:val="single" w:sz="4" w:space="0" w:color="auto"/>
              <w:bottom w:val="single" w:sz="4" w:space="0" w:color="auto"/>
              <w:right w:val="single" w:sz="4" w:space="0" w:color="auto"/>
            </w:tcBorders>
            <w:shd w:val="clear" w:color="auto" w:fill="auto"/>
            <w:noWrap/>
            <w:vAlign w:val="center"/>
          </w:tcPr>
          <w:p w14:paraId="65610C7F" w14:textId="77777777" w:rsidR="00791C1B" w:rsidRPr="009E33FB" w:rsidRDefault="00791C1B" w:rsidP="00FB6278">
            <w:pPr>
              <w:jc w:val="cente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w:t>
            </w:r>
          </w:p>
        </w:tc>
      </w:tr>
      <w:tr w:rsidR="00791C1B" w:rsidRPr="009E33FB" w14:paraId="2774F165" w14:textId="77777777" w:rsidTr="005E0560">
        <w:trPr>
          <w:trHeight w:val="300"/>
        </w:trPr>
        <w:tc>
          <w:tcPr>
            <w:tcW w:w="8520" w:type="dxa"/>
            <w:tcBorders>
              <w:top w:val="nil"/>
              <w:left w:val="single" w:sz="4" w:space="0" w:color="auto"/>
              <w:bottom w:val="single" w:sz="4" w:space="0" w:color="auto"/>
              <w:right w:val="nil"/>
            </w:tcBorders>
            <w:shd w:val="clear" w:color="auto" w:fill="auto"/>
            <w:noWrap/>
            <w:vAlign w:val="center"/>
            <w:hideMark/>
          </w:tcPr>
          <w:p w14:paraId="698B1452" w14:textId="77777777" w:rsidR="00791C1B" w:rsidRPr="009E33FB" w:rsidRDefault="00791C1B" w:rsidP="00FB6278">
            <w:pP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for 4 or more years at the time of reporting</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76E73" w14:textId="77777777" w:rsidR="00791C1B" w:rsidRPr="009E33FB" w:rsidRDefault="00791C1B" w:rsidP="00FB6278">
            <w:pPr>
              <w:jc w:val="cente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w:t>
            </w:r>
          </w:p>
        </w:tc>
      </w:tr>
      <w:tr w:rsidR="00791C1B" w:rsidRPr="009E33FB" w14:paraId="056E3EB9" w14:textId="77777777" w:rsidTr="005E0560">
        <w:trPr>
          <w:trHeight w:val="300"/>
        </w:trPr>
        <w:tc>
          <w:tcPr>
            <w:tcW w:w="8520" w:type="dxa"/>
            <w:tcBorders>
              <w:top w:val="nil"/>
              <w:left w:val="nil"/>
              <w:bottom w:val="nil"/>
              <w:right w:val="nil"/>
            </w:tcBorders>
            <w:shd w:val="clear" w:color="auto" w:fill="auto"/>
            <w:noWrap/>
            <w:vAlign w:val="bottom"/>
            <w:hideMark/>
          </w:tcPr>
          <w:p w14:paraId="4C5D6B55" w14:textId="77777777" w:rsidR="00791C1B" w:rsidRPr="009E33FB" w:rsidRDefault="00791C1B" w:rsidP="00FB6278">
            <w:pPr>
              <w:rPr>
                <w:rFonts w:ascii="Arial" w:eastAsia="Times New Roman" w:hAnsi="Arial" w:cs="Arial"/>
                <w:color w:val="000000"/>
                <w:sz w:val="22"/>
                <w:szCs w:val="22"/>
                <w:lang w:eastAsia="en-GB"/>
              </w:rPr>
            </w:pPr>
          </w:p>
        </w:tc>
        <w:tc>
          <w:tcPr>
            <w:tcW w:w="1048" w:type="dxa"/>
            <w:tcBorders>
              <w:top w:val="nil"/>
              <w:left w:val="nil"/>
              <w:bottom w:val="nil"/>
              <w:right w:val="nil"/>
            </w:tcBorders>
            <w:shd w:val="clear" w:color="auto" w:fill="auto"/>
            <w:noWrap/>
            <w:vAlign w:val="bottom"/>
            <w:hideMark/>
          </w:tcPr>
          <w:p w14:paraId="36EB8C33" w14:textId="77777777" w:rsidR="00791C1B" w:rsidRPr="009E33FB" w:rsidRDefault="00791C1B" w:rsidP="00FB6278">
            <w:pPr>
              <w:rPr>
                <w:rFonts w:ascii="Arial" w:eastAsia="Times New Roman" w:hAnsi="Arial" w:cs="Arial"/>
                <w:color w:val="000000"/>
                <w:sz w:val="22"/>
                <w:szCs w:val="22"/>
                <w:lang w:eastAsia="en-GB"/>
              </w:rPr>
            </w:pPr>
          </w:p>
        </w:tc>
      </w:tr>
      <w:tr w:rsidR="00791C1B" w:rsidRPr="009E33FB" w14:paraId="4A68D49D" w14:textId="77777777" w:rsidTr="005E0560">
        <w:trPr>
          <w:trHeight w:val="300"/>
        </w:trPr>
        <w:tc>
          <w:tcPr>
            <w:tcW w:w="8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68E98A" w14:textId="532A814E" w:rsidR="00791C1B" w:rsidRPr="009E33FB" w:rsidRDefault="00791C1B" w:rsidP="00FB6278">
            <w:pPr>
              <w:rPr>
                <w:rFonts w:ascii="Arial" w:eastAsia="Times New Roman" w:hAnsi="Arial" w:cs="Arial"/>
                <w:b/>
                <w:bCs/>
                <w:sz w:val="22"/>
                <w:szCs w:val="22"/>
                <w:lang w:eastAsia="en-GB"/>
              </w:rPr>
            </w:pPr>
            <w:r w:rsidRPr="009E33FB">
              <w:rPr>
                <w:rFonts w:ascii="Arial" w:eastAsia="Times New Roman" w:hAnsi="Arial" w:cs="Arial"/>
                <w:b/>
                <w:bCs/>
                <w:sz w:val="22"/>
                <w:szCs w:val="22"/>
                <w:lang w:eastAsia="en-GB"/>
              </w:rPr>
              <w:t>For all new off-payroll engagements, or those that reached six months in duration, between 01 Apr 202</w:t>
            </w:r>
            <w:r w:rsidR="00B37BE2">
              <w:rPr>
                <w:rFonts w:ascii="Arial" w:eastAsia="Times New Roman" w:hAnsi="Arial" w:cs="Arial"/>
                <w:b/>
                <w:bCs/>
                <w:sz w:val="22"/>
                <w:szCs w:val="22"/>
                <w:lang w:eastAsia="en-GB"/>
              </w:rPr>
              <w:t>1</w:t>
            </w:r>
            <w:r w:rsidRPr="009E33FB">
              <w:rPr>
                <w:rFonts w:ascii="Arial" w:eastAsia="Times New Roman" w:hAnsi="Arial" w:cs="Arial"/>
                <w:b/>
                <w:bCs/>
                <w:sz w:val="22"/>
                <w:szCs w:val="22"/>
                <w:lang w:eastAsia="en-GB"/>
              </w:rPr>
              <w:t xml:space="preserve"> and 31 Mar 202</w:t>
            </w:r>
            <w:r w:rsidR="00B37BE2">
              <w:rPr>
                <w:rFonts w:ascii="Arial" w:eastAsia="Times New Roman" w:hAnsi="Arial" w:cs="Arial"/>
                <w:b/>
                <w:bCs/>
                <w:sz w:val="22"/>
                <w:szCs w:val="22"/>
                <w:lang w:eastAsia="en-GB"/>
              </w:rPr>
              <w:t>2</w:t>
            </w:r>
            <w:r w:rsidRPr="009E33FB">
              <w:rPr>
                <w:rFonts w:ascii="Arial" w:eastAsia="Times New Roman" w:hAnsi="Arial" w:cs="Arial"/>
                <w:b/>
                <w:bCs/>
                <w:sz w:val="22"/>
                <w:szCs w:val="22"/>
                <w:lang w:eastAsia="en-GB"/>
              </w:rPr>
              <w:t>, for more than £245 per day and that last for longer than six months</w:t>
            </w:r>
          </w:p>
        </w:tc>
        <w:tc>
          <w:tcPr>
            <w:tcW w:w="1048" w:type="dxa"/>
            <w:tcBorders>
              <w:top w:val="single" w:sz="4" w:space="0" w:color="auto"/>
              <w:left w:val="nil"/>
              <w:bottom w:val="nil"/>
              <w:right w:val="single" w:sz="4" w:space="0" w:color="auto"/>
            </w:tcBorders>
            <w:shd w:val="clear" w:color="auto" w:fill="auto"/>
            <w:noWrap/>
            <w:vAlign w:val="bottom"/>
            <w:hideMark/>
          </w:tcPr>
          <w:p w14:paraId="60D44506" w14:textId="77777777" w:rsidR="00791C1B" w:rsidRPr="009E33FB" w:rsidRDefault="00791C1B" w:rsidP="00FB6278">
            <w:pPr>
              <w:jc w:val="center"/>
              <w:rPr>
                <w:rFonts w:ascii="Arial" w:eastAsia="Times New Roman" w:hAnsi="Arial" w:cs="Arial"/>
                <w:b/>
                <w:bCs/>
                <w:color w:val="000000"/>
                <w:sz w:val="22"/>
                <w:szCs w:val="22"/>
                <w:lang w:eastAsia="en-GB"/>
              </w:rPr>
            </w:pPr>
            <w:r w:rsidRPr="009E33FB">
              <w:rPr>
                <w:rFonts w:ascii="Arial" w:eastAsia="Times New Roman" w:hAnsi="Arial" w:cs="Arial"/>
                <w:b/>
                <w:bCs/>
                <w:color w:val="000000"/>
                <w:sz w:val="22"/>
                <w:szCs w:val="22"/>
                <w:lang w:eastAsia="en-GB"/>
              </w:rPr>
              <w:t>2021/22</w:t>
            </w:r>
          </w:p>
        </w:tc>
      </w:tr>
      <w:tr w:rsidR="00791C1B" w:rsidRPr="009E33FB" w14:paraId="4EF3426E" w14:textId="77777777" w:rsidTr="005E0560">
        <w:trPr>
          <w:trHeight w:val="300"/>
        </w:trPr>
        <w:tc>
          <w:tcPr>
            <w:tcW w:w="8520" w:type="dxa"/>
            <w:vMerge/>
            <w:tcBorders>
              <w:top w:val="single" w:sz="4" w:space="0" w:color="auto"/>
              <w:left w:val="single" w:sz="4" w:space="0" w:color="auto"/>
              <w:bottom w:val="single" w:sz="4" w:space="0" w:color="000000"/>
              <w:right w:val="single" w:sz="4" w:space="0" w:color="auto"/>
            </w:tcBorders>
            <w:vAlign w:val="center"/>
            <w:hideMark/>
          </w:tcPr>
          <w:p w14:paraId="32B17848" w14:textId="77777777" w:rsidR="00791C1B" w:rsidRPr="00952C33" w:rsidRDefault="00791C1B" w:rsidP="00FB6278">
            <w:pPr>
              <w:rPr>
                <w:rFonts w:ascii="Arial" w:hAnsi="Arial"/>
                <w:b/>
                <w:sz w:val="22"/>
              </w:rPr>
            </w:pPr>
          </w:p>
        </w:tc>
        <w:tc>
          <w:tcPr>
            <w:tcW w:w="1048" w:type="dxa"/>
            <w:tcBorders>
              <w:top w:val="nil"/>
              <w:left w:val="nil"/>
              <w:bottom w:val="single" w:sz="4" w:space="0" w:color="auto"/>
              <w:right w:val="single" w:sz="4" w:space="0" w:color="auto"/>
            </w:tcBorders>
            <w:shd w:val="clear" w:color="auto" w:fill="auto"/>
            <w:vAlign w:val="center"/>
            <w:hideMark/>
          </w:tcPr>
          <w:p w14:paraId="5D60358D" w14:textId="77777777" w:rsidR="00791C1B" w:rsidRPr="00952C33" w:rsidRDefault="00791C1B" w:rsidP="00FB6278">
            <w:pPr>
              <w:jc w:val="center"/>
              <w:rPr>
                <w:rFonts w:ascii="Arial" w:hAnsi="Arial"/>
                <w:b/>
                <w:color w:val="000000"/>
                <w:sz w:val="22"/>
              </w:rPr>
            </w:pPr>
            <w:r w:rsidRPr="00952C33">
              <w:rPr>
                <w:rFonts w:ascii="Arial" w:hAnsi="Arial"/>
                <w:b/>
                <w:color w:val="000000"/>
                <w:sz w:val="22"/>
              </w:rPr>
              <w:t>Number</w:t>
            </w:r>
          </w:p>
        </w:tc>
      </w:tr>
      <w:tr w:rsidR="00791C1B" w:rsidRPr="009E33FB" w14:paraId="41608926" w14:textId="77777777" w:rsidTr="005E0560">
        <w:trPr>
          <w:trHeight w:val="300"/>
        </w:trPr>
        <w:tc>
          <w:tcPr>
            <w:tcW w:w="8520" w:type="dxa"/>
            <w:tcBorders>
              <w:top w:val="nil"/>
              <w:left w:val="single" w:sz="4" w:space="0" w:color="auto"/>
              <w:bottom w:val="nil"/>
              <w:right w:val="nil"/>
            </w:tcBorders>
            <w:shd w:val="clear" w:color="auto" w:fill="auto"/>
            <w:noWrap/>
            <w:vAlign w:val="center"/>
            <w:hideMark/>
          </w:tcPr>
          <w:p w14:paraId="6548587D" w14:textId="77777777" w:rsidR="00791C1B" w:rsidRPr="009E33FB" w:rsidRDefault="00791C1B" w:rsidP="00FB6278">
            <w:pPr>
              <w:rPr>
                <w:rFonts w:ascii="Arial" w:eastAsia="Times New Roman" w:hAnsi="Arial" w:cs="Arial"/>
                <w:b/>
                <w:bCs/>
                <w:color w:val="000000"/>
                <w:sz w:val="22"/>
                <w:szCs w:val="22"/>
                <w:lang w:eastAsia="en-GB"/>
              </w:rPr>
            </w:pPr>
            <w:r w:rsidRPr="009E33FB">
              <w:rPr>
                <w:rFonts w:ascii="Arial" w:eastAsia="Times New Roman" w:hAnsi="Arial" w:cs="Arial"/>
                <w:b/>
                <w:bCs/>
                <w:color w:val="000000"/>
                <w:sz w:val="22"/>
                <w:szCs w:val="22"/>
                <w:lang w:eastAsia="en-GB"/>
              </w:rPr>
              <w:t>Of which:</w:t>
            </w:r>
          </w:p>
        </w:tc>
        <w:tc>
          <w:tcPr>
            <w:tcW w:w="1048" w:type="dxa"/>
            <w:tcBorders>
              <w:top w:val="nil"/>
              <w:left w:val="single" w:sz="4" w:space="0" w:color="auto"/>
              <w:bottom w:val="single" w:sz="4" w:space="0" w:color="auto"/>
              <w:right w:val="single" w:sz="4" w:space="0" w:color="auto"/>
            </w:tcBorders>
            <w:shd w:val="clear" w:color="auto" w:fill="auto"/>
            <w:noWrap/>
            <w:vAlign w:val="center"/>
          </w:tcPr>
          <w:p w14:paraId="2377AE25" w14:textId="77777777" w:rsidR="00791C1B" w:rsidRPr="009E33FB" w:rsidRDefault="00791C1B" w:rsidP="00FB6278">
            <w:pPr>
              <w:jc w:val="cente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w:t>
            </w:r>
          </w:p>
        </w:tc>
      </w:tr>
      <w:tr w:rsidR="00791C1B" w:rsidRPr="009E33FB" w14:paraId="5494B2F0" w14:textId="77777777" w:rsidTr="005E0560">
        <w:trPr>
          <w:trHeight w:val="300"/>
        </w:trPr>
        <w:tc>
          <w:tcPr>
            <w:tcW w:w="8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A4A20" w14:textId="6C043EF4" w:rsidR="00791C1B" w:rsidRPr="009E33FB" w:rsidRDefault="00791C1B" w:rsidP="00FB6278">
            <w:pPr>
              <w:rPr>
                <w:rFonts w:ascii="Arial" w:eastAsia="Times New Roman" w:hAnsi="Arial" w:cs="Arial"/>
                <w:color w:val="000000"/>
                <w:sz w:val="22"/>
                <w:szCs w:val="22"/>
                <w:lang w:eastAsia="en-GB"/>
              </w:rPr>
            </w:pPr>
            <w:r w:rsidRPr="00A23770">
              <w:rPr>
                <w:rFonts w:ascii="Arial" w:eastAsia="Times New Roman" w:hAnsi="Arial" w:cs="Arial"/>
                <w:color w:val="000000"/>
                <w:sz w:val="22"/>
                <w:szCs w:val="22"/>
                <w:lang w:eastAsia="en-GB"/>
              </w:rPr>
              <w:t>N</w:t>
            </w:r>
            <w:r w:rsidR="00BE46BF" w:rsidRPr="00A23770">
              <w:rPr>
                <w:rFonts w:ascii="Arial" w:eastAsia="Times New Roman" w:hAnsi="Arial" w:cs="Arial"/>
                <w:color w:val="000000"/>
                <w:sz w:val="22"/>
                <w:szCs w:val="22"/>
                <w:lang w:eastAsia="en-GB"/>
              </w:rPr>
              <w:t>umber</w:t>
            </w:r>
            <w:r w:rsidRPr="009E33FB">
              <w:rPr>
                <w:rFonts w:ascii="Arial" w:eastAsia="Times New Roman" w:hAnsi="Arial" w:cs="Arial"/>
                <w:color w:val="000000"/>
                <w:sz w:val="22"/>
                <w:szCs w:val="22"/>
                <w:lang w:eastAsia="en-GB"/>
              </w:rPr>
              <w:t xml:space="preserve"> assessed as caught by IR35</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7A86DE" w14:textId="77777777" w:rsidR="00791C1B" w:rsidRPr="009E33FB" w:rsidRDefault="00791C1B" w:rsidP="00FB6278">
            <w:pPr>
              <w:jc w:val="cente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w:t>
            </w:r>
          </w:p>
        </w:tc>
      </w:tr>
      <w:tr w:rsidR="00791C1B" w:rsidRPr="009E33FB" w14:paraId="40EED91D" w14:textId="77777777" w:rsidTr="005E0560">
        <w:trPr>
          <w:trHeight w:val="300"/>
        </w:trPr>
        <w:tc>
          <w:tcPr>
            <w:tcW w:w="8520" w:type="dxa"/>
            <w:tcBorders>
              <w:top w:val="nil"/>
              <w:left w:val="single" w:sz="4" w:space="0" w:color="auto"/>
              <w:bottom w:val="nil"/>
              <w:right w:val="nil"/>
            </w:tcBorders>
            <w:shd w:val="clear" w:color="auto" w:fill="auto"/>
            <w:noWrap/>
            <w:vAlign w:val="center"/>
            <w:hideMark/>
          </w:tcPr>
          <w:p w14:paraId="67A1752E" w14:textId="1CF6C644" w:rsidR="00791C1B" w:rsidRPr="009E33FB" w:rsidRDefault="00791C1B" w:rsidP="00FB6278">
            <w:pPr>
              <w:rPr>
                <w:rFonts w:ascii="Arial" w:eastAsia="Times New Roman" w:hAnsi="Arial" w:cs="Arial"/>
                <w:color w:val="000000"/>
                <w:sz w:val="22"/>
                <w:szCs w:val="22"/>
                <w:lang w:eastAsia="en-GB"/>
              </w:rPr>
            </w:pPr>
            <w:r w:rsidRPr="00A23770">
              <w:rPr>
                <w:rFonts w:ascii="Arial" w:eastAsia="Times New Roman" w:hAnsi="Arial" w:cs="Arial"/>
                <w:color w:val="000000"/>
                <w:sz w:val="22"/>
                <w:szCs w:val="22"/>
                <w:lang w:eastAsia="en-GB"/>
              </w:rPr>
              <w:t>N</w:t>
            </w:r>
            <w:r w:rsidR="00BE46BF" w:rsidRPr="00A23770">
              <w:rPr>
                <w:rFonts w:ascii="Arial" w:eastAsia="Times New Roman" w:hAnsi="Arial" w:cs="Arial"/>
                <w:color w:val="000000"/>
                <w:sz w:val="22"/>
                <w:szCs w:val="22"/>
                <w:lang w:eastAsia="en-GB"/>
              </w:rPr>
              <w:t>umber</w:t>
            </w:r>
            <w:r w:rsidR="004C7B7C">
              <w:rPr>
                <w:rFonts w:ascii="Arial" w:eastAsia="Times New Roman" w:hAnsi="Arial" w:cs="Arial"/>
                <w:color w:val="000000"/>
                <w:sz w:val="22"/>
                <w:szCs w:val="22"/>
                <w:lang w:eastAsia="en-GB"/>
              </w:rPr>
              <w:t xml:space="preserve"> </w:t>
            </w:r>
            <w:r w:rsidRPr="009E33FB">
              <w:rPr>
                <w:rFonts w:ascii="Arial" w:eastAsia="Times New Roman" w:hAnsi="Arial" w:cs="Arial"/>
                <w:color w:val="000000"/>
                <w:sz w:val="22"/>
                <w:szCs w:val="22"/>
                <w:lang w:eastAsia="en-GB"/>
              </w:rPr>
              <w:t>assessed as not caught by IR35</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962C4" w14:textId="77777777" w:rsidR="00791C1B" w:rsidRPr="009E33FB" w:rsidRDefault="00791C1B" w:rsidP="00FB6278">
            <w:pPr>
              <w:jc w:val="cente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11</w:t>
            </w:r>
          </w:p>
        </w:tc>
      </w:tr>
      <w:tr w:rsidR="00791C1B" w:rsidRPr="009E33FB" w14:paraId="30EE533E" w14:textId="77777777" w:rsidTr="005E0560">
        <w:trPr>
          <w:trHeight w:val="315"/>
        </w:trPr>
        <w:tc>
          <w:tcPr>
            <w:tcW w:w="8520" w:type="dxa"/>
            <w:tcBorders>
              <w:top w:val="single" w:sz="4" w:space="0" w:color="000000"/>
              <w:left w:val="single" w:sz="4" w:space="0" w:color="auto"/>
              <w:bottom w:val="single" w:sz="4" w:space="0" w:color="auto"/>
              <w:right w:val="nil"/>
            </w:tcBorders>
            <w:shd w:val="clear" w:color="auto" w:fill="auto"/>
            <w:vAlign w:val="center"/>
            <w:hideMark/>
          </w:tcPr>
          <w:p w14:paraId="260BF432" w14:textId="77777777" w:rsidR="00791C1B" w:rsidRPr="009E33FB" w:rsidRDefault="00791C1B" w:rsidP="00FB6278">
            <w:pP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Number engaged directly (via PSC contracted to trust) and are on the trust's payroll</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3E0A8" w14:textId="77777777" w:rsidR="00791C1B" w:rsidRPr="009E33FB" w:rsidRDefault="00791C1B" w:rsidP="00FB6278">
            <w:pPr>
              <w:jc w:val="cente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w:t>
            </w:r>
          </w:p>
        </w:tc>
      </w:tr>
      <w:tr w:rsidR="00791C1B" w:rsidRPr="009E33FB" w14:paraId="68E660D4" w14:textId="77777777" w:rsidTr="005E0560">
        <w:trPr>
          <w:trHeight w:val="300"/>
        </w:trPr>
        <w:tc>
          <w:tcPr>
            <w:tcW w:w="8520" w:type="dxa"/>
            <w:tcBorders>
              <w:top w:val="nil"/>
              <w:left w:val="single" w:sz="4" w:space="0" w:color="auto"/>
              <w:bottom w:val="single" w:sz="4" w:space="0" w:color="auto"/>
              <w:right w:val="nil"/>
            </w:tcBorders>
            <w:shd w:val="clear" w:color="auto" w:fill="auto"/>
            <w:noWrap/>
            <w:vAlign w:val="center"/>
            <w:hideMark/>
          </w:tcPr>
          <w:p w14:paraId="41FC2C91" w14:textId="77777777" w:rsidR="00791C1B" w:rsidRPr="009E33FB" w:rsidRDefault="00791C1B" w:rsidP="00FB6278">
            <w:pP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Number of engagements reassessed for consistency/assurance purposes during the year</w:t>
            </w:r>
          </w:p>
        </w:tc>
        <w:tc>
          <w:tcPr>
            <w:tcW w:w="1048" w:type="dxa"/>
            <w:tcBorders>
              <w:top w:val="nil"/>
              <w:left w:val="single" w:sz="4" w:space="0" w:color="auto"/>
              <w:bottom w:val="single" w:sz="4" w:space="0" w:color="auto"/>
              <w:right w:val="single" w:sz="4" w:space="0" w:color="auto"/>
            </w:tcBorders>
            <w:shd w:val="clear" w:color="auto" w:fill="auto"/>
            <w:noWrap/>
            <w:vAlign w:val="center"/>
          </w:tcPr>
          <w:p w14:paraId="0246959D" w14:textId="77777777" w:rsidR="00791C1B" w:rsidRPr="009E33FB" w:rsidRDefault="00791C1B" w:rsidP="00FB6278">
            <w:pPr>
              <w:jc w:val="cente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w:t>
            </w:r>
          </w:p>
        </w:tc>
      </w:tr>
      <w:tr w:rsidR="00791C1B" w:rsidRPr="009E33FB" w14:paraId="58C113DA" w14:textId="77777777" w:rsidTr="005E0560">
        <w:trPr>
          <w:trHeight w:val="300"/>
        </w:trPr>
        <w:tc>
          <w:tcPr>
            <w:tcW w:w="8520" w:type="dxa"/>
            <w:tcBorders>
              <w:top w:val="nil"/>
              <w:left w:val="single" w:sz="4" w:space="0" w:color="auto"/>
              <w:bottom w:val="single" w:sz="4" w:space="0" w:color="auto"/>
              <w:right w:val="nil"/>
            </w:tcBorders>
            <w:shd w:val="clear" w:color="auto" w:fill="auto"/>
            <w:noWrap/>
            <w:vAlign w:val="center"/>
            <w:hideMark/>
          </w:tcPr>
          <w:p w14:paraId="691D9914" w14:textId="77777777" w:rsidR="00791C1B" w:rsidRPr="009E33FB" w:rsidRDefault="00791C1B" w:rsidP="00FB6278">
            <w:pP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Number of engagements that saw a change to IR35 status following the consistency review</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8692F8" w14:textId="77777777" w:rsidR="00791C1B" w:rsidRPr="009E33FB" w:rsidRDefault="00791C1B" w:rsidP="00FB6278">
            <w:pPr>
              <w:jc w:val="cente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w:t>
            </w:r>
          </w:p>
        </w:tc>
      </w:tr>
      <w:tr w:rsidR="00791C1B" w:rsidRPr="009E33FB" w14:paraId="195EF94B" w14:textId="77777777" w:rsidTr="005E0560">
        <w:trPr>
          <w:trHeight w:val="300"/>
        </w:trPr>
        <w:tc>
          <w:tcPr>
            <w:tcW w:w="8520" w:type="dxa"/>
            <w:tcBorders>
              <w:top w:val="nil"/>
              <w:left w:val="nil"/>
              <w:bottom w:val="nil"/>
              <w:right w:val="nil"/>
            </w:tcBorders>
            <w:shd w:val="clear" w:color="auto" w:fill="auto"/>
            <w:noWrap/>
            <w:vAlign w:val="bottom"/>
            <w:hideMark/>
          </w:tcPr>
          <w:p w14:paraId="624606B9" w14:textId="2391696C" w:rsidR="00791C1B" w:rsidRDefault="00791C1B" w:rsidP="00FB6278">
            <w:pPr>
              <w:rPr>
                <w:rFonts w:ascii="Arial" w:eastAsia="Times New Roman" w:hAnsi="Arial" w:cs="Arial"/>
                <w:color w:val="000000"/>
                <w:sz w:val="22"/>
                <w:szCs w:val="22"/>
                <w:lang w:eastAsia="en-GB"/>
              </w:rPr>
            </w:pPr>
          </w:p>
          <w:p w14:paraId="1C86229D" w14:textId="77777777" w:rsidR="00AA5801" w:rsidRDefault="00AA5801" w:rsidP="00FB6278">
            <w:pPr>
              <w:rPr>
                <w:rFonts w:ascii="Arial" w:eastAsia="Times New Roman" w:hAnsi="Arial" w:cs="Arial"/>
                <w:color w:val="000000"/>
                <w:sz w:val="22"/>
                <w:szCs w:val="22"/>
                <w:lang w:eastAsia="en-GB"/>
              </w:rPr>
            </w:pPr>
          </w:p>
          <w:p w14:paraId="3E9E4FE9" w14:textId="77777777" w:rsidR="0066712A" w:rsidRDefault="0066712A" w:rsidP="00FB6278">
            <w:pPr>
              <w:rPr>
                <w:rFonts w:ascii="Arial" w:eastAsia="Times New Roman" w:hAnsi="Arial" w:cs="Arial"/>
                <w:color w:val="000000"/>
                <w:sz w:val="22"/>
                <w:szCs w:val="22"/>
                <w:lang w:eastAsia="en-GB"/>
              </w:rPr>
            </w:pPr>
          </w:p>
          <w:p w14:paraId="02237149" w14:textId="7F32100A" w:rsidR="0066712A" w:rsidRPr="009E33FB" w:rsidRDefault="0066712A" w:rsidP="00FB6278">
            <w:pPr>
              <w:rPr>
                <w:rFonts w:ascii="Arial" w:eastAsia="Times New Roman" w:hAnsi="Arial" w:cs="Arial"/>
                <w:color w:val="000000"/>
                <w:sz w:val="22"/>
                <w:szCs w:val="22"/>
                <w:lang w:eastAsia="en-GB"/>
              </w:rPr>
            </w:pPr>
          </w:p>
        </w:tc>
        <w:tc>
          <w:tcPr>
            <w:tcW w:w="1048" w:type="dxa"/>
            <w:tcBorders>
              <w:top w:val="nil"/>
              <w:left w:val="nil"/>
              <w:bottom w:val="nil"/>
              <w:right w:val="nil"/>
            </w:tcBorders>
            <w:shd w:val="clear" w:color="auto" w:fill="auto"/>
            <w:noWrap/>
            <w:vAlign w:val="bottom"/>
            <w:hideMark/>
          </w:tcPr>
          <w:p w14:paraId="24BD9DE4" w14:textId="77777777" w:rsidR="00791C1B" w:rsidRPr="009E33FB" w:rsidRDefault="00791C1B" w:rsidP="00FB6278">
            <w:pPr>
              <w:rPr>
                <w:rFonts w:ascii="Arial" w:eastAsia="Times New Roman" w:hAnsi="Arial" w:cs="Arial"/>
                <w:color w:val="000000"/>
                <w:sz w:val="22"/>
                <w:szCs w:val="22"/>
                <w:lang w:eastAsia="en-GB"/>
              </w:rPr>
            </w:pPr>
          </w:p>
        </w:tc>
      </w:tr>
      <w:tr w:rsidR="00791C1B" w:rsidRPr="009E33FB" w14:paraId="1D02DD39" w14:textId="77777777" w:rsidTr="005E0560">
        <w:trPr>
          <w:trHeight w:val="300"/>
        </w:trPr>
        <w:tc>
          <w:tcPr>
            <w:tcW w:w="8520" w:type="dxa"/>
            <w:vMerge w:val="restart"/>
            <w:tcBorders>
              <w:top w:val="single" w:sz="4" w:space="0" w:color="auto"/>
              <w:left w:val="single" w:sz="4" w:space="0" w:color="auto"/>
              <w:bottom w:val="nil"/>
              <w:right w:val="nil"/>
            </w:tcBorders>
            <w:shd w:val="clear" w:color="auto" w:fill="auto"/>
            <w:vAlign w:val="center"/>
            <w:hideMark/>
          </w:tcPr>
          <w:p w14:paraId="6B8E64F8" w14:textId="0BB2CCCF" w:rsidR="00791C1B" w:rsidRPr="009E33FB" w:rsidRDefault="00791C1B" w:rsidP="00FB6278">
            <w:pPr>
              <w:rPr>
                <w:rFonts w:ascii="Arial" w:eastAsia="Times New Roman" w:hAnsi="Arial" w:cs="Arial"/>
                <w:b/>
                <w:bCs/>
                <w:sz w:val="22"/>
                <w:szCs w:val="22"/>
                <w:lang w:eastAsia="en-GB"/>
              </w:rPr>
            </w:pPr>
            <w:r w:rsidRPr="009E33FB">
              <w:rPr>
                <w:rFonts w:ascii="Arial" w:eastAsia="Times New Roman" w:hAnsi="Arial" w:cs="Arial"/>
                <w:b/>
                <w:bCs/>
                <w:sz w:val="22"/>
                <w:szCs w:val="22"/>
                <w:lang w:eastAsia="en-GB"/>
              </w:rPr>
              <w:t>For any off-payroll engagements of board members, and/or senior officials with significant financial responsibility, between 1 Apr 202</w:t>
            </w:r>
            <w:r w:rsidR="00B37BE2">
              <w:rPr>
                <w:rFonts w:ascii="Arial" w:eastAsia="Times New Roman" w:hAnsi="Arial" w:cs="Arial"/>
                <w:b/>
                <w:bCs/>
                <w:sz w:val="22"/>
                <w:szCs w:val="22"/>
                <w:lang w:eastAsia="en-GB"/>
              </w:rPr>
              <w:t>1</w:t>
            </w:r>
            <w:r w:rsidRPr="009E33FB">
              <w:rPr>
                <w:rFonts w:ascii="Arial" w:eastAsia="Times New Roman" w:hAnsi="Arial" w:cs="Arial"/>
                <w:b/>
                <w:bCs/>
                <w:sz w:val="22"/>
                <w:szCs w:val="22"/>
                <w:lang w:eastAsia="en-GB"/>
              </w:rPr>
              <w:t xml:space="preserve"> and 31 Mar 202</w:t>
            </w:r>
            <w:r w:rsidR="00B37BE2">
              <w:rPr>
                <w:rFonts w:ascii="Arial" w:eastAsia="Times New Roman" w:hAnsi="Arial" w:cs="Arial"/>
                <w:b/>
                <w:bCs/>
                <w:sz w:val="22"/>
                <w:szCs w:val="22"/>
                <w:lang w:eastAsia="en-GB"/>
              </w:rPr>
              <w:t>2</w:t>
            </w:r>
          </w:p>
        </w:tc>
        <w:tc>
          <w:tcPr>
            <w:tcW w:w="1048" w:type="dxa"/>
            <w:tcBorders>
              <w:top w:val="single" w:sz="4" w:space="0" w:color="auto"/>
              <w:left w:val="single" w:sz="4" w:space="0" w:color="auto"/>
              <w:bottom w:val="nil"/>
              <w:right w:val="single" w:sz="4" w:space="0" w:color="auto"/>
            </w:tcBorders>
            <w:shd w:val="clear" w:color="auto" w:fill="auto"/>
            <w:noWrap/>
            <w:vAlign w:val="bottom"/>
            <w:hideMark/>
          </w:tcPr>
          <w:p w14:paraId="50C47D2C" w14:textId="77777777" w:rsidR="00791C1B" w:rsidRPr="009E33FB" w:rsidRDefault="00791C1B" w:rsidP="00FB6278">
            <w:pPr>
              <w:jc w:val="center"/>
              <w:rPr>
                <w:rFonts w:ascii="Arial" w:eastAsia="Times New Roman" w:hAnsi="Arial" w:cs="Arial"/>
                <w:b/>
                <w:bCs/>
                <w:color w:val="000000"/>
                <w:sz w:val="22"/>
                <w:szCs w:val="22"/>
                <w:lang w:eastAsia="en-GB"/>
              </w:rPr>
            </w:pPr>
            <w:r w:rsidRPr="009E33FB">
              <w:rPr>
                <w:rFonts w:ascii="Arial" w:eastAsia="Times New Roman" w:hAnsi="Arial" w:cs="Arial"/>
                <w:b/>
                <w:bCs/>
                <w:color w:val="000000"/>
                <w:sz w:val="22"/>
                <w:szCs w:val="22"/>
                <w:lang w:eastAsia="en-GB"/>
              </w:rPr>
              <w:t>2021/22</w:t>
            </w:r>
          </w:p>
        </w:tc>
      </w:tr>
      <w:tr w:rsidR="00791C1B" w:rsidRPr="009E33FB" w14:paraId="4BA36036" w14:textId="77777777" w:rsidTr="005E0560">
        <w:trPr>
          <w:trHeight w:val="300"/>
        </w:trPr>
        <w:tc>
          <w:tcPr>
            <w:tcW w:w="8520" w:type="dxa"/>
            <w:vMerge/>
            <w:tcBorders>
              <w:top w:val="single" w:sz="4" w:space="0" w:color="auto"/>
              <w:left w:val="single" w:sz="4" w:space="0" w:color="auto"/>
              <w:bottom w:val="nil"/>
              <w:right w:val="nil"/>
            </w:tcBorders>
            <w:vAlign w:val="center"/>
            <w:hideMark/>
          </w:tcPr>
          <w:p w14:paraId="11ED9E30" w14:textId="77777777" w:rsidR="00791C1B" w:rsidRPr="00952C33" w:rsidRDefault="00791C1B" w:rsidP="00FB6278">
            <w:pPr>
              <w:rPr>
                <w:rFonts w:ascii="Arial" w:hAnsi="Arial"/>
                <w:b/>
                <w:sz w:val="22"/>
              </w:rPr>
            </w:pPr>
          </w:p>
        </w:tc>
        <w:tc>
          <w:tcPr>
            <w:tcW w:w="1048" w:type="dxa"/>
            <w:tcBorders>
              <w:top w:val="nil"/>
              <w:left w:val="single" w:sz="4" w:space="0" w:color="auto"/>
              <w:bottom w:val="single" w:sz="4" w:space="0" w:color="auto"/>
              <w:right w:val="single" w:sz="4" w:space="0" w:color="auto"/>
            </w:tcBorders>
            <w:shd w:val="clear" w:color="auto" w:fill="auto"/>
            <w:vAlign w:val="center"/>
            <w:hideMark/>
          </w:tcPr>
          <w:p w14:paraId="63DA600B" w14:textId="77777777" w:rsidR="00791C1B" w:rsidRPr="00952C33" w:rsidRDefault="00791C1B" w:rsidP="00FB6278">
            <w:pPr>
              <w:jc w:val="center"/>
              <w:rPr>
                <w:rFonts w:ascii="Arial" w:hAnsi="Arial"/>
                <w:b/>
                <w:color w:val="000000"/>
                <w:sz w:val="22"/>
              </w:rPr>
            </w:pPr>
            <w:r w:rsidRPr="00952C33">
              <w:rPr>
                <w:rFonts w:ascii="Arial" w:hAnsi="Arial"/>
                <w:b/>
                <w:color w:val="000000"/>
                <w:sz w:val="22"/>
              </w:rPr>
              <w:t>Number</w:t>
            </w:r>
          </w:p>
        </w:tc>
      </w:tr>
      <w:tr w:rsidR="00791C1B" w:rsidRPr="009E33FB" w14:paraId="091CDBCC" w14:textId="77777777" w:rsidTr="005E0560">
        <w:trPr>
          <w:trHeight w:val="570"/>
        </w:trPr>
        <w:tc>
          <w:tcPr>
            <w:tcW w:w="8520" w:type="dxa"/>
            <w:tcBorders>
              <w:top w:val="single" w:sz="4" w:space="0" w:color="000000"/>
              <w:left w:val="single" w:sz="4" w:space="0" w:color="auto"/>
              <w:bottom w:val="single" w:sz="4" w:space="0" w:color="auto"/>
              <w:right w:val="nil"/>
            </w:tcBorders>
            <w:shd w:val="clear" w:color="auto" w:fill="auto"/>
            <w:vAlign w:val="center"/>
            <w:hideMark/>
          </w:tcPr>
          <w:p w14:paraId="55AEC5C4" w14:textId="77777777" w:rsidR="00791C1B" w:rsidRPr="009E33FB" w:rsidRDefault="00791C1B" w:rsidP="00FB6278">
            <w:pP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Number of off-payroll engagements of board members, and/or senior officers with significant financial responsibility, during the financial year.</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E5DB5A" w14:textId="77777777" w:rsidR="00791C1B" w:rsidRPr="009E33FB" w:rsidRDefault="00791C1B" w:rsidP="00FB6278">
            <w:pPr>
              <w:jc w:val="cente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0</w:t>
            </w:r>
          </w:p>
        </w:tc>
      </w:tr>
      <w:tr w:rsidR="00791C1B" w:rsidRPr="009E33FB" w14:paraId="063B04EC" w14:textId="77777777" w:rsidTr="005E0560">
        <w:trPr>
          <w:trHeight w:val="855"/>
        </w:trPr>
        <w:tc>
          <w:tcPr>
            <w:tcW w:w="8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8DB41" w14:textId="5B10B005" w:rsidR="00791C1B" w:rsidRPr="009E33FB" w:rsidRDefault="00791C1B" w:rsidP="00FB6278">
            <w:pP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 xml:space="preserve">Total </w:t>
            </w:r>
            <w:r w:rsidR="00BE46BF">
              <w:rPr>
                <w:rFonts w:ascii="Arial" w:eastAsia="Times New Roman" w:hAnsi="Arial" w:cs="Arial"/>
                <w:color w:val="000000"/>
                <w:sz w:val="22"/>
                <w:szCs w:val="22"/>
                <w:lang w:eastAsia="en-GB"/>
              </w:rPr>
              <w:t>number</w:t>
            </w:r>
            <w:r w:rsidRPr="009E33FB">
              <w:rPr>
                <w:rFonts w:ascii="Arial" w:eastAsia="Times New Roman" w:hAnsi="Arial" w:cs="Arial"/>
                <w:color w:val="000000"/>
                <w:sz w:val="22"/>
                <w:szCs w:val="22"/>
                <w:lang w:eastAsia="en-GB"/>
              </w:rPr>
              <w:t xml:space="preserve"> of individuals on payroll and off-payroll that have been deemed “board members, and/or, senior officials with significant financial responsibility”, during the financial year. This figure must include both on payroll and off-payroll engagements.</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024A7" w14:textId="77777777" w:rsidR="00791C1B" w:rsidRPr="009E33FB" w:rsidRDefault="00791C1B" w:rsidP="00FB6278">
            <w:pPr>
              <w:jc w:val="center"/>
              <w:rPr>
                <w:rFonts w:ascii="Arial" w:eastAsia="Times New Roman" w:hAnsi="Arial" w:cs="Arial"/>
                <w:color w:val="000000"/>
                <w:sz w:val="22"/>
                <w:szCs w:val="22"/>
                <w:lang w:eastAsia="en-GB"/>
              </w:rPr>
            </w:pPr>
            <w:r w:rsidRPr="009E33FB">
              <w:rPr>
                <w:rFonts w:ascii="Arial" w:eastAsia="Times New Roman" w:hAnsi="Arial" w:cs="Arial"/>
                <w:color w:val="000000"/>
                <w:sz w:val="22"/>
                <w:szCs w:val="22"/>
                <w:lang w:eastAsia="en-GB"/>
              </w:rPr>
              <w:t>18</w:t>
            </w:r>
          </w:p>
        </w:tc>
      </w:tr>
    </w:tbl>
    <w:p w14:paraId="21387494" w14:textId="77777777" w:rsidR="00791C1B" w:rsidRPr="009E33FB" w:rsidRDefault="00791C1B" w:rsidP="00FB6278">
      <w:pPr>
        <w:rPr>
          <w:rFonts w:ascii="Arial" w:hAnsi="Arial" w:cs="Arial"/>
          <w:sz w:val="22"/>
          <w:szCs w:val="22"/>
        </w:rPr>
      </w:pPr>
      <w:r w:rsidRPr="009E33FB">
        <w:rPr>
          <w:rFonts w:ascii="Arial" w:hAnsi="Arial" w:cs="Arial"/>
          <w:sz w:val="22"/>
          <w:szCs w:val="22"/>
        </w:rPr>
        <w:t xml:space="preserve">    </w:t>
      </w:r>
    </w:p>
    <w:p w14:paraId="0DDD1701" w14:textId="77777777" w:rsidR="00791C1B" w:rsidRPr="009E33FB" w:rsidRDefault="00791C1B" w:rsidP="00FB6278">
      <w:pPr>
        <w:rPr>
          <w:rFonts w:ascii="Arial" w:hAnsi="Arial" w:cs="Arial"/>
          <w:sz w:val="22"/>
          <w:szCs w:val="22"/>
        </w:rPr>
      </w:pPr>
    </w:p>
    <w:p w14:paraId="60795B87" w14:textId="6F188CC3" w:rsidR="00BC178C" w:rsidRPr="001A07DD" w:rsidRDefault="00791C1B" w:rsidP="00FB6278">
      <w:pPr>
        <w:spacing w:after="160"/>
        <w:rPr>
          <w:rFonts w:ascii="Arial" w:hAnsi="Arial"/>
          <w:b/>
          <w:sz w:val="28"/>
          <w:szCs w:val="28"/>
        </w:rPr>
      </w:pPr>
      <w:r>
        <w:rPr>
          <w:rFonts w:ascii="Arial" w:hAnsi="Arial" w:cs="Arial"/>
          <w:b/>
          <w:sz w:val="22"/>
          <w:szCs w:val="22"/>
        </w:rPr>
        <w:br w:type="page"/>
      </w:r>
      <w:r w:rsidR="00AA5801" w:rsidRPr="001A07DD">
        <w:rPr>
          <w:rFonts w:ascii="Arial" w:hAnsi="Arial" w:cs="Arial"/>
          <w:b/>
          <w:sz w:val="28"/>
          <w:szCs w:val="28"/>
        </w:rPr>
        <w:lastRenderedPageBreak/>
        <w:t xml:space="preserve">3.5 </w:t>
      </w:r>
      <w:r w:rsidR="000E53A2" w:rsidRPr="001A07DD">
        <w:rPr>
          <w:rFonts w:ascii="Arial" w:hAnsi="Arial"/>
          <w:b/>
          <w:sz w:val="28"/>
          <w:szCs w:val="28"/>
        </w:rPr>
        <w:t>Statement of the chief executive’s responsibilities as the accounting officer of Moorfields Eye Hospital NHS Foundation Trust</w:t>
      </w:r>
    </w:p>
    <w:p w14:paraId="781AE27E" w14:textId="478AA218" w:rsidR="000E53A2" w:rsidRPr="00952C33" w:rsidRDefault="000E53A2" w:rsidP="00FB6278">
      <w:pPr>
        <w:pStyle w:val="MEHArial"/>
        <w:jc w:val="both"/>
        <w:rPr>
          <w:sz w:val="22"/>
        </w:rPr>
      </w:pPr>
      <w:r w:rsidRPr="00952C33">
        <w:rPr>
          <w:sz w:val="22"/>
        </w:rPr>
        <w:t xml:space="preserve">The National Health Service Act 2006 states that the chief executive is the accounting officer of the NHS </w:t>
      </w:r>
      <w:r w:rsidR="004C1E8B" w:rsidRPr="00952C33">
        <w:rPr>
          <w:rFonts w:cs="Arial"/>
          <w:sz w:val="22"/>
          <w:szCs w:val="22"/>
        </w:rPr>
        <w:t>F</w:t>
      </w:r>
      <w:r w:rsidRPr="00952C33">
        <w:rPr>
          <w:rFonts w:cs="Arial"/>
          <w:sz w:val="22"/>
          <w:szCs w:val="22"/>
        </w:rPr>
        <w:t xml:space="preserve">oundation </w:t>
      </w:r>
      <w:r w:rsidR="004C1E8B" w:rsidRPr="00952C33">
        <w:rPr>
          <w:rFonts w:cs="Arial"/>
          <w:sz w:val="22"/>
          <w:szCs w:val="22"/>
        </w:rPr>
        <w:t>T</w:t>
      </w:r>
      <w:r w:rsidRPr="00952C33">
        <w:rPr>
          <w:rFonts w:cs="Arial"/>
          <w:sz w:val="22"/>
          <w:szCs w:val="22"/>
        </w:rPr>
        <w:t>rust.</w:t>
      </w:r>
      <w:r w:rsidR="0066712A">
        <w:rPr>
          <w:sz w:val="22"/>
        </w:rPr>
        <w:t xml:space="preserve"> </w:t>
      </w:r>
      <w:r w:rsidRPr="00952C33">
        <w:rPr>
          <w:sz w:val="22"/>
        </w:rPr>
        <w:t xml:space="preserve">The relevant responsibilities of the accounting officer, including their responsibility for the propriety and regularity of the public finances for which he is answerable and for the keeping of proper accounts, are set out in the NHS Foundation Trust Accounting Officer Memorandum issued by NHS Improvement. </w:t>
      </w:r>
    </w:p>
    <w:p w14:paraId="3A6FE56C" w14:textId="44EDD673" w:rsidR="000E53A2" w:rsidRPr="00952C33" w:rsidRDefault="000E53A2" w:rsidP="00FB6278">
      <w:pPr>
        <w:pStyle w:val="MEHArial"/>
        <w:jc w:val="both"/>
        <w:rPr>
          <w:sz w:val="22"/>
        </w:rPr>
      </w:pPr>
      <w:r w:rsidRPr="00952C33">
        <w:rPr>
          <w:sz w:val="22"/>
        </w:rPr>
        <w:t xml:space="preserve">NHS Improvement, in exercise of the powers conferred on Monitor by the NHS Act 2006, has given Accounts Directions which require Moorfields Eye Hospital NHS </w:t>
      </w:r>
      <w:r w:rsidR="004C1E8B" w:rsidRPr="00952C33">
        <w:rPr>
          <w:rFonts w:cs="Arial"/>
          <w:sz w:val="22"/>
          <w:szCs w:val="22"/>
        </w:rPr>
        <w:t>F</w:t>
      </w:r>
      <w:r w:rsidRPr="00952C33">
        <w:rPr>
          <w:rFonts w:cs="Arial"/>
          <w:sz w:val="22"/>
          <w:szCs w:val="22"/>
        </w:rPr>
        <w:t xml:space="preserve">oundation </w:t>
      </w:r>
      <w:r w:rsidR="004C1E8B" w:rsidRPr="00952C33">
        <w:rPr>
          <w:rFonts w:cs="Arial"/>
          <w:sz w:val="22"/>
          <w:szCs w:val="22"/>
        </w:rPr>
        <w:t>T</w:t>
      </w:r>
      <w:r w:rsidRPr="00952C33">
        <w:rPr>
          <w:rFonts w:cs="Arial"/>
          <w:sz w:val="22"/>
          <w:szCs w:val="22"/>
        </w:rPr>
        <w:t>rust</w:t>
      </w:r>
      <w:r w:rsidR="0066712A">
        <w:rPr>
          <w:sz w:val="22"/>
        </w:rPr>
        <w:t xml:space="preserve"> </w:t>
      </w:r>
      <w:r w:rsidRPr="00952C33">
        <w:rPr>
          <w:sz w:val="22"/>
        </w:rPr>
        <w:t xml:space="preserve">to prepare for each financial year a statement of accounts in the form and on the basis required by those Directions. The accounts are prepared on an accruals basis and must give a true and fair view of the </w:t>
      </w:r>
      <w:proofErr w:type="gramStart"/>
      <w:r w:rsidRPr="00952C33">
        <w:rPr>
          <w:sz w:val="22"/>
        </w:rPr>
        <w:t>state of affairs</w:t>
      </w:r>
      <w:proofErr w:type="gramEnd"/>
      <w:r w:rsidRPr="00952C33">
        <w:rPr>
          <w:sz w:val="22"/>
        </w:rPr>
        <w:t xml:space="preserve"> of Moorfields Eye Hospital NHS Foundation Trust and of its income and expenditure, </w:t>
      </w:r>
      <w:r w:rsidR="005F717F" w:rsidRPr="00952C33">
        <w:rPr>
          <w:sz w:val="22"/>
        </w:rPr>
        <w:t xml:space="preserve">other items of comprehensive income </w:t>
      </w:r>
      <w:r w:rsidRPr="00952C33">
        <w:rPr>
          <w:sz w:val="22"/>
        </w:rPr>
        <w:t>and cash flows for the financial year.</w:t>
      </w:r>
    </w:p>
    <w:p w14:paraId="71C13E91" w14:textId="2D0E0940" w:rsidR="000E53A2" w:rsidRPr="00952C33" w:rsidRDefault="005F717F" w:rsidP="00FB6278">
      <w:pPr>
        <w:pStyle w:val="MEHArial"/>
        <w:rPr>
          <w:sz w:val="22"/>
        </w:rPr>
      </w:pPr>
      <w:r w:rsidRPr="00952C33">
        <w:rPr>
          <w:sz w:val="22"/>
        </w:rPr>
        <w:t xml:space="preserve">In preparing the accounts and overseeing the use of public funds, </w:t>
      </w:r>
      <w:r w:rsidR="000E53A2" w:rsidRPr="00952C33">
        <w:rPr>
          <w:sz w:val="22"/>
        </w:rPr>
        <w:t xml:space="preserve">the accounting officer is required to comply with the requirements of the Department of Health Group Accounting Manual and </w:t>
      </w:r>
      <w:proofErr w:type="gramStart"/>
      <w:r w:rsidR="000E53A2" w:rsidRPr="00952C33">
        <w:rPr>
          <w:sz w:val="22"/>
        </w:rPr>
        <w:t>in particular to</w:t>
      </w:r>
      <w:proofErr w:type="gramEnd"/>
      <w:r w:rsidR="000E53A2" w:rsidRPr="00952C33">
        <w:rPr>
          <w:sz w:val="22"/>
        </w:rPr>
        <w:t>:</w:t>
      </w:r>
    </w:p>
    <w:p w14:paraId="1D8A34D1" w14:textId="77777777" w:rsidR="000E53A2" w:rsidRPr="00952C33" w:rsidRDefault="000E53A2" w:rsidP="00FB6278">
      <w:pPr>
        <w:pStyle w:val="MEHArial"/>
        <w:numPr>
          <w:ilvl w:val="0"/>
          <w:numId w:val="4"/>
        </w:numPr>
        <w:rPr>
          <w:sz w:val="22"/>
        </w:rPr>
      </w:pPr>
      <w:r w:rsidRPr="00952C33">
        <w:rPr>
          <w:sz w:val="22"/>
        </w:rPr>
        <w:t>observe the accounts direction issued by NHS Improvement, including the relevant accounting and disclosure requirements, and apply suitable accounting policies on a consistent basis</w:t>
      </w:r>
    </w:p>
    <w:p w14:paraId="5A18FE61" w14:textId="77777777" w:rsidR="000E53A2" w:rsidRPr="00952C33" w:rsidRDefault="000E53A2" w:rsidP="00FB6278">
      <w:pPr>
        <w:pStyle w:val="MEHArial"/>
        <w:numPr>
          <w:ilvl w:val="0"/>
          <w:numId w:val="4"/>
        </w:numPr>
        <w:rPr>
          <w:sz w:val="22"/>
        </w:rPr>
      </w:pPr>
      <w:r w:rsidRPr="00952C33">
        <w:rPr>
          <w:sz w:val="22"/>
        </w:rPr>
        <w:t>make judgements and estimates on a reasonable basis</w:t>
      </w:r>
    </w:p>
    <w:p w14:paraId="0BE3C1E2" w14:textId="77777777" w:rsidR="000E53A2" w:rsidRPr="00952C33" w:rsidRDefault="000E53A2" w:rsidP="00FB6278">
      <w:pPr>
        <w:pStyle w:val="MEHArial"/>
        <w:numPr>
          <w:ilvl w:val="0"/>
          <w:numId w:val="4"/>
        </w:numPr>
        <w:rPr>
          <w:sz w:val="22"/>
        </w:rPr>
      </w:pPr>
      <w:r w:rsidRPr="00952C33">
        <w:rPr>
          <w:sz w:val="22"/>
        </w:rPr>
        <w:t>state if applicable accounting standards as set out in the NHS Foundation Trust Annual Reporting Manual (and the Department of Health Group Accounting Manual) have been followed, and disclose and explain any material departures in the financial statements</w:t>
      </w:r>
    </w:p>
    <w:p w14:paraId="3B91AB22" w14:textId="77777777" w:rsidR="000E53A2" w:rsidRPr="00952C33" w:rsidRDefault="000E53A2" w:rsidP="00FB6278">
      <w:pPr>
        <w:pStyle w:val="MEHArial"/>
        <w:numPr>
          <w:ilvl w:val="0"/>
          <w:numId w:val="4"/>
        </w:numPr>
        <w:rPr>
          <w:sz w:val="22"/>
        </w:rPr>
      </w:pPr>
      <w:r w:rsidRPr="00952C33">
        <w:rPr>
          <w:sz w:val="22"/>
        </w:rPr>
        <w:t xml:space="preserve">ensure that the use of public funds complies with the relevant legislation, delegated </w:t>
      </w:r>
      <w:proofErr w:type="gramStart"/>
      <w:r w:rsidRPr="00952C33">
        <w:rPr>
          <w:sz w:val="22"/>
        </w:rPr>
        <w:t>authorities</w:t>
      </w:r>
      <w:proofErr w:type="gramEnd"/>
      <w:r w:rsidRPr="00952C33">
        <w:rPr>
          <w:sz w:val="22"/>
        </w:rPr>
        <w:t xml:space="preserve"> and guidance</w:t>
      </w:r>
    </w:p>
    <w:p w14:paraId="5E5EFB63" w14:textId="0E85A502" w:rsidR="000E53A2" w:rsidRPr="00952C33" w:rsidRDefault="000E53A2" w:rsidP="00FB6278">
      <w:pPr>
        <w:pStyle w:val="MEHArial"/>
        <w:numPr>
          <w:ilvl w:val="0"/>
          <w:numId w:val="4"/>
        </w:numPr>
        <w:rPr>
          <w:sz w:val="22"/>
        </w:rPr>
      </w:pPr>
      <w:r w:rsidRPr="00952C33">
        <w:rPr>
          <w:sz w:val="22"/>
        </w:rPr>
        <w:t>prepare the financial statements on a going concern basis</w:t>
      </w:r>
      <w:r w:rsidR="005F717F" w:rsidRPr="00952C33">
        <w:rPr>
          <w:sz w:val="22"/>
        </w:rPr>
        <w:t xml:space="preserve"> and disclose any material uncertainties over going concern</w:t>
      </w:r>
    </w:p>
    <w:p w14:paraId="7CDEDC1A" w14:textId="4A24FA81" w:rsidR="000E53A2" w:rsidRPr="00952C33" w:rsidRDefault="000E53A2" w:rsidP="00FB6278">
      <w:pPr>
        <w:pStyle w:val="MEHArial"/>
        <w:jc w:val="both"/>
        <w:rPr>
          <w:sz w:val="22"/>
        </w:rPr>
      </w:pPr>
      <w:r w:rsidRPr="00952C33">
        <w:rPr>
          <w:sz w:val="22"/>
        </w:rPr>
        <w:t xml:space="preserve">The accounting officer is responsible for keeping proper accounting records which disclose with reasonable accuracy at any time the financial position of the NHS </w:t>
      </w:r>
      <w:r w:rsidR="004C1E8B" w:rsidRPr="00952C33">
        <w:rPr>
          <w:rFonts w:cs="Arial"/>
          <w:sz w:val="22"/>
          <w:szCs w:val="22"/>
        </w:rPr>
        <w:t>F</w:t>
      </w:r>
      <w:r w:rsidRPr="00952C33">
        <w:rPr>
          <w:rFonts w:cs="Arial"/>
          <w:sz w:val="22"/>
          <w:szCs w:val="22"/>
        </w:rPr>
        <w:t xml:space="preserve">oundation </w:t>
      </w:r>
      <w:r w:rsidR="004C1E8B" w:rsidRPr="00952C33">
        <w:rPr>
          <w:rFonts w:cs="Arial"/>
          <w:sz w:val="22"/>
          <w:szCs w:val="22"/>
        </w:rPr>
        <w:t>T</w:t>
      </w:r>
      <w:r w:rsidRPr="00952C33">
        <w:rPr>
          <w:rFonts w:cs="Arial"/>
          <w:sz w:val="22"/>
          <w:szCs w:val="22"/>
        </w:rPr>
        <w:t>rust</w:t>
      </w:r>
      <w:r w:rsidRPr="00952C33">
        <w:rPr>
          <w:sz w:val="22"/>
        </w:rPr>
        <w:t xml:space="preserve"> and to enable </w:t>
      </w:r>
      <w:r w:rsidR="005F717F" w:rsidRPr="00952C33">
        <w:rPr>
          <w:sz w:val="22"/>
        </w:rPr>
        <w:t>them</w:t>
      </w:r>
      <w:r w:rsidRPr="00952C33">
        <w:rPr>
          <w:sz w:val="22"/>
        </w:rPr>
        <w:t xml:space="preserve"> to ensure that the accounts comply with requirements outlined in the </w:t>
      </w:r>
      <w:r w:rsidR="004C1E8B" w:rsidRPr="00746042">
        <w:rPr>
          <w:rFonts w:asciiTheme="majorHAnsi" w:hAnsiTheme="majorHAnsi" w:cstheme="majorHAnsi"/>
          <w:sz w:val="22"/>
          <w:szCs w:val="22"/>
        </w:rPr>
        <w:t>above</w:t>
      </w:r>
      <w:r w:rsidR="004C1E8B" w:rsidRPr="00952C33">
        <w:rPr>
          <w:sz w:val="22"/>
        </w:rPr>
        <w:t>-mentioned</w:t>
      </w:r>
      <w:r w:rsidRPr="00952C33">
        <w:rPr>
          <w:sz w:val="22"/>
        </w:rPr>
        <w:t xml:space="preserve"> </w:t>
      </w:r>
      <w:r w:rsidR="004C1E8B" w:rsidRPr="00952C33">
        <w:rPr>
          <w:rFonts w:cs="Arial"/>
          <w:sz w:val="22"/>
          <w:szCs w:val="22"/>
        </w:rPr>
        <w:t>a</w:t>
      </w:r>
      <w:r w:rsidRPr="00952C33">
        <w:rPr>
          <w:rFonts w:cs="Arial"/>
          <w:sz w:val="22"/>
          <w:szCs w:val="22"/>
        </w:rPr>
        <w:t>ct</w:t>
      </w:r>
      <w:r w:rsidR="004C1E8B">
        <w:rPr>
          <w:rFonts w:asciiTheme="majorHAnsi" w:hAnsiTheme="majorHAnsi" w:cstheme="majorHAnsi"/>
          <w:sz w:val="22"/>
          <w:szCs w:val="22"/>
        </w:rPr>
        <w:t>a</w:t>
      </w:r>
      <w:r w:rsidRPr="00952C33">
        <w:rPr>
          <w:sz w:val="22"/>
        </w:rPr>
        <w:t xml:space="preserve">. The accounting officer is also responsible for safeguarding the assets of the NHS </w:t>
      </w:r>
      <w:r w:rsidR="004C1E8B" w:rsidRPr="00952C33">
        <w:rPr>
          <w:rFonts w:cs="Arial"/>
          <w:sz w:val="22"/>
          <w:szCs w:val="22"/>
        </w:rPr>
        <w:t>F</w:t>
      </w:r>
      <w:r w:rsidRPr="00952C33">
        <w:rPr>
          <w:rFonts w:cs="Arial"/>
          <w:sz w:val="22"/>
          <w:szCs w:val="22"/>
        </w:rPr>
        <w:t xml:space="preserve">oundation </w:t>
      </w:r>
      <w:r w:rsidR="004C1E8B" w:rsidRPr="00952C33">
        <w:rPr>
          <w:rFonts w:cs="Arial"/>
          <w:sz w:val="22"/>
          <w:szCs w:val="22"/>
        </w:rPr>
        <w:t>T</w:t>
      </w:r>
      <w:r w:rsidRPr="00952C33">
        <w:rPr>
          <w:rFonts w:cs="Arial"/>
          <w:sz w:val="22"/>
          <w:szCs w:val="22"/>
        </w:rPr>
        <w:t>rust</w:t>
      </w:r>
      <w:r w:rsidRPr="00952C33">
        <w:rPr>
          <w:sz w:val="22"/>
        </w:rPr>
        <w:t xml:space="preserve"> and hence for taking reasonable steps to prevent and detect fraud and other irregularities. </w:t>
      </w:r>
    </w:p>
    <w:p w14:paraId="56E16858" w14:textId="459AC455" w:rsidR="005F717F" w:rsidRPr="00952C33" w:rsidRDefault="005F717F" w:rsidP="00FB6278">
      <w:pPr>
        <w:pStyle w:val="MEHArial"/>
        <w:jc w:val="both"/>
        <w:rPr>
          <w:sz w:val="22"/>
        </w:rPr>
      </w:pPr>
      <w:r w:rsidRPr="00952C33">
        <w:rPr>
          <w:sz w:val="22"/>
        </w:rPr>
        <w:t xml:space="preserve">As far as I am aware, there is no relevant audit information of which the foundation trust’s auditors are unaware, and I have taken all the steps that I ought to have taken to make myself aware of any relevant audit information and to establish that the entity’s auditors are aware of that information. </w:t>
      </w:r>
    </w:p>
    <w:p w14:paraId="0CAEDB2B" w14:textId="486E4AC5" w:rsidR="000E53A2" w:rsidRPr="00952C33" w:rsidRDefault="000E53A2" w:rsidP="00FB6278">
      <w:pPr>
        <w:pStyle w:val="MEHArial"/>
        <w:jc w:val="both"/>
        <w:rPr>
          <w:sz w:val="22"/>
        </w:rPr>
      </w:pPr>
      <w:r w:rsidRPr="00952C33">
        <w:rPr>
          <w:sz w:val="22"/>
        </w:rPr>
        <w:t xml:space="preserve">To the best of my knowledge and belief, I have properly discharged the responsibilities set out in the NHS Foundation Trust Accounting Officer Memorandum. </w:t>
      </w:r>
    </w:p>
    <w:p w14:paraId="3C80D5E1" w14:textId="65AA2958" w:rsidR="006230BF" w:rsidRPr="00952C33" w:rsidRDefault="006230BF" w:rsidP="00FB6278">
      <w:pPr>
        <w:pStyle w:val="MEHArial"/>
        <w:spacing w:before="0" w:after="0"/>
        <w:rPr>
          <w:b/>
          <w:sz w:val="22"/>
        </w:rPr>
      </w:pPr>
    </w:p>
    <w:p w14:paraId="398AB97D" w14:textId="45F071EE" w:rsidR="000E53A2" w:rsidRPr="00952C33" w:rsidRDefault="002E0D62" w:rsidP="00FB6278">
      <w:pPr>
        <w:pStyle w:val="MEHArial"/>
        <w:spacing w:before="0" w:after="0"/>
        <w:rPr>
          <w:b/>
          <w:sz w:val="22"/>
        </w:rPr>
      </w:pPr>
      <w:r>
        <w:rPr>
          <w:b/>
          <w:sz w:val="22"/>
        </w:rPr>
        <w:t xml:space="preserve">Dr </w:t>
      </w:r>
      <w:r w:rsidR="00BA5410" w:rsidRPr="00952C33">
        <w:rPr>
          <w:b/>
          <w:sz w:val="22"/>
        </w:rPr>
        <w:t xml:space="preserve">Martin </w:t>
      </w:r>
      <w:proofErr w:type="spellStart"/>
      <w:r w:rsidR="00BA5410" w:rsidRPr="00952C33">
        <w:rPr>
          <w:b/>
          <w:sz w:val="22"/>
        </w:rPr>
        <w:t>Kuper</w:t>
      </w:r>
      <w:proofErr w:type="spellEnd"/>
    </w:p>
    <w:p w14:paraId="19FAD38B" w14:textId="77777777" w:rsidR="000E53A2" w:rsidRPr="00952C33" w:rsidRDefault="000E53A2" w:rsidP="00FB6278">
      <w:pPr>
        <w:pStyle w:val="MEHArial"/>
        <w:spacing w:before="0" w:after="0"/>
        <w:rPr>
          <w:b/>
          <w:sz w:val="22"/>
        </w:rPr>
      </w:pPr>
      <w:r w:rsidRPr="00952C33">
        <w:rPr>
          <w:b/>
          <w:sz w:val="22"/>
        </w:rPr>
        <w:t>Chief executive</w:t>
      </w:r>
    </w:p>
    <w:p w14:paraId="46923AE3" w14:textId="5B99C413" w:rsidR="000E53A2" w:rsidRPr="00952C33" w:rsidRDefault="0089423D" w:rsidP="00FB6278">
      <w:pPr>
        <w:pStyle w:val="MEHArial"/>
        <w:spacing w:before="0" w:after="0"/>
        <w:rPr>
          <w:b/>
          <w:sz w:val="22"/>
        </w:rPr>
      </w:pPr>
      <w:r w:rsidRPr="00952C33">
        <w:rPr>
          <w:b/>
          <w:sz w:val="22"/>
        </w:rPr>
        <w:t>2</w:t>
      </w:r>
      <w:r w:rsidR="00F32BD4">
        <w:rPr>
          <w:b/>
          <w:sz w:val="22"/>
        </w:rPr>
        <w:t>1</w:t>
      </w:r>
      <w:r w:rsidR="00BA5410" w:rsidRPr="00952C33">
        <w:rPr>
          <w:b/>
          <w:sz w:val="22"/>
        </w:rPr>
        <w:t xml:space="preserve"> </w:t>
      </w:r>
      <w:r w:rsidRPr="00952C33">
        <w:rPr>
          <w:b/>
          <w:sz w:val="22"/>
        </w:rPr>
        <w:t>June</w:t>
      </w:r>
      <w:r w:rsidR="00BA5410" w:rsidRPr="00952C33">
        <w:rPr>
          <w:b/>
          <w:sz w:val="22"/>
        </w:rPr>
        <w:t xml:space="preserve"> 2022</w:t>
      </w:r>
    </w:p>
    <w:p w14:paraId="5CC46618" w14:textId="77777777" w:rsidR="008A0EB8" w:rsidRPr="00952C33" w:rsidRDefault="008A0EB8" w:rsidP="00FB6278">
      <w:pPr>
        <w:pStyle w:val="MEHArial"/>
        <w:rPr>
          <w:color w:val="FF0000"/>
          <w:sz w:val="22"/>
        </w:rPr>
      </w:pPr>
    </w:p>
    <w:p w14:paraId="75D352C2" w14:textId="471AC7A0" w:rsidR="00746042" w:rsidRPr="00952C33" w:rsidRDefault="00746042" w:rsidP="00FB6278">
      <w:pPr>
        <w:rPr>
          <w:rFonts w:ascii="Arial" w:hAnsi="Arial"/>
          <w:color w:val="FF0000"/>
          <w:sz w:val="22"/>
        </w:rPr>
      </w:pPr>
      <w:r w:rsidRPr="00952C33">
        <w:rPr>
          <w:rFonts w:ascii="Arial" w:hAnsi="Arial"/>
          <w:color w:val="FF0000"/>
          <w:sz w:val="22"/>
        </w:rPr>
        <w:br w:type="page"/>
      </w:r>
    </w:p>
    <w:p w14:paraId="0200C756" w14:textId="1A225E3B" w:rsidR="00791C1B" w:rsidRPr="001A07DD" w:rsidRDefault="00AA5801" w:rsidP="00FB6278">
      <w:pPr>
        <w:jc w:val="both"/>
        <w:rPr>
          <w:rFonts w:ascii="Arial" w:hAnsi="Arial"/>
          <w:sz w:val="28"/>
          <w:szCs w:val="28"/>
        </w:rPr>
      </w:pPr>
      <w:r w:rsidRPr="001A07DD">
        <w:rPr>
          <w:rFonts w:ascii="Arial" w:hAnsi="Arial"/>
          <w:b/>
          <w:sz w:val="28"/>
          <w:szCs w:val="28"/>
        </w:rPr>
        <w:lastRenderedPageBreak/>
        <w:t xml:space="preserve">3.6 </w:t>
      </w:r>
      <w:r w:rsidR="00791C1B" w:rsidRPr="001A07DD">
        <w:rPr>
          <w:rFonts w:ascii="Arial" w:hAnsi="Arial"/>
          <w:b/>
          <w:sz w:val="28"/>
          <w:szCs w:val="28"/>
        </w:rPr>
        <w:t xml:space="preserve">Annual governance statement </w:t>
      </w:r>
    </w:p>
    <w:p w14:paraId="72EBEC5B" w14:textId="77777777" w:rsidR="00791C1B" w:rsidRPr="00952C33" w:rsidRDefault="00791C1B" w:rsidP="00FB6278">
      <w:pPr>
        <w:pStyle w:val="MEHArial"/>
        <w:spacing w:before="0" w:after="0"/>
        <w:jc w:val="both"/>
        <w:rPr>
          <w:b/>
          <w:sz w:val="22"/>
        </w:rPr>
      </w:pPr>
    </w:p>
    <w:p w14:paraId="5FD74F27" w14:textId="5CD26F2F" w:rsidR="00791C1B" w:rsidRDefault="00791C1B" w:rsidP="00FB6278">
      <w:pPr>
        <w:pStyle w:val="MEHArial"/>
        <w:spacing w:before="0" w:after="0"/>
        <w:jc w:val="both"/>
        <w:rPr>
          <w:b/>
          <w:sz w:val="22"/>
        </w:rPr>
      </w:pPr>
      <w:r w:rsidRPr="00952C33">
        <w:rPr>
          <w:b/>
          <w:sz w:val="22"/>
        </w:rPr>
        <w:t>Scope of responsibility</w:t>
      </w:r>
    </w:p>
    <w:p w14:paraId="10004986" w14:textId="77777777" w:rsidR="005643C6" w:rsidRPr="00952C33" w:rsidRDefault="005643C6" w:rsidP="00FB6278">
      <w:pPr>
        <w:pStyle w:val="MEHArial"/>
        <w:spacing w:before="0" w:after="0"/>
        <w:jc w:val="both"/>
        <w:rPr>
          <w:b/>
          <w:sz w:val="22"/>
        </w:rPr>
      </w:pPr>
    </w:p>
    <w:p w14:paraId="620471E5" w14:textId="1BF44BD4" w:rsidR="00791C1B" w:rsidRPr="00952C33" w:rsidRDefault="00791C1B" w:rsidP="00FB6278">
      <w:pPr>
        <w:pStyle w:val="MEHArial"/>
        <w:spacing w:before="0" w:after="0"/>
        <w:jc w:val="both"/>
        <w:rPr>
          <w:sz w:val="22"/>
        </w:rPr>
      </w:pPr>
      <w:r w:rsidRPr="00952C33">
        <w:rPr>
          <w:sz w:val="22"/>
        </w:rPr>
        <w:t xml:space="preserve">As Accounting Officer, I have responsibility for maintaining a sound system of internal control that supports the achievement of the NHS foundation trust’s policies, aims and objectives, whilst safeguarding the public funds and departmental assets for which I am personally responsible, in accordance with the responsibilities assigned to me. I am also responsible for ensuring that the NHS </w:t>
      </w:r>
      <w:r w:rsidR="004C1E8B" w:rsidRPr="00952C33">
        <w:rPr>
          <w:rFonts w:cs="Arial"/>
          <w:sz w:val="22"/>
          <w:szCs w:val="22"/>
        </w:rPr>
        <w:t>F</w:t>
      </w:r>
      <w:r w:rsidRPr="00952C33">
        <w:rPr>
          <w:rFonts w:cs="Arial"/>
          <w:sz w:val="22"/>
          <w:szCs w:val="22"/>
        </w:rPr>
        <w:t xml:space="preserve">oundation </w:t>
      </w:r>
      <w:r w:rsidR="004C1E8B" w:rsidRPr="00952C33">
        <w:rPr>
          <w:rFonts w:cs="Arial"/>
          <w:sz w:val="22"/>
          <w:szCs w:val="22"/>
        </w:rPr>
        <w:t>T</w:t>
      </w:r>
      <w:r w:rsidRPr="00952C33">
        <w:rPr>
          <w:rFonts w:cs="Arial"/>
          <w:sz w:val="22"/>
          <w:szCs w:val="22"/>
        </w:rPr>
        <w:t>rust</w:t>
      </w:r>
      <w:r w:rsidRPr="00952C33">
        <w:rPr>
          <w:sz w:val="22"/>
        </w:rPr>
        <w:t xml:space="preserve"> is administered prudently and economically and that resources are applied efficiently and effectively. I also acknowledge my responsibilities as set out in the NHS Foundation Trust Accounting Officer Memorandum. </w:t>
      </w:r>
    </w:p>
    <w:p w14:paraId="5F923927" w14:textId="77777777" w:rsidR="00791C1B" w:rsidRPr="00952C33" w:rsidRDefault="00791C1B" w:rsidP="00FB6278">
      <w:pPr>
        <w:pStyle w:val="MEHArial"/>
        <w:spacing w:before="0" w:after="0"/>
        <w:jc w:val="both"/>
        <w:rPr>
          <w:sz w:val="22"/>
        </w:rPr>
      </w:pPr>
    </w:p>
    <w:p w14:paraId="07A77AA4" w14:textId="4D34418D" w:rsidR="00791C1B" w:rsidRDefault="00791C1B" w:rsidP="00FB6278">
      <w:pPr>
        <w:pStyle w:val="MEHArial"/>
        <w:spacing w:before="0" w:after="0"/>
        <w:jc w:val="both"/>
        <w:rPr>
          <w:b/>
          <w:sz w:val="22"/>
        </w:rPr>
      </w:pPr>
      <w:r w:rsidRPr="00952C33">
        <w:rPr>
          <w:b/>
          <w:sz w:val="22"/>
        </w:rPr>
        <w:t>The purpose of the system of internal control</w:t>
      </w:r>
    </w:p>
    <w:p w14:paraId="68C3A566" w14:textId="77777777" w:rsidR="005643C6" w:rsidRPr="00952C33" w:rsidRDefault="005643C6" w:rsidP="00FB6278">
      <w:pPr>
        <w:pStyle w:val="MEHArial"/>
        <w:spacing w:before="0" w:after="0"/>
        <w:jc w:val="both"/>
        <w:rPr>
          <w:b/>
          <w:sz w:val="22"/>
        </w:rPr>
      </w:pPr>
    </w:p>
    <w:p w14:paraId="3F18A784" w14:textId="77777777" w:rsidR="00791C1B" w:rsidRPr="00952C33" w:rsidRDefault="00791C1B" w:rsidP="00FB6278">
      <w:pPr>
        <w:pStyle w:val="MEHArial"/>
        <w:spacing w:before="0" w:after="0"/>
        <w:jc w:val="both"/>
        <w:rPr>
          <w:sz w:val="22"/>
        </w:rPr>
      </w:pPr>
      <w:r w:rsidRPr="00952C33">
        <w:rPr>
          <w:sz w:val="22"/>
        </w:rPr>
        <w:t xml:space="preserve">The system of internal control is designed to manage risk to a reasonable level rather than to eliminate all risk of failure to achieve policies, aims and objectives; it can therefore only provide reasonable and not absolute assurance of effectiveness. The system of internal control is based on an ongoing process designed to identify and prioritise the risks to the achievement of the policies, aims and objectives of Moorfields Eye Hospital NHS Foundation Trust, to evaluate the likelihood of those risks being realised and the impact should they be realised, to manage them efficiently, </w:t>
      </w:r>
      <w:proofErr w:type="gramStart"/>
      <w:r w:rsidRPr="00952C33">
        <w:rPr>
          <w:sz w:val="22"/>
        </w:rPr>
        <w:t>effectively</w:t>
      </w:r>
      <w:proofErr w:type="gramEnd"/>
      <w:r w:rsidRPr="00952C33">
        <w:rPr>
          <w:sz w:val="22"/>
        </w:rPr>
        <w:t xml:space="preserve"> and economically. The system of internal control has been in place in Moorfields Eye Hospital NHS Foundation Trust for the year ended 31 March 2022 and up to the date of approval of the annual report and accounts. </w:t>
      </w:r>
    </w:p>
    <w:p w14:paraId="2FDF46CD" w14:textId="77777777" w:rsidR="00791C1B" w:rsidRPr="00952C33" w:rsidRDefault="00791C1B" w:rsidP="00FB6278">
      <w:pPr>
        <w:pStyle w:val="MEHArial"/>
        <w:spacing w:before="0" w:after="0"/>
        <w:jc w:val="both"/>
        <w:rPr>
          <w:sz w:val="22"/>
        </w:rPr>
      </w:pPr>
    </w:p>
    <w:p w14:paraId="23ABE3C4" w14:textId="4E70FB64" w:rsidR="00791C1B" w:rsidRDefault="00791C1B" w:rsidP="00FB6278">
      <w:pPr>
        <w:pStyle w:val="MEHArial"/>
        <w:spacing w:before="0" w:after="0"/>
        <w:jc w:val="both"/>
        <w:rPr>
          <w:b/>
          <w:sz w:val="22"/>
        </w:rPr>
      </w:pPr>
      <w:r w:rsidRPr="00952C33">
        <w:rPr>
          <w:b/>
          <w:sz w:val="22"/>
        </w:rPr>
        <w:t>Capacity to handle risk</w:t>
      </w:r>
    </w:p>
    <w:p w14:paraId="5F6916D9" w14:textId="77777777" w:rsidR="005643C6" w:rsidRPr="00952C33" w:rsidRDefault="005643C6" w:rsidP="00FB6278">
      <w:pPr>
        <w:pStyle w:val="MEHArial"/>
        <w:spacing w:before="0" w:after="0"/>
        <w:jc w:val="both"/>
        <w:rPr>
          <w:b/>
          <w:sz w:val="22"/>
        </w:rPr>
      </w:pPr>
    </w:p>
    <w:p w14:paraId="144DA003" w14:textId="1336DC3B" w:rsidR="00791C1B" w:rsidRPr="00952C33" w:rsidRDefault="00791C1B" w:rsidP="00FB6278">
      <w:pPr>
        <w:pStyle w:val="NoSpacing"/>
        <w:jc w:val="both"/>
        <w:rPr>
          <w:rFonts w:ascii="Arial" w:hAnsi="Arial"/>
        </w:rPr>
      </w:pPr>
      <w:r w:rsidRPr="00952C33">
        <w:rPr>
          <w:rFonts w:ascii="Arial" w:hAnsi="Arial"/>
        </w:rPr>
        <w:t>The board of directors is responsible for ensuring that a system of internal control is in place. As accounting officer</w:t>
      </w:r>
      <w:r w:rsidR="006C4AB4" w:rsidRPr="00952C33">
        <w:rPr>
          <w:rFonts w:ascii="Arial" w:hAnsi="Arial"/>
        </w:rPr>
        <w:t>,</w:t>
      </w:r>
      <w:r w:rsidRPr="00952C33">
        <w:rPr>
          <w:rFonts w:ascii="Arial" w:hAnsi="Arial"/>
        </w:rPr>
        <w:t xml:space="preserve"> I have overall accountability for risk management in the trust and chair the management executive, through which executive responsibility for risk management is exercised. The control of risk is embedded in the roles of executive directors through to the managerial staff within the organisation. </w:t>
      </w:r>
    </w:p>
    <w:p w14:paraId="01004359" w14:textId="012EC848" w:rsidR="00791C1B" w:rsidRPr="00952C33" w:rsidRDefault="00791C1B" w:rsidP="00FB6278">
      <w:pPr>
        <w:pStyle w:val="MEHArial"/>
        <w:jc w:val="both"/>
        <w:rPr>
          <w:sz w:val="22"/>
        </w:rPr>
      </w:pPr>
      <w:r w:rsidRPr="00952C33">
        <w:rPr>
          <w:sz w:val="22"/>
        </w:rPr>
        <w:t xml:space="preserve">The risk management strategy of the organisation is to maintain systematic and effective arrangements for identifying and managing risk to an acceptable level which fits within the trust’s risk appetite. The strategy provides a framework for managing risk across the organisation which is consistent with best practice and Department of Health guidance. The director of quality </w:t>
      </w:r>
      <w:r w:rsidR="006C4AB4" w:rsidRPr="00952C33">
        <w:rPr>
          <w:sz w:val="22"/>
        </w:rPr>
        <w:t>and</w:t>
      </w:r>
      <w:r w:rsidRPr="00952C33">
        <w:rPr>
          <w:sz w:val="22"/>
        </w:rPr>
        <w:t xml:space="preserve"> safety has responsibility for the design, development and maintenance of operational risk systems, </w:t>
      </w:r>
      <w:proofErr w:type="gramStart"/>
      <w:r w:rsidRPr="00952C33">
        <w:rPr>
          <w:sz w:val="22"/>
        </w:rPr>
        <w:t>policies</w:t>
      </w:r>
      <w:proofErr w:type="gramEnd"/>
      <w:r w:rsidRPr="00952C33">
        <w:rPr>
          <w:sz w:val="22"/>
        </w:rPr>
        <w:t xml:space="preserve"> and processes. Divisional and directorate governance arrangements implement and maintain risk management processes, including the maintenance of risk registers. The day-to-day working of risk systems is therefore managed through the trust’s operational and departmental teams. The risk strategy provides a clear, systematic approach to the identification and assessment of risks to ensure that risk management is an integral part of clinical, </w:t>
      </w:r>
      <w:proofErr w:type="gramStart"/>
      <w:r w:rsidRPr="00952C33">
        <w:rPr>
          <w:sz w:val="22"/>
        </w:rPr>
        <w:t>managerial</w:t>
      </w:r>
      <w:proofErr w:type="gramEnd"/>
      <w:r w:rsidRPr="00952C33">
        <w:rPr>
          <w:sz w:val="22"/>
        </w:rPr>
        <w:t xml:space="preserve"> and financial processes across the organisation. The audit and risk committee, comprising non-executive directors, oversees the system of internal control and overall assurance processes associated with managing risk. </w:t>
      </w:r>
    </w:p>
    <w:p w14:paraId="02245FEA" w14:textId="77777777" w:rsidR="00791C1B" w:rsidRPr="00952C33" w:rsidRDefault="00791C1B" w:rsidP="00FB6278">
      <w:pPr>
        <w:pStyle w:val="MEHArial"/>
        <w:jc w:val="both"/>
        <w:rPr>
          <w:sz w:val="22"/>
        </w:rPr>
      </w:pPr>
      <w:r w:rsidRPr="00952C33">
        <w:rPr>
          <w:sz w:val="22"/>
        </w:rPr>
        <w:t xml:space="preserve">The risk and safety committee provides additional support to ensure that risk management processes are working effectively. The committee </w:t>
      </w:r>
      <w:proofErr w:type="gramStart"/>
      <w:r w:rsidRPr="00952C33">
        <w:rPr>
          <w:sz w:val="22"/>
        </w:rPr>
        <w:t>reviews</w:t>
      </w:r>
      <w:proofErr w:type="gramEnd"/>
      <w:r w:rsidRPr="00952C33">
        <w:rPr>
          <w:sz w:val="22"/>
        </w:rPr>
        <w:t xml:space="preserve"> themes and trends in risk and incident management and shares and encourages best practice across the trust’s network. As well as having individual and team responsibilities for policies, the risk and safety committee also supports divisions and directorates in ensuring policies are kept up to date and compliance is maintained. </w:t>
      </w:r>
    </w:p>
    <w:p w14:paraId="4880386D" w14:textId="07AAFF35" w:rsidR="00791C1B" w:rsidRPr="00952C33" w:rsidRDefault="00791C1B" w:rsidP="00FB6278">
      <w:pPr>
        <w:pStyle w:val="MEHArial"/>
        <w:jc w:val="both"/>
        <w:rPr>
          <w:sz w:val="22"/>
        </w:rPr>
      </w:pPr>
      <w:r w:rsidRPr="00952C33">
        <w:rPr>
          <w:sz w:val="22"/>
        </w:rPr>
        <w:t xml:space="preserve">The board of directors routinely receives updates from board committees. The board receives assurance from the medical director and director of nursing and allied health professionals, through comprehensive quality and safety reports, about the management of “never events”, serious incidents, complaints, claims, </w:t>
      </w:r>
      <w:proofErr w:type="gramStart"/>
      <w:r w:rsidRPr="00952C33">
        <w:rPr>
          <w:sz w:val="22"/>
        </w:rPr>
        <w:t>revalidation</w:t>
      </w:r>
      <w:proofErr w:type="gramEnd"/>
      <w:r w:rsidRPr="00952C33">
        <w:rPr>
          <w:sz w:val="22"/>
        </w:rPr>
        <w:t xml:space="preserve"> and incidents. The Trust undertook an externally</w:t>
      </w:r>
      <w:r w:rsidR="0066712A">
        <w:rPr>
          <w:sz w:val="22"/>
        </w:rPr>
        <w:t xml:space="preserve"> </w:t>
      </w:r>
      <w:r w:rsidRPr="00952C33">
        <w:rPr>
          <w:sz w:val="22"/>
        </w:rPr>
        <w:t>assessed</w:t>
      </w:r>
      <w:r w:rsidR="0066712A">
        <w:rPr>
          <w:sz w:val="22"/>
        </w:rPr>
        <w:t>,</w:t>
      </w:r>
      <w:r w:rsidRPr="00952C33">
        <w:rPr>
          <w:sz w:val="22"/>
        </w:rPr>
        <w:t xml:space="preserve"> well-led review in January and February 2022. </w:t>
      </w:r>
    </w:p>
    <w:p w14:paraId="7A017736" w14:textId="0768B864" w:rsidR="00791C1B" w:rsidRPr="00952C33" w:rsidRDefault="00791C1B" w:rsidP="00FB6278">
      <w:pPr>
        <w:pStyle w:val="MEHArial"/>
        <w:jc w:val="both"/>
        <w:rPr>
          <w:sz w:val="22"/>
        </w:rPr>
      </w:pPr>
      <w:r w:rsidRPr="00952C33">
        <w:rPr>
          <w:sz w:val="22"/>
        </w:rPr>
        <w:t xml:space="preserve">Risk management training is provided through the induction programme for new </w:t>
      </w:r>
      <w:proofErr w:type="gramStart"/>
      <w:r w:rsidRPr="00952C33">
        <w:rPr>
          <w:sz w:val="22"/>
        </w:rPr>
        <w:t>staff</w:t>
      </w:r>
      <w:proofErr w:type="gramEnd"/>
      <w:r w:rsidRPr="00952C33">
        <w:rPr>
          <w:sz w:val="22"/>
        </w:rPr>
        <w:t xml:space="preserve"> and this is supplemented by local induction</w:t>
      </w:r>
      <w:r w:rsidR="006C4AB4" w:rsidRPr="00952C33">
        <w:rPr>
          <w:sz w:val="22"/>
        </w:rPr>
        <w:t>s</w:t>
      </w:r>
      <w:r w:rsidRPr="00952C33">
        <w:rPr>
          <w:sz w:val="22"/>
        </w:rPr>
        <w:t xml:space="preserve"> organised by managers. </w:t>
      </w:r>
      <w:r w:rsidRPr="00952C33">
        <w:rPr>
          <w:rFonts w:cs="Arial"/>
          <w:sz w:val="22"/>
          <w:szCs w:val="22"/>
        </w:rPr>
        <w:t>Th</w:t>
      </w:r>
      <w:r w:rsidR="006C4AB4" w:rsidRPr="00952C33">
        <w:rPr>
          <w:rFonts w:cs="Arial"/>
          <w:sz w:val="22"/>
          <w:szCs w:val="22"/>
        </w:rPr>
        <w:t>e</w:t>
      </w:r>
      <w:r w:rsidRPr="00952C33">
        <w:rPr>
          <w:rFonts w:cs="Arial"/>
          <w:sz w:val="22"/>
          <w:szCs w:val="22"/>
        </w:rPr>
        <w:t>s</w:t>
      </w:r>
      <w:r w:rsidR="006C4AB4" w:rsidRPr="00952C33">
        <w:rPr>
          <w:rFonts w:cs="Arial"/>
          <w:sz w:val="22"/>
          <w:szCs w:val="22"/>
        </w:rPr>
        <w:t>e</w:t>
      </w:r>
      <w:r w:rsidRPr="00952C33">
        <w:rPr>
          <w:rFonts w:cs="Arial"/>
          <w:sz w:val="22"/>
          <w:szCs w:val="22"/>
        </w:rPr>
        <w:t xml:space="preserve"> include</w:t>
      </w:r>
      <w:r w:rsidR="0066712A">
        <w:rPr>
          <w:rFonts w:cs="Arial"/>
          <w:sz w:val="22"/>
          <w:szCs w:val="22"/>
        </w:rPr>
        <w:t xml:space="preserve"> </w:t>
      </w:r>
      <w:r w:rsidRPr="00952C33">
        <w:rPr>
          <w:sz w:val="22"/>
        </w:rPr>
        <w:t xml:space="preserve">the induction of junior doctors </w:t>
      </w:r>
      <w:r w:rsidRPr="00952C33">
        <w:rPr>
          <w:sz w:val="22"/>
        </w:rPr>
        <w:lastRenderedPageBreak/>
        <w:t xml:space="preserve">in relation to key policies, </w:t>
      </w:r>
      <w:proofErr w:type="gramStart"/>
      <w:r w:rsidRPr="00952C33">
        <w:rPr>
          <w:sz w:val="22"/>
        </w:rPr>
        <w:t>standards</w:t>
      </w:r>
      <w:proofErr w:type="gramEnd"/>
      <w:r w:rsidRPr="00952C33">
        <w:rPr>
          <w:sz w:val="22"/>
        </w:rPr>
        <w:t xml:space="preserve"> and practices in clinical areas. Staff are required to undertake and maintain mandatory training in </w:t>
      </w:r>
      <w:proofErr w:type="gramStart"/>
      <w:r w:rsidRPr="00952C33">
        <w:rPr>
          <w:sz w:val="22"/>
        </w:rPr>
        <w:t>a number of</w:t>
      </w:r>
      <w:proofErr w:type="gramEnd"/>
      <w:r w:rsidRPr="00952C33">
        <w:rPr>
          <w:sz w:val="22"/>
        </w:rPr>
        <w:t xml:space="preserve"> areas relating to risk management. Examples of this are safeguarding of children and adults, fire, general health and safety, infection control and risk and safety management. Different roles and responsibilities have associated training requirements; for example, those staff who work most closely with children are required to have a higher level of safeguarding, whilst all staff are required to have a minimum of level one training. </w:t>
      </w:r>
    </w:p>
    <w:p w14:paraId="25473A65" w14:textId="125997AB" w:rsidR="00791C1B" w:rsidRDefault="00791C1B" w:rsidP="00FB6278">
      <w:pPr>
        <w:pStyle w:val="MEHArial"/>
        <w:spacing w:before="0" w:after="0"/>
        <w:jc w:val="both"/>
        <w:rPr>
          <w:b/>
          <w:sz w:val="22"/>
        </w:rPr>
      </w:pPr>
      <w:r w:rsidRPr="00952C33">
        <w:rPr>
          <w:b/>
          <w:sz w:val="22"/>
        </w:rPr>
        <w:t xml:space="preserve">The risk and control framework </w:t>
      </w:r>
    </w:p>
    <w:p w14:paraId="121C2DC7" w14:textId="77777777" w:rsidR="005643C6" w:rsidRPr="00952C33" w:rsidRDefault="005643C6" w:rsidP="00FB6278">
      <w:pPr>
        <w:pStyle w:val="MEHArial"/>
        <w:spacing w:before="0" w:after="0"/>
        <w:jc w:val="both"/>
        <w:rPr>
          <w:b/>
          <w:sz w:val="22"/>
        </w:rPr>
      </w:pPr>
    </w:p>
    <w:p w14:paraId="3897FE32" w14:textId="77777777" w:rsidR="00791C1B" w:rsidRPr="00952C33" w:rsidRDefault="00791C1B" w:rsidP="00FB6278">
      <w:pPr>
        <w:pStyle w:val="MEHArial"/>
        <w:spacing w:before="0" w:after="0"/>
        <w:jc w:val="both"/>
        <w:rPr>
          <w:b/>
          <w:sz w:val="22"/>
        </w:rPr>
      </w:pPr>
      <w:r w:rsidRPr="00952C33">
        <w:rPr>
          <w:sz w:val="22"/>
        </w:rPr>
        <w:t xml:space="preserve">The trust has a risk management strategy and policy that has been updated to ensure that it remains relevant and fit for purpose. Levels of accountability and responsibility for risk are set out within this document. The trust has risk management systems in place for identifying, evaluating, monitoring, </w:t>
      </w:r>
      <w:proofErr w:type="gramStart"/>
      <w:r w:rsidRPr="00952C33">
        <w:rPr>
          <w:sz w:val="22"/>
        </w:rPr>
        <w:t>controlling</w:t>
      </w:r>
      <w:proofErr w:type="gramEnd"/>
      <w:r w:rsidRPr="00952C33">
        <w:rPr>
          <w:sz w:val="22"/>
        </w:rPr>
        <w:t xml:space="preserve"> and recording risk. The management of risk is embedded in management roles at all staff levels, and primary control for risk management takes place through divisions, </w:t>
      </w:r>
      <w:proofErr w:type="gramStart"/>
      <w:r w:rsidRPr="00952C33">
        <w:rPr>
          <w:sz w:val="22"/>
        </w:rPr>
        <w:t>departments</w:t>
      </w:r>
      <w:proofErr w:type="gramEnd"/>
      <w:r w:rsidRPr="00952C33">
        <w:rPr>
          <w:sz w:val="22"/>
        </w:rPr>
        <w:t xml:space="preserve"> and frontline teams. All risk registers have been migrated onto our risk management module of our Safeguard system which enables a more robust and consistent system of reviewing risks. </w:t>
      </w:r>
    </w:p>
    <w:p w14:paraId="39FFA546" w14:textId="20F6B97A" w:rsidR="00791C1B" w:rsidRPr="00952C33" w:rsidRDefault="00791C1B" w:rsidP="00FB6278">
      <w:pPr>
        <w:pStyle w:val="MEHArial"/>
        <w:jc w:val="both"/>
        <w:rPr>
          <w:sz w:val="22"/>
        </w:rPr>
      </w:pPr>
      <w:r w:rsidRPr="00952C33">
        <w:rPr>
          <w:sz w:val="22"/>
        </w:rPr>
        <w:t xml:space="preserve">The principles of risk management are core to the organisation’s business. The first stage of the risk process is the systematic identification of risks via structured risk assessments. Risks that are identified are documented on risk registers. These risks are analysed </w:t>
      </w:r>
      <w:proofErr w:type="gramStart"/>
      <w:r w:rsidRPr="00952C33">
        <w:rPr>
          <w:sz w:val="22"/>
        </w:rPr>
        <w:t>in order to</w:t>
      </w:r>
      <w:proofErr w:type="gramEnd"/>
      <w:r w:rsidRPr="00952C33">
        <w:rPr>
          <w:sz w:val="22"/>
        </w:rPr>
        <w:t xml:space="preserve"> determine their relative importance using a risk scoring matrix. Where relevant, risks are managed and mitigated locally. However</w:t>
      </w:r>
      <w:r w:rsidR="00E847DD" w:rsidRPr="00952C33">
        <w:rPr>
          <w:sz w:val="22"/>
        </w:rPr>
        <w:t>,</w:t>
      </w:r>
      <w:r w:rsidRPr="00952C33">
        <w:rPr>
          <w:sz w:val="22"/>
        </w:rPr>
        <w:t xml:space="preserve"> where they cannot be resolved, systems exist, and are described in the policy, to progressively escalate risks to higher level risk registers. Achieving control of the higher scoring risks is given priority over lower scoring risks. Key Performance Indicators (KPIs) related to risks are identified to improve board assurance and compliment risk management process. </w:t>
      </w:r>
    </w:p>
    <w:p w14:paraId="1F74317E" w14:textId="77777777" w:rsidR="00791C1B" w:rsidRPr="00952C33" w:rsidRDefault="00791C1B" w:rsidP="00FB6278">
      <w:pPr>
        <w:pStyle w:val="MEHArial"/>
        <w:jc w:val="both"/>
        <w:rPr>
          <w:sz w:val="22"/>
        </w:rPr>
      </w:pPr>
      <w:r w:rsidRPr="00952C33">
        <w:rPr>
          <w:sz w:val="22"/>
        </w:rPr>
        <w:t>Incident reporting is openly encouraged through the trust’s policies on incident reporting, being open and duty of candour, and staff training. The trust has an open culture which is demonstrated through staff survey results and reporting rates which increase year-on-year.</w:t>
      </w:r>
    </w:p>
    <w:p w14:paraId="479B780E" w14:textId="118A9185" w:rsidR="00791C1B" w:rsidRPr="00952C33" w:rsidRDefault="00791C1B" w:rsidP="00FB6278">
      <w:pPr>
        <w:pStyle w:val="MEHArial"/>
        <w:jc w:val="both"/>
        <w:rPr>
          <w:sz w:val="22"/>
        </w:rPr>
      </w:pPr>
      <w:r w:rsidRPr="00952C33">
        <w:rPr>
          <w:sz w:val="22"/>
        </w:rPr>
        <w:t xml:space="preserve">Divisional operational and quality dashboards are available for monitoring many types of performance activity, both clinical and non-clinical. The </w:t>
      </w:r>
      <w:r w:rsidR="0066712A">
        <w:rPr>
          <w:sz w:val="22"/>
        </w:rPr>
        <w:t>b</w:t>
      </w:r>
      <w:r w:rsidRPr="00952C33">
        <w:rPr>
          <w:sz w:val="22"/>
        </w:rPr>
        <w:t xml:space="preserve">oard </w:t>
      </w:r>
      <w:r w:rsidR="0066712A">
        <w:rPr>
          <w:sz w:val="22"/>
        </w:rPr>
        <w:t>a</w:t>
      </w:r>
      <w:r w:rsidRPr="00952C33">
        <w:rPr>
          <w:sz w:val="22"/>
        </w:rPr>
        <w:t xml:space="preserve">ssurance </w:t>
      </w:r>
      <w:r w:rsidR="0066712A">
        <w:rPr>
          <w:sz w:val="22"/>
        </w:rPr>
        <w:t>f</w:t>
      </w:r>
      <w:r w:rsidRPr="00952C33">
        <w:rPr>
          <w:sz w:val="22"/>
        </w:rPr>
        <w:t xml:space="preserve">ramework (BAF) has been developed using the trust’s corporate risk register and is linked to monitoring the trust’s annual corporate priorities. The BAF details the principal strategic risks to the organisation and how those risks are being mitigated. The BAF and corporate risk register were reviewed during the year by the management executive, audit and risk committee and the board of directors. </w:t>
      </w:r>
    </w:p>
    <w:p w14:paraId="32597D4A" w14:textId="77777777" w:rsidR="00791C1B" w:rsidRPr="00952C33" w:rsidRDefault="00791C1B" w:rsidP="00FB6278">
      <w:pPr>
        <w:pStyle w:val="MEHArial"/>
        <w:jc w:val="both"/>
        <w:rPr>
          <w:sz w:val="22"/>
        </w:rPr>
      </w:pPr>
      <w:r w:rsidRPr="00952C33">
        <w:rPr>
          <w:sz w:val="22"/>
        </w:rPr>
        <w:t xml:space="preserve">The organisation continues to have a low appetite for risk in relation to patient safety and aims to minimise avoidable risk – this approach is built into all our risks systems although it recognises that healthcare is not without risk. The trust has a higher risk appetite in respect of developing its commercial divisions of which it has two, Moorfields Private and Moorfields United Arab Emirates and </w:t>
      </w:r>
      <w:proofErr w:type="gramStart"/>
      <w:r w:rsidRPr="00952C33">
        <w:rPr>
          <w:sz w:val="22"/>
        </w:rPr>
        <w:t>in the area of</w:t>
      </w:r>
      <w:proofErr w:type="gramEnd"/>
      <w:r w:rsidRPr="00952C33">
        <w:rPr>
          <w:sz w:val="22"/>
        </w:rPr>
        <w:t xml:space="preserve"> research, enterprise and innovation.</w:t>
      </w:r>
    </w:p>
    <w:p w14:paraId="2E284F4F" w14:textId="77777777" w:rsidR="00791C1B" w:rsidRPr="00952C33" w:rsidRDefault="00791C1B" w:rsidP="00FB6278">
      <w:pPr>
        <w:pStyle w:val="MEHArial"/>
        <w:jc w:val="both"/>
        <w:rPr>
          <w:sz w:val="22"/>
        </w:rPr>
      </w:pPr>
      <w:r w:rsidRPr="00952C33">
        <w:rPr>
          <w:sz w:val="22"/>
        </w:rPr>
        <w:t xml:space="preserve">The trust has a range of quality governance systems including a quality governance framework in place which have been proactively developed over the previous three years and include systems for collecting, </w:t>
      </w:r>
      <w:proofErr w:type="gramStart"/>
      <w:r w:rsidRPr="00952C33">
        <w:rPr>
          <w:sz w:val="22"/>
        </w:rPr>
        <w:t>assessing</w:t>
      </w:r>
      <w:proofErr w:type="gramEnd"/>
      <w:r w:rsidRPr="00952C33">
        <w:rPr>
          <w:sz w:val="22"/>
        </w:rPr>
        <w:t xml:space="preserve"> and presenting quality and safety information from operational to trust board level. Oversight and scrutiny of these governance arrangements is provided by the quality and safety committee which is a subcommittee of the board. </w:t>
      </w:r>
    </w:p>
    <w:p w14:paraId="5B7751DB" w14:textId="77777777" w:rsidR="00791C1B" w:rsidRPr="00952C33" w:rsidRDefault="00791C1B" w:rsidP="00FB6278">
      <w:pPr>
        <w:pStyle w:val="MEHArial"/>
        <w:jc w:val="both"/>
        <w:rPr>
          <w:sz w:val="22"/>
        </w:rPr>
      </w:pPr>
      <w:r w:rsidRPr="00952C33">
        <w:rPr>
          <w:sz w:val="22"/>
        </w:rPr>
        <w:t xml:space="preserve">A programme of annual health and safety assessments is in place led by the risk and safety department. In areas where this process has matured sufficiently, self-assessments take place. These reviews are complemented by a programme of patient safety data reviews which consider data and information about patient safety including trends and the need for any remedial action. </w:t>
      </w:r>
    </w:p>
    <w:p w14:paraId="0B8C1554" w14:textId="77777777" w:rsidR="00791C1B" w:rsidRPr="00952C33" w:rsidRDefault="00791C1B" w:rsidP="00FB6278">
      <w:pPr>
        <w:pStyle w:val="MEHArial"/>
        <w:jc w:val="both"/>
        <w:rPr>
          <w:sz w:val="22"/>
        </w:rPr>
      </w:pPr>
      <w:r w:rsidRPr="00952C33">
        <w:rPr>
          <w:sz w:val="22"/>
        </w:rPr>
        <w:t xml:space="preserve">The trust is registered and is fully compliant with the Care Quality Commission’s (CQC) registration requirements. Systems exist to ensure compliance with the CQC’s fundamental standards. </w:t>
      </w:r>
    </w:p>
    <w:p w14:paraId="181AF808" w14:textId="77777777" w:rsidR="00791C1B" w:rsidRPr="00952C33" w:rsidRDefault="00791C1B" w:rsidP="00FB6278">
      <w:pPr>
        <w:pStyle w:val="MEHArial"/>
        <w:jc w:val="both"/>
        <w:rPr>
          <w:sz w:val="22"/>
        </w:rPr>
      </w:pPr>
      <w:r w:rsidRPr="00952C33">
        <w:rPr>
          <w:sz w:val="22"/>
        </w:rPr>
        <w:t xml:space="preserve">Quality and safety performance is monitored through a range of quality reports that are provided to the trust management committee, the quality and safety committee and trust board. These reports are structured around the three Darzi themes of patient experience, patient safety and clinical effectiveness and the CQC domains. The organisation also uses various dashboards to review both operational </w:t>
      </w:r>
      <w:r w:rsidRPr="00952C33">
        <w:rPr>
          <w:sz w:val="22"/>
        </w:rPr>
        <w:lastRenderedPageBreak/>
        <w:t xml:space="preserve">performance as well as quality indicators. These dashboards enable divisions and services to scrutinise data in a timely manner to drive improvements and share learning across the network. </w:t>
      </w:r>
    </w:p>
    <w:p w14:paraId="5DAA0D71" w14:textId="77777777" w:rsidR="00791C1B" w:rsidRPr="00952C33" w:rsidRDefault="00791C1B" w:rsidP="00FB6278">
      <w:pPr>
        <w:pStyle w:val="MEHArial"/>
        <w:jc w:val="both"/>
        <w:rPr>
          <w:sz w:val="22"/>
        </w:rPr>
      </w:pPr>
      <w:r w:rsidRPr="00952C33">
        <w:rPr>
          <w:sz w:val="22"/>
        </w:rPr>
        <w:t xml:space="preserve">The board assurance framework includes the </w:t>
      </w:r>
      <w:proofErr w:type="gramStart"/>
      <w:r w:rsidRPr="00952C33">
        <w:rPr>
          <w:sz w:val="22"/>
        </w:rPr>
        <w:t>high level</w:t>
      </w:r>
      <w:proofErr w:type="gramEnd"/>
      <w:r w:rsidRPr="00952C33">
        <w:rPr>
          <w:sz w:val="22"/>
        </w:rPr>
        <w:t xml:space="preserve"> risks to the organisation. These are rated dependent on the level and potential impact of risk with red being the highest. A summary is included below.</w:t>
      </w:r>
    </w:p>
    <w:p w14:paraId="5FD28D47" w14:textId="77777777" w:rsidR="00791C1B" w:rsidRPr="00952C33" w:rsidRDefault="00791C1B" w:rsidP="00FB6278">
      <w:pPr>
        <w:pStyle w:val="Heading3"/>
        <w:jc w:val="both"/>
        <w:rPr>
          <w:sz w:val="22"/>
        </w:rPr>
      </w:pPr>
      <w:r w:rsidRPr="00952C33">
        <w:rPr>
          <w:sz w:val="22"/>
        </w:rPr>
        <w:t>Six risks were rated as red:</w:t>
      </w:r>
    </w:p>
    <w:p w14:paraId="2B82C5D8" w14:textId="11172875" w:rsidR="00791C1B" w:rsidRPr="00952C33" w:rsidRDefault="00791C1B" w:rsidP="00FB6278">
      <w:pPr>
        <w:pStyle w:val="ListParagraph"/>
        <w:numPr>
          <w:ilvl w:val="0"/>
          <w:numId w:val="15"/>
        </w:numPr>
        <w:jc w:val="both"/>
        <w:rPr>
          <w:rFonts w:ascii="Arial" w:hAnsi="Arial"/>
          <w:sz w:val="22"/>
        </w:rPr>
      </w:pPr>
      <w:r w:rsidRPr="00952C33">
        <w:rPr>
          <w:rFonts w:ascii="Arial" w:hAnsi="Arial"/>
          <w:sz w:val="22"/>
        </w:rPr>
        <w:t>If the key assumptions behind</w:t>
      </w:r>
      <w:r w:rsidRPr="00952C33">
        <w:rPr>
          <w:rFonts w:ascii="Arial" w:hAnsi="Arial"/>
          <w:b/>
          <w:sz w:val="22"/>
        </w:rPr>
        <w:t xml:space="preserve"> Oriel</w:t>
      </w:r>
      <w:r w:rsidRPr="00952C33">
        <w:rPr>
          <w:rFonts w:ascii="Arial" w:hAnsi="Arial"/>
          <w:sz w:val="22"/>
        </w:rPr>
        <w:t xml:space="preserve"> are </w:t>
      </w:r>
      <w:r w:rsidRPr="0066712A">
        <w:rPr>
          <w:rFonts w:ascii="Arial" w:hAnsi="Arial" w:cs="Arial"/>
          <w:sz w:val="22"/>
        </w:rPr>
        <w:t xml:space="preserve">not </w:t>
      </w:r>
      <w:r w:rsidR="00DB3ED0" w:rsidRPr="00CD4F89">
        <w:rPr>
          <w:rFonts w:ascii="Arial" w:hAnsi="Arial" w:cs="Arial"/>
          <w:sz w:val="22"/>
          <w:szCs w:val="22"/>
        </w:rPr>
        <w:t>achieved</w:t>
      </w:r>
      <w:r w:rsidR="00DB3ED0" w:rsidRPr="00952C33">
        <w:rPr>
          <w:rFonts w:ascii="Arial" w:hAnsi="Arial"/>
          <w:sz w:val="22"/>
        </w:rPr>
        <w:t>,</w:t>
      </w:r>
      <w:r w:rsidRPr="00952C33">
        <w:rPr>
          <w:rFonts w:ascii="Arial" w:hAnsi="Arial"/>
          <w:sz w:val="22"/>
        </w:rPr>
        <w:t xml:space="preserve"> then there may be insufficient capital and resources available leading to a failure to be able to deliver a new facility that is fit for purpose and improves the patient and staff experience</w:t>
      </w:r>
    </w:p>
    <w:p w14:paraId="52ECBC45" w14:textId="77777777" w:rsidR="00791C1B" w:rsidRPr="00952C33" w:rsidRDefault="00791C1B" w:rsidP="00FB6278">
      <w:pPr>
        <w:pStyle w:val="ListParagraph"/>
        <w:numPr>
          <w:ilvl w:val="0"/>
          <w:numId w:val="15"/>
        </w:numPr>
        <w:jc w:val="both"/>
        <w:rPr>
          <w:rFonts w:ascii="Arial" w:hAnsi="Arial"/>
          <w:sz w:val="22"/>
        </w:rPr>
      </w:pPr>
      <w:r w:rsidRPr="00952C33">
        <w:rPr>
          <w:rFonts w:ascii="Arial" w:hAnsi="Arial"/>
          <w:b/>
          <w:sz w:val="22"/>
        </w:rPr>
        <w:t>Future funding models</w:t>
      </w:r>
      <w:r w:rsidRPr="00952C33">
        <w:rPr>
          <w:rFonts w:ascii="Arial" w:hAnsi="Arial"/>
          <w:sz w:val="22"/>
        </w:rPr>
        <w:t xml:space="preserve"> are now being provided under a block funding approach rather than payment by results, creating significant uncertainty in funding.</w:t>
      </w:r>
    </w:p>
    <w:p w14:paraId="5EFF83DF" w14:textId="4077D391" w:rsidR="00791C1B" w:rsidRPr="00952C33" w:rsidRDefault="00791C1B" w:rsidP="00FB6278">
      <w:pPr>
        <w:pStyle w:val="ListParagraph"/>
        <w:numPr>
          <w:ilvl w:val="0"/>
          <w:numId w:val="15"/>
        </w:numPr>
        <w:jc w:val="both"/>
        <w:rPr>
          <w:rFonts w:ascii="Arial" w:hAnsi="Arial"/>
          <w:sz w:val="22"/>
        </w:rPr>
      </w:pPr>
      <w:r w:rsidRPr="00952C33">
        <w:rPr>
          <w:rFonts w:ascii="Arial" w:hAnsi="Arial"/>
          <w:sz w:val="22"/>
        </w:rPr>
        <w:t xml:space="preserve">If the trust cannot attract sufficient </w:t>
      </w:r>
      <w:r w:rsidRPr="00952C33">
        <w:rPr>
          <w:rFonts w:ascii="Arial" w:hAnsi="Arial"/>
          <w:b/>
          <w:sz w:val="22"/>
        </w:rPr>
        <w:t>research funding</w:t>
      </w:r>
      <w:r w:rsidRPr="00952C33">
        <w:rPr>
          <w:rFonts w:ascii="Arial" w:hAnsi="Arial"/>
          <w:sz w:val="22"/>
        </w:rPr>
        <w:t xml:space="preserve"> to maintain its </w:t>
      </w:r>
      <w:r w:rsidR="00DB3ED0" w:rsidRPr="00976F46">
        <w:rPr>
          <w:rFonts w:asciiTheme="majorHAnsi" w:hAnsiTheme="majorHAnsi" w:cstheme="majorHAnsi"/>
          <w:sz w:val="22"/>
          <w:szCs w:val="22"/>
        </w:rPr>
        <w:t>position</w:t>
      </w:r>
      <w:r w:rsidR="00DB3ED0" w:rsidRPr="00952C33">
        <w:rPr>
          <w:rFonts w:ascii="Arial" w:hAnsi="Arial"/>
          <w:sz w:val="22"/>
        </w:rPr>
        <w:t>,</w:t>
      </w:r>
      <w:r w:rsidRPr="00952C33">
        <w:rPr>
          <w:rFonts w:ascii="Arial" w:hAnsi="Arial"/>
          <w:sz w:val="22"/>
        </w:rPr>
        <w:t xml:space="preserve"> then its capacity to conduct appropriate research will diminish</w:t>
      </w:r>
      <w:r w:rsidR="00DB3ED0" w:rsidRPr="00952C33">
        <w:rPr>
          <w:rFonts w:ascii="Arial" w:hAnsi="Arial"/>
          <w:sz w:val="22"/>
        </w:rPr>
        <w:t>,</w:t>
      </w:r>
      <w:r w:rsidRPr="00952C33">
        <w:rPr>
          <w:rFonts w:ascii="Arial" w:hAnsi="Arial"/>
          <w:sz w:val="22"/>
        </w:rPr>
        <w:t xml:space="preserve"> leading to an inability to compete effectively for funding and a significant risk to the trust brand and reputation in the field.</w:t>
      </w:r>
    </w:p>
    <w:p w14:paraId="0B72F5EE" w14:textId="77777777" w:rsidR="00791C1B" w:rsidRPr="00952C33" w:rsidRDefault="00791C1B" w:rsidP="00FB6278">
      <w:pPr>
        <w:pStyle w:val="ListParagraph"/>
        <w:numPr>
          <w:ilvl w:val="0"/>
          <w:numId w:val="15"/>
        </w:numPr>
        <w:jc w:val="both"/>
        <w:rPr>
          <w:rFonts w:ascii="Arial" w:hAnsi="Arial"/>
          <w:sz w:val="22"/>
        </w:rPr>
      </w:pPr>
      <w:r w:rsidRPr="00952C33">
        <w:rPr>
          <w:rFonts w:ascii="Arial" w:hAnsi="Arial"/>
          <w:sz w:val="22"/>
        </w:rPr>
        <w:t xml:space="preserve">If the trust fails to put in place sufficient support for staff and processes/procedures to manage </w:t>
      </w:r>
      <w:r w:rsidRPr="00952C33">
        <w:rPr>
          <w:rFonts w:ascii="Arial" w:hAnsi="Arial"/>
          <w:b/>
          <w:sz w:val="22"/>
        </w:rPr>
        <w:t>staff health and wellbeing</w:t>
      </w:r>
      <w:r w:rsidRPr="00952C33">
        <w:rPr>
          <w:rFonts w:ascii="Arial" w:hAnsi="Arial"/>
          <w:sz w:val="22"/>
        </w:rPr>
        <w:t>, both during and after the pandemic, then this will lead to increased stress and sickness absence, poor staff engagement with the organisation, poor recruitment and retention and a significant impact on staff morale.</w:t>
      </w:r>
    </w:p>
    <w:p w14:paraId="54515EDC" w14:textId="0BFD56E3" w:rsidR="00791C1B" w:rsidRPr="00952C33" w:rsidRDefault="00791C1B" w:rsidP="00FB6278">
      <w:pPr>
        <w:pStyle w:val="ListParagraph"/>
        <w:numPr>
          <w:ilvl w:val="0"/>
          <w:numId w:val="15"/>
        </w:numPr>
        <w:jc w:val="both"/>
        <w:rPr>
          <w:rFonts w:ascii="Arial" w:hAnsi="Arial"/>
          <w:sz w:val="22"/>
        </w:rPr>
      </w:pPr>
      <w:r w:rsidRPr="00952C33">
        <w:rPr>
          <w:rFonts w:ascii="Arial" w:hAnsi="Arial"/>
          <w:sz w:val="22"/>
        </w:rPr>
        <w:t xml:space="preserve">If there is a successful </w:t>
      </w:r>
      <w:r w:rsidR="0066712A" w:rsidRPr="00952C33">
        <w:rPr>
          <w:rFonts w:ascii="Arial" w:hAnsi="Arial"/>
          <w:b/>
          <w:sz w:val="22"/>
        </w:rPr>
        <w:t>cyber</w:t>
      </w:r>
      <w:r w:rsidR="0066712A">
        <w:rPr>
          <w:rFonts w:ascii="Arial" w:hAnsi="Arial"/>
          <w:b/>
          <w:sz w:val="22"/>
        </w:rPr>
        <w:t>-</w:t>
      </w:r>
      <w:r w:rsidR="0066712A" w:rsidRPr="00952C33">
        <w:rPr>
          <w:rFonts w:ascii="Arial" w:hAnsi="Arial"/>
          <w:b/>
          <w:sz w:val="22"/>
        </w:rPr>
        <w:t>attack</w:t>
      </w:r>
      <w:r w:rsidRPr="00952C33">
        <w:rPr>
          <w:rFonts w:ascii="Arial" w:hAnsi="Arial"/>
          <w:sz w:val="22"/>
        </w:rPr>
        <w:t xml:space="preserve"> then the trust may suffer from a loss of service and/or corruption of data leading to poor patient care or experience, loss of income and damage to reputation. </w:t>
      </w:r>
    </w:p>
    <w:p w14:paraId="50B10EFD" w14:textId="77777777" w:rsidR="00791C1B" w:rsidRPr="00952C33" w:rsidRDefault="00791C1B" w:rsidP="00FB6278">
      <w:pPr>
        <w:pStyle w:val="ListParagraph"/>
        <w:numPr>
          <w:ilvl w:val="0"/>
          <w:numId w:val="15"/>
        </w:numPr>
        <w:jc w:val="both"/>
        <w:rPr>
          <w:rFonts w:ascii="Arial" w:hAnsi="Arial"/>
          <w:sz w:val="22"/>
        </w:rPr>
      </w:pPr>
      <w:r w:rsidRPr="00952C33">
        <w:rPr>
          <w:rFonts w:ascii="Arial" w:hAnsi="Arial"/>
          <w:sz w:val="22"/>
        </w:rPr>
        <w:t xml:space="preserve">If the trust’s </w:t>
      </w:r>
      <w:r w:rsidRPr="00952C33">
        <w:rPr>
          <w:rFonts w:ascii="Arial" w:hAnsi="Arial"/>
          <w:b/>
          <w:sz w:val="22"/>
        </w:rPr>
        <w:t>digital infrastructure</w:t>
      </w:r>
      <w:r w:rsidRPr="00952C33">
        <w:rPr>
          <w:rFonts w:ascii="Arial" w:hAnsi="Arial"/>
          <w:sz w:val="22"/>
        </w:rPr>
        <w:t xml:space="preserve"> fails to provide robust resilience and adequate performance, then treatment of patients may be compromised through either a lack of access to digital patient and administrative data, or a slowness of information delivery that reduces patient throughput enough that some patients may need to re-book and return for their treatment.</w:t>
      </w:r>
    </w:p>
    <w:p w14:paraId="3398DD6C" w14:textId="77777777" w:rsidR="00791C1B" w:rsidRPr="00952C33" w:rsidRDefault="00791C1B" w:rsidP="00FB6278">
      <w:pPr>
        <w:pStyle w:val="ListParagraph"/>
        <w:jc w:val="both"/>
        <w:rPr>
          <w:rFonts w:ascii="Arial" w:hAnsi="Arial"/>
          <w:sz w:val="22"/>
        </w:rPr>
      </w:pPr>
    </w:p>
    <w:p w14:paraId="0A734617" w14:textId="77777777" w:rsidR="00791C1B" w:rsidRPr="00952C33" w:rsidRDefault="00791C1B" w:rsidP="00FB6278">
      <w:pPr>
        <w:pStyle w:val="Heading3"/>
        <w:spacing w:before="0"/>
        <w:jc w:val="both"/>
        <w:rPr>
          <w:sz w:val="22"/>
        </w:rPr>
      </w:pPr>
      <w:r w:rsidRPr="00952C33">
        <w:rPr>
          <w:sz w:val="22"/>
        </w:rPr>
        <w:t>A further four risks on the board assurance framework are rated as amber:</w:t>
      </w:r>
    </w:p>
    <w:p w14:paraId="03548945" w14:textId="4C28952D" w:rsidR="00791C1B" w:rsidRPr="00952C33" w:rsidRDefault="00791C1B" w:rsidP="00FB6278">
      <w:pPr>
        <w:pStyle w:val="ListParagraph"/>
        <w:numPr>
          <w:ilvl w:val="0"/>
          <w:numId w:val="15"/>
        </w:numPr>
        <w:jc w:val="both"/>
        <w:rPr>
          <w:rFonts w:ascii="Arial" w:hAnsi="Arial"/>
          <w:sz w:val="22"/>
        </w:rPr>
      </w:pPr>
      <w:r w:rsidRPr="00952C33">
        <w:rPr>
          <w:rFonts w:ascii="Arial" w:hAnsi="Arial"/>
          <w:sz w:val="22"/>
        </w:rPr>
        <w:t xml:space="preserve">If the trust is unable to appropriately manage the ongoing impact of the </w:t>
      </w:r>
      <w:r w:rsidRPr="00952C33">
        <w:rPr>
          <w:rFonts w:ascii="Arial" w:hAnsi="Arial"/>
          <w:b/>
          <w:sz w:val="22"/>
        </w:rPr>
        <w:t>Covid-19</w:t>
      </w:r>
      <w:r w:rsidRPr="00952C33">
        <w:rPr>
          <w:rFonts w:ascii="Arial" w:hAnsi="Arial"/>
          <w:sz w:val="22"/>
        </w:rPr>
        <w:t xml:space="preserve"> virus there will be an impact in </w:t>
      </w:r>
      <w:proofErr w:type="gramStart"/>
      <w:r w:rsidRPr="00952C33">
        <w:rPr>
          <w:rFonts w:ascii="Arial" w:hAnsi="Arial"/>
          <w:sz w:val="22"/>
        </w:rPr>
        <w:t>a number of</w:t>
      </w:r>
      <w:proofErr w:type="gramEnd"/>
      <w:r w:rsidRPr="00952C33">
        <w:rPr>
          <w:rFonts w:ascii="Arial" w:hAnsi="Arial"/>
          <w:sz w:val="22"/>
        </w:rPr>
        <w:t xml:space="preserve"> areas</w:t>
      </w:r>
      <w:r w:rsidR="00CC3696" w:rsidRPr="00952C33">
        <w:rPr>
          <w:rFonts w:ascii="Arial" w:hAnsi="Arial"/>
          <w:sz w:val="22"/>
        </w:rPr>
        <w:t>,</w:t>
      </w:r>
      <w:r w:rsidRPr="00952C33">
        <w:rPr>
          <w:rFonts w:ascii="Arial" w:hAnsi="Arial"/>
          <w:sz w:val="22"/>
        </w:rPr>
        <w:t xml:space="preserve"> including significant harm to staff and patients, significant financial risk both in the short and long term, reputational risk, workforce impact and system working risk.</w:t>
      </w:r>
    </w:p>
    <w:p w14:paraId="5D22D649" w14:textId="090CF575" w:rsidR="00791C1B" w:rsidRPr="00952C33" w:rsidRDefault="00791C1B" w:rsidP="00FB6278">
      <w:pPr>
        <w:pStyle w:val="ListParagraph"/>
        <w:numPr>
          <w:ilvl w:val="0"/>
          <w:numId w:val="15"/>
        </w:numPr>
        <w:jc w:val="both"/>
        <w:rPr>
          <w:rFonts w:ascii="Arial" w:hAnsi="Arial"/>
          <w:sz w:val="22"/>
        </w:rPr>
      </w:pPr>
      <w:r w:rsidRPr="00952C33">
        <w:rPr>
          <w:rFonts w:ascii="Arial" w:hAnsi="Arial"/>
          <w:sz w:val="22"/>
        </w:rPr>
        <w:t xml:space="preserve">If the </w:t>
      </w:r>
      <w:r w:rsidRPr="00952C33">
        <w:rPr>
          <w:rFonts w:ascii="Arial" w:hAnsi="Arial"/>
          <w:b/>
          <w:sz w:val="22"/>
        </w:rPr>
        <w:t>recovery of clinical services</w:t>
      </w:r>
      <w:r w:rsidRPr="00952C33">
        <w:rPr>
          <w:rFonts w:ascii="Arial" w:hAnsi="Arial"/>
          <w:sz w:val="22"/>
        </w:rPr>
        <w:t xml:space="preserve"> post</w:t>
      </w:r>
      <w:r w:rsidR="0066712A">
        <w:rPr>
          <w:rFonts w:ascii="Arial" w:hAnsi="Arial"/>
          <w:sz w:val="22"/>
        </w:rPr>
        <w:t xml:space="preserve"> </w:t>
      </w:r>
      <w:r w:rsidRPr="00952C33">
        <w:rPr>
          <w:rFonts w:ascii="Arial" w:hAnsi="Arial"/>
          <w:sz w:val="22"/>
        </w:rPr>
        <w:t>C</w:t>
      </w:r>
      <w:r w:rsidR="00CC3696" w:rsidRPr="00952C33">
        <w:rPr>
          <w:rFonts w:ascii="Arial" w:hAnsi="Arial"/>
          <w:sz w:val="22"/>
        </w:rPr>
        <w:t>ovid-</w:t>
      </w:r>
      <w:r w:rsidR="00CC3696" w:rsidRPr="00952C33">
        <w:rPr>
          <w:rFonts w:ascii="Arial" w:hAnsi="Arial" w:cs="Arial"/>
          <w:sz w:val="22"/>
          <w:szCs w:val="22"/>
        </w:rPr>
        <w:t>19</w:t>
      </w:r>
      <w:r w:rsidRPr="00952C33">
        <w:rPr>
          <w:rFonts w:ascii="Arial" w:hAnsi="Arial"/>
          <w:sz w:val="22"/>
        </w:rPr>
        <w:t xml:space="preserve"> does not ensure timely access to ophthalmic care for both new and existing </w:t>
      </w:r>
      <w:proofErr w:type="gramStart"/>
      <w:r w:rsidRPr="00952C33">
        <w:rPr>
          <w:rFonts w:ascii="Arial" w:hAnsi="Arial"/>
          <w:sz w:val="22"/>
        </w:rPr>
        <w:t>patients</w:t>
      </w:r>
      <w:proofErr w:type="gramEnd"/>
      <w:r w:rsidRPr="00952C33">
        <w:rPr>
          <w:rFonts w:ascii="Arial" w:hAnsi="Arial"/>
          <w:sz w:val="22"/>
        </w:rPr>
        <w:t xml:space="preserve"> then this may lead to patient harm reputational risk and potential financial risk through litigation.</w:t>
      </w:r>
    </w:p>
    <w:p w14:paraId="1C838D89" w14:textId="77777777" w:rsidR="00791C1B" w:rsidRPr="00952C33" w:rsidRDefault="00791C1B" w:rsidP="00FB6278">
      <w:pPr>
        <w:pStyle w:val="ListParagraph"/>
        <w:numPr>
          <w:ilvl w:val="0"/>
          <w:numId w:val="15"/>
        </w:numPr>
        <w:jc w:val="both"/>
        <w:rPr>
          <w:rFonts w:ascii="Arial" w:hAnsi="Arial"/>
          <w:sz w:val="22"/>
        </w:rPr>
      </w:pPr>
      <w:r w:rsidRPr="00952C33">
        <w:rPr>
          <w:rFonts w:ascii="Arial" w:hAnsi="Arial"/>
          <w:sz w:val="22"/>
        </w:rPr>
        <w:t xml:space="preserve">If the </w:t>
      </w:r>
      <w:r w:rsidRPr="00952C33">
        <w:rPr>
          <w:rFonts w:ascii="Arial" w:hAnsi="Arial"/>
          <w:b/>
          <w:sz w:val="22"/>
        </w:rPr>
        <w:t>growth in commercial activity</w:t>
      </w:r>
      <w:r w:rsidRPr="00952C33">
        <w:rPr>
          <w:rFonts w:ascii="Arial" w:hAnsi="Arial"/>
          <w:sz w:val="22"/>
        </w:rPr>
        <w:t xml:space="preserve"> is not to plan then there will not be sufficient revenue generated leading to pressure on trust finances elsewhere and a lack of ability to effectively compete in the market and to continue to provide high quality NHS services to patients, as well having an impact on the assumptions for Oriel.</w:t>
      </w:r>
    </w:p>
    <w:p w14:paraId="7DD9712B" w14:textId="77777777" w:rsidR="00791C1B" w:rsidRPr="00952C33" w:rsidRDefault="00791C1B" w:rsidP="00FB6278">
      <w:pPr>
        <w:pStyle w:val="ListParagraph"/>
        <w:numPr>
          <w:ilvl w:val="0"/>
          <w:numId w:val="15"/>
        </w:numPr>
        <w:jc w:val="both"/>
        <w:rPr>
          <w:rFonts w:ascii="Arial" w:hAnsi="Arial"/>
          <w:sz w:val="22"/>
        </w:rPr>
      </w:pPr>
      <w:r w:rsidRPr="00952C33">
        <w:rPr>
          <w:rFonts w:ascii="Arial" w:hAnsi="Arial"/>
          <w:sz w:val="22"/>
        </w:rPr>
        <w:t xml:space="preserve">If the trust does not have a </w:t>
      </w:r>
      <w:r w:rsidRPr="00952C33">
        <w:rPr>
          <w:rFonts w:ascii="Arial" w:hAnsi="Arial"/>
          <w:b/>
          <w:sz w:val="22"/>
        </w:rPr>
        <w:t>robust workforce plan</w:t>
      </w:r>
      <w:r w:rsidRPr="00952C33">
        <w:rPr>
          <w:rFonts w:ascii="Arial" w:hAnsi="Arial"/>
          <w:sz w:val="22"/>
        </w:rPr>
        <w:t xml:space="preserve"> in </w:t>
      </w:r>
      <w:proofErr w:type="gramStart"/>
      <w:r w:rsidRPr="00952C33">
        <w:rPr>
          <w:rFonts w:ascii="Arial" w:hAnsi="Arial"/>
          <w:sz w:val="22"/>
        </w:rPr>
        <w:t>place</w:t>
      </w:r>
      <w:proofErr w:type="gramEnd"/>
      <w:r w:rsidRPr="00952C33">
        <w:rPr>
          <w:rFonts w:ascii="Arial" w:hAnsi="Arial"/>
          <w:sz w:val="22"/>
        </w:rPr>
        <w:t xml:space="preserve"> then there will be staff shortages and skill gaps leading to insufficient numbers of staff available in key areas and a subsequent impact on the quality of patient care, pressure on staff and a decrease in morale which will affect both the staff and patient experience.</w:t>
      </w:r>
    </w:p>
    <w:p w14:paraId="19D78BDD" w14:textId="77777777" w:rsidR="00791C1B" w:rsidRPr="00952C33" w:rsidRDefault="00791C1B" w:rsidP="00FB6278">
      <w:pPr>
        <w:pStyle w:val="MEHArial"/>
        <w:jc w:val="both"/>
        <w:rPr>
          <w:sz w:val="22"/>
        </w:rPr>
      </w:pPr>
      <w:r w:rsidRPr="00952C33">
        <w:rPr>
          <w:sz w:val="22"/>
        </w:rPr>
        <w:t xml:space="preserve">The board has oversight of the board assurance framework and receives an update twice a year. This is supported by reviews by the relevant board committee, for example workforce risks are reviewed by the people committee. The level of board assurance in relation to individual risks forms part of the corporate risk register. Day-to-day management of corporate risks is the responsibility of directors with review by the management executive. Each risk has a linked mitigation plan led by the respective director, and the corporate risk register contains an assessment of how mitigations aim to reduce overall risk scores. </w:t>
      </w:r>
    </w:p>
    <w:p w14:paraId="7D1D5FE5" w14:textId="1808C535" w:rsidR="00791C1B" w:rsidRPr="00952C33" w:rsidRDefault="00791C1B" w:rsidP="00FB6278">
      <w:pPr>
        <w:pStyle w:val="MEHArial"/>
        <w:jc w:val="both"/>
        <w:rPr>
          <w:sz w:val="22"/>
        </w:rPr>
      </w:pPr>
      <w:r w:rsidRPr="00952C33">
        <w:rPr>
          <w:sz w:val="22"/>
        </w:rPr>
        <w:t xml:space="preserve">Moorfields has excellent engagement with its host commissioner, NHS Islington Clinical Commissioning Group. The commissioner-led joint clinical quality review meeting provides a regular forum to raise risks and issues and the corporate risk register is also reviewed at these meetings with a focus on quality. </w:t>
      </w:r>
    </w:p>
    <w:p w14:paraId="6AF4C063" w14:textId="27528D1E" w:rsidR="00791C1B" w:rsidRPr="00952C33" w:rsidRDefault="00791C1B" w:rsidP="00FB6278">
      <w:pPr>
        <w:pStyle w:val="MEHArial"/>
        <w:jc w:val="both"/>
        <w:rPr>
          <w:sz w:val="22"/>
        </w:rPr>
      </w:pPr>
      <w:r w:rsidRPr="00952C33">
        <w:rPr>
          <w:sz w:val="22"/>
        </w:rPr>
        <w:t>The Moorfields board has seen some change within the year</w:t>
      </w:r>
      <w:r w:rsidR="00CC3696" w:rsidRPr="00952C33">
        <w:rPr>
          <w:sz w:val="22"/>
        </w:rPr>
        <w:t>,</w:t>
      </w:r>
      <w:r w:rsidRPr="00952C33">
        <w:rPr>
          <w:sz w:val="22"/>
        </w:rPr>
        <w:t xml:space="preserve"> with a new chief executive starting in September 2021 and an interim chief nurse and director of allied health professions in place as </w:t>
      </w:r>
      <w:proofErr w:type="gramStart"/>
      <w:r w:rsidRPr="00952C33">
        <w:rPr>
          <w:sz w:val="22"/>
        </w:rPr>
        <w:t>at</w:t>
      </w:r>
      <w:proofErr w:type="gramEnd"/>
      <w:r w:rsidRPr="00952C33">
        <w:rPr>
          <w:sz w:val="22"/>
        </w:rPr>
        <w:t xml:space="preserve"> 31 </w:t>
      </w:r>
      <w:r w:rsidRPr="00952C33">
        <w:rPr>
          <w:sz w:val="22"/>
        </w:rPr>
        <w:lastRenderedPageBreak/>
        <w:t xml:space="preserve">March 2022. The chairman and all non-executive directors have been in place for the full year. The trust published on its website an up-to-date register of interests for decision-making staff (as designed by the trust with reference to the guidance) within the past twelve months as required by the Managing Conflicts of Interest in the NHS guidance. </w:t>
      </w:r>
    </w:p>
    <w:p w14:paraId="4A857AE5" w14:textId="77777777" w:rsidR="00791C1B" w:rsidRPr="00952C33" w:rsidRDefault="00791C1B" w:rsidP="00FB6278">
      <w:pPr>
        <w:pStyle w:val="MEHArial"/>
        <w:jc w:val="both"/>
        <w:rPr>
          <w:sz w:val="22"/>
        </w:rPr>
      </w:pPr>
      <w:r w:rsidRPr="00952C33">
        <w:rPr>
          <w:sz w:val="22"/>
        </w:rPr>
        <w:t>As an employer with staff entitled to membership of the NHS pension scheme, control measures are in place to ensure compliance with all employer obligations contained within the scheme. This includes ensuring that deductions from salary, employer’s contributions and payments into the scheme are in accordance with the Scheme rules, and that member Pension Scheme records are accurately updated in accordance with the timescales detailed in the regulations.</w:t>
      </w:r>
    </w:p>
    <w:p w14:paraId="7DC87070" w14:textId="77777777" w:rsidR="00791C1B" w:rsidRPr="00952C33" w:rsidRDefault="00791C1B" w:rsidP="00FB6278">
      <w:pPr>
        <w:pStyle w:val="MEHArial"/>
        <w:jc w:val="both"/>
        <w:rPr>
          <w:sz w:val="22"/>
        </w:rPr>
      </w:pPr>
      <w:r w:rsidRPr="00952C33">
        <w:rPr>
          <w:sz w:val="22"/>
        </w:rPr>
        <w:t xml:space="preserve">Control measures are in place to ensure compliance with all the organisation’s obligations under equality, </w:t>
      </w:r>
      <w:proofErr w:type="gramStart"/>
      <w:r w:rsidRPr="00952C33">
        <w:rPr>
          <w:sz w:val="22"/>
        </w:rPr>
        <w:t>diversity</w:t>
      </w:r>
      <w:proofErr w:type="gramEnd"/>
      <w:r w:rsidRPr="00952C33">
        <w:rPr>
          <w:sz w:val="22"/>
        </w:rPr>
        <w:t xml:space="preserve"> and human rights legislation. </w:t>
      </w:r>
    </w:p>
    <w:p w14:paraId="0D8E834F" w14:textId="77777777" w:rsidR="00791C1B" w:rsidRPr="00952C33" w:rsidRDefault="00791C1B" w:rsidP="00FB6278">
      <w:pPr>
        <w:pStyle w:val="Heading3"/>
        <w:jc w:val="both"/>
        <w:rPr>
          <w:b w:val="0"/>
          <w:sz w:val="22"/>
        </w:rPr>
      </w:pPr>
      <w:r w:rsidRPr="00952C33">
        <w:rPr>
          <w:b w:val="0"/>
          <w:sz w:val="22"/>
        </w:rPr>
        <w:t xml:space="preserve">The trust has undertaken risk assessments and has a sustainable development management plan in place which takes account of UK Climate Projections 2018 (UKCP18). The trust ensures that its obligations under the Climate Change Act and the Adaptation Reporting requirements are complied with. </w:t>
      </w:r>
      <w:r w:rsidRPr="00952C33">
        <w:rPr>
          <w:b w:val="0"/>
          <w:color w:val="000000"/>
          <w:sz w:val="22"/>
        </w:rPr>
        <w:t>The board has a nominated executive level Senior Responsible Officer, and an identified operation lead.</w:t>
      </w:r>
      <w:r w:rsidRPr="00952C33">
        <w:rPr>
          <w:color w:val="000000"/>
          <w:sz w:val="22"/>
        </w:rPr>
        <w:t xml:space="preserve"> </w:t>
      </w:r>
    </w:p>
    <w:p w14:paraId="2F5022AD" w14:textId="77777777" w:rsidR="00791C1B" w:rsidRPr="00952C33" w:rsidRDefault="00791C1B" w:rsidP="00FB6278">
      <w:pPr>
        <w:autoSpaceDE w:val="0"/>
        <w:autoSpaceDN w:val="0"/>
        <w:adjustRightInd w:val="0"/>
        <w:jc w:val="both"/>
        <w:rPr>
          <w:rFonts w:ascii="Arial" w:hAnsi="Arial"/>
          <w:color w:val="000000"/>
          <w:sz w:val="22"/>
        </w:rPr>
      </w:pPr>
    </w:p>
    <w:p w14:paraId="304F0A6F" w14:textId="56C6E579" w:rsidR="00791C1B" w:rsidRPr="00380B8D" w:rsidRDefault="00791C1B" w:rsidP="00FB6278">
      <w:pPr>
        <w:autoSpaceDE w:val="0"/>
        <w:autoSpaceDN w:val="0"/>
        <w:adjustRightInd w:val="0"/>
        <w:jc w:val="both"/>
        <w:rPr>
          <w:rFonts w:ascii="Arial" w:hAnsi="Arial"/>
          <w:color w:val="000000"/>
          <w:sz w:val="22"/>
        </w:rPr>
      </w:pPr>
      <w:r w:rsidRPr="00952C33">
        <w:rPr>
          <w:rFonts w:ascii="Arial" w:hAnsi="Arial"/>
          <w:color w:val="000000"/>
          <w:sz w:val="22"/>
        </w:rPr>
        <w:t>The</w:t>
      </w:r>
      <w:r w:rsidR="0066712A">
        <w:rPr>
          <w:rFonts w:ascii="Arial" w:hAnsi="Arial"/>
          <w:color w:val="000000"/>
          <w:sz w:val="22"/>
        </w:rPr>
        <w:t xml:space="preserve"> </w:t>
      </w:r>
      <w:r w:rsidRPr="00380B8D">
        <w:rPr>
          <w:rFonts w:ascii="Arial" w:hAnsi="Arial"/>
          <w:color w:val="000000"/>
          <w:sz w:val="22"/>
        </w:rPr>
        <w:t>trust is fully compliant with the registration requirements of the Care Quality Commission. The trust received an overall rating of ‘Good’ in its last CQC inspection in 2018/19.</w:t>
      </w:r>
    </w:p>
    <w:p w14:paraId="63501804" w14:textId="6079E70F" w:rsidR="00791C1B" w:rsidRDefault="00791C1B" w:rsidP="00FB6278">
      <w:pPr>
        <w:pStyle w:val="Heading3"/>
        <w:jc w:val="both"/>
        <w:rPr>
          <w:sz w:val="22"/>
        </w:rPr>
      </w:pPr>
      <w:r w:rsidRPr="00380B8D">
        <w:rPr>
          <w:sz w:val="22"/>
        </w:rPr>
        <w:t xml:space="preserve">Review of economy, </w:t>
      </w:r>
      <w:proofErr w:type="gramStart"/>
      <w:r w:rsidRPr="00380B8D">
        <w:rPr>
          <w:sz w:val="22"/>
        </w:rPr>
        <w:t>efficiency</w:t>
      </w:r>
      <w:proofErr w:type="gramEnd"/>
      <w:r w:rsidRPr="00380B8D">
        <w:rPr>
          <w:sz w:val="22"/>
        </w:rPr>
        <w:t xml:space="preserve"> and effectiveness of the use of resources </w:t>
      </w:r>
    </w:p>
    <w:p w14:paraId="3FA22050" w14:textId="77777777" w:rsidR="005643C6" w:rsidRPr="00CD4F89" w:rsidRDefault="005643C6" w:rsidP="00FB6278"/>
    <w:p w14:paraId="12B64D8A" w14:textId="77777777" w:rsidR="00791C1B" w:rsidRPr="00380B8D" w:rsidRDefault="00791C1B" w:rsidP="00FB6278">
      <w:pPr>
        <w:pStyle w:val="NoSpacing"/>
        <w:jc w:val="both"/>
        <w:rPr>
          <w:rFonts w:ascii="Arial" w:hAnsi="Arial"/>
        </w:rPr>
      </w:pPr>
      <w:r w:rsidRPr="00380B8D">
        <w:rPr>
          <w:rFonts w:ascii="Arial" w:hAnsi="Arial"/>
        </w:rPr>
        <w:t xml:space="preserve">The trust’s annual plan, which contains the financial plan, is approved by the </w:t>
      </w:r>
      <w:proofErr w:type="gramStart"/>
      <w:r w:rsidRPr="00380B8D">
        <w:rPr>
          <w:rFonts w:ascii="Arial" w:hAnsi="Arial"/>
        </w:rPr>
        <w:t>board</w:t>
      </w:r>
      <w:proofErr w:type="gramEnd"/>
      <w:r w:rsidRPr="00380B8D">
        <w:rPr>
          <w:rFonts w:ascii="Arial" w:hAnsi="Arial"/>
        </w:rPr>
        <w:t xml:space="preserve"> and submitted to NHS Improvement although planning has been delayed in 2021/22. The board receives monthly financial reports. The trust’s resources are managed via financial controls set out in the standing financial instructions, and on a day-to-day basis local financial and performance controls are in place in divisions and departments. Financial governance arrangements are supported by internal and external audit to ensure economic, </w:t>
      </w:r>
      <w:proofErr w:type="gramStart"/>
      <w:r w:rsidRPr="00380B8D">
        <w:rPr>
          <w:rFonts w:ascii="Arial" w:hAnsi="Arial"/>
        </w:rPr>
        <w:t>efficient</w:t>
      </w:r>
      <w:proofErr w:type="gramEnd"/>
      <w:r w:rsidRPr="00380B8D">
        <w:rPr>
          <w:rFonts w:ascii="Arial" w:hAnsi="Arial"/>
        </w:rPr>
        <w:t xml:space="preserve"> and effective use of resources.</w:t>
      </w:r>
    </w:p>
    <w:p w14:paraId="76C952D0" w14:textId="040FE0CC" w:rsidR="00791C1B" w:rsidRDefault="00791C1B" w:rsidP="00FB6278">
      <w:pPr>
        <w:pStyle w:val="Heading3"/>
        <w:jc w:val="both"/>
        <w:rPr>
          <w:sz w:val="22"/>
        </w:rPr>
      </w:pPr>
      <w:r w:rsidRPr="00380B8D">
        <w:rPr>
          <w:sz w:val="22"/>
        </w:rPr>
        <w:t>Information governance (IG)</w:t>
      </w:r>
    </w:p>
    <w:p w14:paraId="702FA79B" w14:textId="77777777" w:rsidR="005643C6" w:rsidRPr="00CD4F89" w:rsidRDefault="005643C6" w:rsidP="00FB6278"/>
    <w:p w14:paraId="247AF1CC" w14:textId="77777777" w:rsidR="00791C1B" w:rsidRPr="00380B8D" w:rsidRDefault="00791C1B" w:rsidP="00FB6278">
      <w:pPr>
        <w:pStyle w:val="NoSpacing"/>
        <w:jc w:val="both"/>
        <w:rPr>
          <w:rFonts w:ascii="Arial" w:hAnsi="Arial"/>
          <w:color w:val="212121"/>
        </w:rPr>
      </w:pPr>
      <w:r w:rsidRPr="00380B8D">
        <w:rPr>
          <w:rFonts w:ascii="Arial" w:hAnsi="Arial"/>
          <w:color w:val="212121"/>
        </w:rPr>
        <w:t>Information governance at Moorfields is overseen by the information governance committee which reports to the quality and safety committee. The information governance committee is chaired by the senior information risk owner (SIRO) who is the director of quality and safety; membership includes the Caldicott Guardian, deputy Caldicott Guardian, chief information officer and head of information governance who is also the trust’s data protection officer.</w:t>
      </w:r>
    </w:p>
    <w:p w14:paraId="1B9AD8E2" w14:textId="77777777" w:rsidR="00791C1B" w:rsidRPr="00380B8D" w:rsidRDefault="00791C1B" w:rsidP="00FB6278">
      <w:pPr>
        <w:pStyle w:val="NormalWeb"/>
        <w:shd w:val="clear" w:color="auto" w:fill="FFFFFF"/>
        <w:jc w:val="both"/>
        <w:rPr>
          <w:rFonts w:ascii="Arial" w:hAnsi="Arial"/>
          <w:color w:val="212121"/>
          <w:sz w:val="22"/>
        </w:rPr>
      </w:pPr>
      <w:r w:rsidRPr="00380B8D">
        <w:rPr>
          <w:rFonts w:ascii="Arial" w:hAnsi="Arial"/>
          <w:color w:val="212121"/>
          <w:sz w:val="22"/>
        </w:rPr>
        <w:t xml:space="preserve">The information governance agenda is driven by key standards set down in the NHS Operating Framework and measured by compliance with the Data Security and Protection Toolkit (DSPT - which replaced the former Information Governance Toolkit from April 2018). </w:t>
      </w:r>
    </w:p>
    <w:p w14:paraId="1E7F0B4E" w14:textId="77777777" w:rsidR="00791C1B" w:rsidRPr="00380B8D" w:rsidRDefault="00791C1B" w:rsidP="00FB6278">
      <w:pPr>
        <w:pStyle w:val="NormalWeb"/>
        <w:jc w:val="both"/>
        <w:rPr>
          <w:rFonts w:ascii="Arial" w:hAnsi="Arial"/>
          <w:color w:val="212121"/>
          <w:sz w:val="22"/>
        </w:rPr>
      </w:pPr>
      <w:r w:rsidRPr="00380B8D">
        <w:rPr>
          <w:rFonts w:ascii="Arial" w:hAnsi="Arial"/>
          <w:color w:val="212121"/>
          <w:sz w:val="22"/>
        </w:rPr>
        <w:t xml:space="preserve">The Trust is required to process information (personal and corporate) in line with the standards set out in statute, </w:t>
      </w:r>
      <w:proofErr w:type="gramStart"/>
      <w:r w:rsidRPr="00380B8D">
        <w:rPr>
          <w:rFonts w:ascii="Arial" w:hAnsi="Arial"/>
          <w:color w:val="212121"/>
          <w:sz w:val="22"/>
        </w:rPr>
        <w:t>regulation</w:t>
      </w:r>
      <w:proofErr w:type="gramEnd"/>
      <w:r w:rsidRPr="00380B8D">
        <w:rPr>
          <w:rFonts w:ascii="Arial" w:hAnsi="Arial"/>
          <w:color w:val="212121"/>
          <w:sz w:val="22"/>
        </w:rPr>
        <w:t xml:space="preserve"> and guidance. Information governance at Moorfields includes strategy, policy and procedures that enable staff to handle information in line with these requirements. Annual data security awareness training is mandatory for all staff.  </w:t>
      </w:r>
      <w:r w:rsidRPr="00380B8D">
        <w:rPr>
          <w:rFonts w:ascii="Arial" w:hAnsi="Arial"/>
          <w:sz w:val="22"/>
        </w:rPr>
        <w:t xml:space="preserve">During </w:t>
      </w:r>
      <w:r w:rsidRPr="00380B8D">
        <w:rPr>
          <w:rFonts w:ascii="Arial" w:hAnsi="Arial"/>
          <w:color w:val="212121"/>
          <w:sz w:val="22"/>
        </w:rPr>
        <w:t xml:space="preserve">2021/22 (as in previous years) Moorfields achieved close to the target 95% of staff completing their training, a leading national performance.  </w:t>
      </w:r>
    </w:p>
    <w:p w14:paraId="0AE16177" w14:textId="77777777" w:rsidR="00791C1B" w:rsidRPr="00380B8D" w:rsidRDefault="00791C1B" w:rsidP="00FB6278">
      <w:pPr>
        <w:pStyle w:val="MEHArial"/>
        <w:jc w:val="both"/>
        <w:rPr>
          <w:sz w:val="22"/>
        </w:rPr>
      </w:pPr>
      <w:r w:rsidRPr="00380B8D">
        <w:rPr>
          <w:color w:val="212121"/>
          <w:sz w:val="22"/>
        </w:rPr>
        <w:t xml:space="preserve">The DSPT annual submission is used to demonstrate compliance with IG standards and the national Data Security Standards. For 2020/21 the </w:t>
      </w:r>
      <w:r w:rsidRPr="00380B8D">
        <w:rPr>
          <w:sz w:val="22"/>
        </w:rPr>
        <w:t xml:space="preserve">date of the annual submission changed nationally from 30 April to 30 June 2021. The trust submitted a </w:t>
      </w:r>
      <w:proofErr w:type="gramStart"/>
      <w:r w:rsidRPr="00380B8D">
        <w:rPr>
          <w:sz w:val="22"/>
        </w:rPr>
        <w:t>standards</w:t>
      </w:r>
      <w:proofErr w:type="gramEnd"/>
      <w:r w:rsidRPr="00380B8D">
        <w:rPr>
          <w:sz w:val="22"/>
        </w:rPr>
        <w:t xml:space="preserve"> met return for all mandatory items. The DSPT internal audit for 2021/22 commenced 9 May 2022 and the annual submission will take place by 30 June 2022.</w:t>
      </w:r>
    </w:p>
    <w:p w14:paraId="0364D991" w14:textId="77777777" w:rsidR="00791C1B" w:rsidRPr="00380B8D" w:rsidRDefault="00791C1B" w:rsidP="00FB6278">
      <w:pPr>
        <w:pStyle w:val="MEHArial"/>
        <w:jc w:val="both"/>
        <w:rPr>
          <w:color w:val="1F497D"/>
          <w:sz w:val="22"/>
        </w:rPr>
      </w:pPr>
      <w:bookmarkStart w:id="9" w:name="_Hlk102545885"/>
      <w:r w:rsidRPr="00380B8D">
        <w:rPr>
          <w:sz w:val="22"/>
        </w:rPr>
        <w:t>The trust reported one data related incident to the Information Commissioner’s Office (ICO) within the year. This related to investigation of a patient referral system where referrals were not monitored</w:t>
      </w:r>
      <w:r w:rsidRPr="00380B8D">
        <w:rPr>
          <w:b/>
          <w:sz w:val="22"/>
        </w:rPr>
        <w:t xml:space="preserve"> </w:t>
      </w:r>
      <w:r w:rsidRPr="00380B8D">
        <w:rPr>
          <w:sz w:val="22"/>
        </w:rPr>
        <w:t xml:space="preserve">closely or processed efficiently. This incident remains under investigation by the ICO. </w:t>
      </w:r>
    </w:p>
    <w:bookmarkEnd w:id="9"/>
    <w:p w14:paraId="39A58B80" w14:textId="77777777" w:rsidR="00E45051" w:rsidRDefault="00E45051" w:rsidP="00FB6278">
      <w:pPr>
        <w:pStyle w:val="Heading3"/>
        <w:jc w:val="both"/>
        <w:rPr>
          <w:sz w:val="22"/>
        </w:rPr>
      </w:pPr>
    </w:p>
    <w:p w14:paraId="4EFB4027" w14:textId="0BAAFC81" w:rsidR="00791C1B" w:rsidRDefault="00791C1B" w:rsidP="00FB6278">
      <w:pPr>
        <w:pStyle w:val="Heading3"/>
        <w:jc w:val="both"/>
        <w:rPr>
          <w:sz w:val="22"/>
        </w:rPr>
      </w:pPr>
      <w:r w:rsidRPr="00380B8D">
        <w:rPr>
          <w:sz w:val="22"/>
        </w:rPr>
        <w:t>Workforce</w:t>
      </w:r>
    </w:p>
    <w:p w14:paraId="704A1F3D" w14:textId="77777777" w:rsidR="005643C6" w:rsidRPr="00CD4F89" w:rsidRDefault="005643C6" w:rsidP="00FB6278"/>
    <w:p w14:paraId="17D90604" w14:textId="3572CCB6" w:rsidR="00791C1B" w:rsidRPr="00380B8D" w:rsidRDefault="00791C1B" w:rsidP="00FB6278">
      <w:pPr>
        <w:pStyle w:val="NoSpacing"/>
        <w:jc w:val="both"/>
        <w:rPr>
          <w:rFonts w:ascii="Arial" w:hAnsi="Arial"/>
          <w:color w:val="212121"/>
        </w:rPr>
      </w:pPr>
      <w:r w:rsidRPr="00380B8D">
        <w:rPr>
          <w:rFonts w:ascii="Arial" w:hAnsi="Arial"/>
          <w:color w:val="212121"/>
        </w:rPr>
        <w:t>The board receives regular reports on staffing issues, such as the guardian of safe working repor</w:t>
      </w:r>
      <w:r w:rsidR="002B3BEB">
        <w:rPr>
          <w:rFonts w:ascii="Arial" w:hAnsi="Arial"/>
          <w:color w:val="212121"/>
        </w:rPr>
        <w:t>t</w:t>
      </w:r>
      <w:r w:rsidRPr="00380B8D">
        <w:rPr>
          <w:rFonts w:ascii="Arial" w:hAnsi="Arial"/>
          <w:color w:val="212121"/>
        </w:rPr>
        <w:t xml:space="preserve"> and the staff survey. Safer staffing levels are also reported through the monthly integrated performance report. The board has a workforce strategy that includes </w:t>
      </w:r>
      <w:proofErr w:type="gramStart"/>
      <w:r w:rsidRPr="00380B8D">
        <w:rPr>
          <w:rFonts w:ascii="Arial" w:hAnsi="Arial"/>
          <w:color w:val="212121"/>
        </w:rPr>
        <w:t>short, medium and long term</w:t>
      </w:r>
      <w:proofErr w:type="gramEnd"/>
      <w:r w:rsidRPr="00380B8D">
        <w:rPr>
          <w:rFonts w:ascii="Arial" w:hAnsi="Arial"/>
          <w:color w:val="212121"/>
        </w:rPr>
        <w:t xml:space="preserve"> objectives. </w:t>
      </w:r>
    </w:p>
    <w:p w14:paraId="7BC885DD" w14:textId="355B9A72" w:rsidR="00791C1B" w:rsidRDefault="00791C1B" w:rsidP="00FB6278">
      <w:pPr>
        <w:pStyle w:val="Heading3"/>
        <w:jc w:val="both"/>
        <w:rPr>
          <w:sz w:val="22"/>
        </w:rPr>
      </w:pPr>
      <w:r w:rsidRPr="00380B8D">
        <w:rPr>
          <w:sz w:val="22"/>
        </w:rPr>
        <w:t>Data quality and governance</w:t>
      </w:r>
    </w:p>
    <w:p w14:paraId="1640D737" w14:textId="77777777" w:rsidR="005643C6" w:rsidRPr="00CD4F89" w:rsidRDefault="005643C6" w:rsidP="00FB6278"/>
    <w:p w14:paraId="56C47B40" w14:textId="77777777" w:rsidR="00791C1B" w:rsidRPr="00380B8D" w:rsidRDefault="00791C1B" w:rsidP="00FB6278">
      <w:pPr>
        <w:pStyle w:val="NoSpacing"/>
        <w:jc w:val="both"/>
        <w:rPr>
          <w:rFonts w:ascii="Arial" w:hAnsi="Arial"/>
        </w:rPr>
      </w:pPr>
      <w:r w:rsidRPr="00380B8D">
        <w:rPr>
          <w:rFonts w:ascii="Arial" w:hAnsi="Arial"/>
          <w:color w:val="212121"/>
        </w:rPr>
        <w:t xml:space="preserve">The trust has a comprehensive data quality assurance framework which reviews organisational data capture processes and identifies any issues. The data covered includes the trust’s key indicators and those that are included in the quality report. The framework works as an integral part of the trust’s data quality policy and strategy and is underpinned by an audit function for ensuring compliance with national data completeness targets, an area in which the trust performs extremely well. Process audits, which utilise ISO9000 methodology, are also undertaken to ensure the compliance with standard operating procedures for the collection, collation and submission of data and these audits are currently being expanded across the trust. Similar audits are also undertaken by a dedicated RTT team to specifically ensure the accuracy of patient waiting times and reduce risks to patients. </w:t>
      </w:r>
      <w:proofErr w:type="gramStart"/>
      <w:r w:rsidRPr="00380B8D">
        <w:rPr>
          <w:rFonts w:ascii="Arial" w:hAnsi="Arial"/>
          <w:color w:val="212121"/>
        </w:rPr>
        <w:t>All of</w:t>
      </w:r>
      <w:proofErr w:type="gramEnd"/>
      <w:r w:rsidRPr="00380B8D">
        <w:rPr>
          <w:rFonts w:ascii="Arial" w:hAnsi="Arial"/>
          <w:color w:val="212121"/>
        </w:rPr>
        <w:t xml:space="preserve"> this activity is overseen by the information management and data quality group which reports to the information governance committee.</w:t>
      </w:r>
    </w:p>
    <w:p w14:paraId="4AB92BC7" w14:textId="5CD5B6E3" w:rsidR="00791C1B" w:rsidRDefault="00791C1B" w:rsidP="00FB6278">
      <w:pPr>
        <w:pStyle w:val="Heading3"/>
        <w:jc w:val="both"/>
        <w:rPr>
          <w:sz w:val="22"/>
        </w:rPr>
      </w:pPr>
      <w:r w:rsidRPr="00380B8D">
        <w:rPr>
          <w:sz w:val="22"/>
        </w:rPr>
        <w:t>Review of effectiveness</w:t>
      </w:r>
    </w:p>
    <w:p w14:paraId="0DD6006E" w14:textId="77777777" w:rsidR="005643C6" w:rsidRPr="00CD4F89" w:rsidRDefault="005643C6" w:rsidP="00FB6278"/>
    <w:p w14:paraId="3CD14FDA" w14:textId="17A56DD1" w:rsidR="00791C1B" w:rsidRPr="00380B8D" w:rsidRDefault="00791C1B" w:rsidP="00FB6278">
      <w:pPr>
        <w:jc w:val="both"/>
        <w:rPr>
          <w:rFonts w:ascii="Arial" w:hAnsi="Arial"/>
          <w:sz w:val="22"/>
        </w:rPr>
      </w:pPr>
      <w:r w:rsidRPr="00380B8D">
        <w:rPr>
          <w:rFonts w:ascii="Arial" w:hAnsi="Arial"/>
          <w:sz w:val="22"/>
        </w:rPr>
        <w:t xml:space="preserve">As accounting officer, I have responsibility for reviewing the effectiveness of the system of internal control. My review of the effectiveness of the system of internal control is informed by the work of the internal auditors, clinical audit and the executive managers and clinical leads within the NHS </w:t>
      </w:r>
      <w:r w:rsidR="00CC3696" w:rsidRPr="00380B8D">
        <w:rPr>
          <w:rFonts w:ascii="Arial" w:hAnsi="Arial" w:cs="Arial"/>
          <w:sz w:val="22"/>
          <w:szCs w:val="22"/>
        </w:rPr>
        <w:t>F</w:t>
      </w:r>
      <w:r w:rsidRPr="00380B8D">
        <w:rPr>
          <w:rFonts w:ascii="Arial" w:hAnsi="Arial" w:cs="Arial"/>
          <w:sz w:val="22"/>
          <w:szCs w:val="22"/>
        </w:rPr>
        <w:t xml:space="preserve">oundation </w:t>
      </w:r>
      <w:r w:rsidR="00CC3696" w:rsidRPr="00380B8D">
        <w:rPr>
          <w:rFonts w:ascii="Arial" w:hAnsi="Arial" w:cs="Arial"/>
          <w:sz w:val="22"/>
          <w:szCs w:val="22"/>
        </w:rPr>
        <w:t>T</w:t>
      </w:r>
      <w:r w:rsidRPr="00380B8D">
        <w:rPr>
          <w:rFonts w:ascii="Arial" w:hAnsi="Arial" w:cs="Arial"/>
          <w:sz w:val="22"/>
          <w:szCs w:val="22"/>
        </w:rPr>
        <w:t>rust</w:t>
      </w:r>
      <w:r w:rsidRPr="00380B8D">
        <w:rPr>
          <w:rFonts w:ascii="Arial" w:hAnsi="Arial"/>
          <w:sz w:val="22"/>
        </w:rPr>
        <w:t xml:space="preserve"> who have responsibility for the development and maintenance of the internal control framework. I have drawn on performance information available to me. My review is also informed by comments made by the external auditors in their management letter and other reports. I have been advised on the implications of the result of my review of the effectiveness of the system of internal control by the board, the audit and risk committee and the quality and safety committee and a plan to address weaknesses and ensure continuous improvement of the system is in place.</w:t>
      </w:r>
    </w:p>
    <w:p w14:paraId="44F140E0" w14:textId="51313377" w:rsidR="00791C1B" w:rsidRPr="00380B8D" w:rsidRDefault="00791C1B" w:rsidP="00FB6278">
      <w:pPr>
        <w:pStyle w:val="MEHArial"/>
        <w:jc w:val="both"/>
        <w:rPr>
          <w:sz w:val="22"/>
        </w:rPr>
      </w:pPr>
      <w:r w:rsidRPr="00380B8D">
        <w:rPr>
          <w:sz w:val="22"/>
        </w:rPr>
        <w:t xml:space="preserve">My review of the effectiveness of the systems of internal controls has been informed by the outputs and the outcomes of the systems themselves </w:t>
      </w:r>
      <w:r w:rsidR="0066712A" w:rsidRPr="00380B8D">
        <w:rPr>
          <w:sz w:val="22"/>
        </w:rPr>
        <w:t>and</w:t>
      </w:r>
      <w:r w:rsidRPr="00380B8D">
        <w:rPr>
          <w:sz w:val="22"/>
        </w:rPr>
        <w:t xml:space="preserve"> by the executive directors and managers within the organisation. Internal audit provides me with an opinion about the effectiveness of the assurance framework and the internal audit plan. Work undertaken by internal audit is reviewed by the audit and risk committee.</w:t>
      </w:r>
    </w:p>
    <w:p w14:paraId="7652B3AE" w14:textId="77777777" w:rsidR="00791C1B" w:rsidRPr="00380B8D" w:rsidRDefault="00791C1B" w:rsidP="00FB6278">
      <w:pPr>
        <w:pStyle w:val="Heading3"/>
        <w:jc w:val="both"/>
        <w:rPr>
          <w:sz w:val="22"/>
        </w:rPr>
      </w:pPr>
      <w:r w:rsidRPr="00380B8D">
        <w:rPr>
          <w:sz w:val="22"/>
        </w:rPr>
        <w:t>The process that has been applied in maintaining and reviewing the effectiveness of the system of internal controls has involved:</w:t>
      </w:r>
    </w:p>
    <w:p w14:paraId="5DC40009" w14:textId="77777777" w:rsidR="00791C1B" w:rsidRPr="00380B8D" w:rsidRDefault="00791C1B" w:rsidP="00FB6278">
      <w:pPr>
        <w:pStyle w:val="MEHArial"/>
        <w:numPr>
          <w:ilvl w:val="0"/>
          <w:numId w:val="5"/>
        </w:numPr>
        <w:jc w:val="both"/>
        <w:rPr>
          <w:sz w:val="22"/>
        </w:rPr>
      </w:pPr>
      <w:r w:rsidRPr="00380B8D">
        <w:rPr>
          <w:sz w:val="22"/>
        </w:rPr>
        <w:t xml:space="preserve">the trust board’s work programme which includes ensuring that the key compliance and regulatory requirements are reported and reviewed, and that the key risks are considered which are collated through the board assurance framework </w:t>
      </w:r>
    </w:p>
    <w:p w14:paraId="434253C7" w14:textId="77777777" w:rsidR="00791C1B" w:rsidRPr="00380B8D" w:rsidRDefault="00791C1B" w:rsidP="00FB6278">
      <w:pPr>
        <w:pStyle w:val="MEHArial"/>
        <w:numPr>
          <w:ilvl w:val="0"/>
          <w:numId w:val="5"/>
        </w:numPr>
        <w:jc w:val="both"/>
        <w:rPr>
          <w:sz w:val="22"/>
        </w:rPr>
      </w:pPr>
      <w:r w:rsidRPr="00380B8D">
        <w:rPr>
          <w:sz w:val="22"/>
        </w:rPr>
        <w:t xml:space="preserve">the audit and risk committee providing the board with independent review of financial and system controls. There has been a programme of internal audit to review the systems, controls and processes and the outcomes of these reports have been reviewed by the audit and risk committee. </w:t>
      </w:r>
    </w:p>
    <w:p w14:paraId="6294D275" w14:textId="77777777" w:rsidR="00791C1B" w:rsidRPr="00380B8D" w:rsidRDefault="00791C1B" w:rsidP="00FB6278">
      <w:pPr>
        <w:pStyle w:val="MEHArial"/>
        <w:numPr>
          <w:ilvl w:val="0"/>
          <w:numId w:val="5"/>
        </w:numPr>
        <w:jc w:val="both"/>
        <w:rPr>
          <w:sz w:val="22"/>
        </w:rPr>
      </w:pPr>
      <w:r w:rsidRPr="00380B8D">
        <w:rPr>
          <w:sz w:val="22"/>
        </w:rPr>
        <w:t>review of progress in meeting the Care Quality Commission’s standards by divisional teams and the trust management committee</w:t>
      </w:r>
    </w:p>
    <w:p w14:paraId="025AB231" w14:textId="77777777" w:rsidR="00791C1B" w:rsidRPr="00380B8D" w:rsidRDefault="00791C1B" w:rsidP="00FB6278">
      <w:pPr>
        <w:pStyle w:val="MEHArial"/>
        <w:numPr>
          <w:ilvl w:val="0"/>
          <w:numId w:val="5"/>
        </w:numPr>
        <w:jc w:val="both"/>
        <w:rPr>
          <w:sz w:val="22"/>
        </w:rPr>
      </w:pPr>
      <w:r w:rsidRPr="00380B8D">
        <w:rPr>
          <w:sz w:val="22"/>
        </w:rPr>
        <w:t>review of serious untoward and other incidents by the board and the quality and safety committee</w:t>
      </w:r>
    </w:p>
    <w:p w14:paraId="6C72B38D" w14:textId="67902B47" w:rsidR="00791C1B" w:rsidRPr="00380B8D" w:rsidRDefault="00791C1B" w:rsidP="00FB6278">
      <w:pPr>
        <w:autoSpaceDE w:val="0"/>
        <w:autoSpaceDN w:val="0"/>
        <w:adjustRightInd w:val="0"/>
        <w:jc w:val="both"/>
        <w:rPr>
          <w:rFonts w:ascii="Arial" w:hAnsi="Arial"/>
          <w:sz w:val="22"/>
        </w:rPr>
      </w:pPr>
      <w:r w:rsidRPr="00380B8D">
        <w:rPr>
          <w:rFonts w:ascii="Arial" w:hAnsi="Arial"/>
          <w:sz w:val="22"/>
        </w:rPr>
        <w:t xml:space="preserve">The overall opinion from the head of internal audit for the period 1 April 2021 </w:t>
      </w:r>
      <w:r w:rsidR="0066712A">
        <w:rPr>
          <w:rFonts w:ascii="Arial" w:hAnsi="Arial"/>
          <w:sz w:val="22"/>
        </w:rPr>
        <w:t xml:space="preserve">to </w:t>
      </w:r>
      <w:r w:rsidRPr="00380B8D">
        <w:rPr>
          <w:rFonts w:ascii="Arial" w:hAnsi="Arial"/>
          <w:sz w:val="22"/>
        </w:rPr>
        <w:t xml:space="preserve">31 March 2022 is that ‘the organisation has an adequate and effective framework for risk management, governance and </w:t>
      </w:r>
      <w:r w:rsidRPr="00380B8D">
        <w:rPr>
          <w:rFonts w:ascii="Arial" w:hAnsi="Arial"/>
          <w:sz w:val="22"/>
        </w:rPr>
        <w:lastRenderedPageBreak/>
        <w:t>internal control’, however further enhancements were identified to ensure that it remains adequate and effective.</w:t>
      </w:r>
    </w:p>
    <w:p w14:paraId="075F1972" w14:textId="77777777" w:rsidR="00791C1B" w:rsidRPr="00380B8D" w:rsidRDefault="00791C1B" w:rsidP="00FB6278">
      <w:pPr>
        <w:autoSpaceDE w:val="0"/>
        <w:autoSpaceDN w:val="0"/>
        <w:adjustRightInd w:val="0"/>
        <w:jc w:val="both"/>
        <w:rPr>
          <w:rFonts w:ascii="Arial" w:hAnsi="Arial"/>
          <w:sz w:val="22"/>
        </w:rPr>
      </w:pPr>
    </w:p>
    <w:p w14:paraId="665FE023" w14:textId="03044B96" w:rsidR="00791C1B" w:rsidRDefault="00791C1B" w:rsidP="00FB6278">
      <w:pPr>
        <w:autoSpaceDE w:val="0"/>
        <w:autoSpaceDN w:val="0"/>
        <w:adjustRightInd w:val="0"/>
        <w:jc w:val="both"/>
        <w:rPr>
          <w:rFonts w:ascii="Arial" w:hAnsi="Arial"/>
          <w:color w:val="000000"/>
          <w:sz w:val="22"/>
        </w:rPr>
      </w:pPr>
      <w:r w:rsidRPr="00380B8D">
        <w:rPr>
          <w:rFonts w:ascii="Arial" w:hAnsi="Arial"/>
          <w:color w:val="000000"/>
          <w:sz w:val="22"/>
        </w:rPr>
        <w:t xml:space="preserve">This opinion covers the period 1 April 2021 to 31 March 2022 </w:t>
      </w:r>
      <w:proofErr w:type="gramStart"/>
      <w:r w:rsidRPr="00380B8D">
        <w:rPr>
          <w:rFonts w:ascii="Arial" w:hAnsi="Arial"/>
          <w:color w:val="000000"/>
          <w:sz w:val="22"/>
        </w:rPr>
        <w:t>inclusive, and</w:t>
      </w:r>
      <w:proofErr w:type="gramEnd"/>
      <w:r w:rsidRPr="00380B8D">
        <w:rPr>
          <w:rFonts w:ascii="Arial" w:hAnsi="Arial"/>
          <w:color w:val="000000"/>
          <w:sz w:val="22"/>
        </w:rPr>
        <w:t xml:space="preserve"> is based on the eight audits that were completed in this period.</w:t>
      </w:r>
    </w:p>
    <w:p w14:paraId="072681A0" w14:textId="77777777" w:rsidR="00791C1B" w:rsidRPr="00380B8D" w:rsidRDefault="00791C1B" w:rsidP="00FB6278">
      <w:pPr>
        <w:autoSpaceDE w:val="0"/>
        <w:autoSpaceDN w:val="0"/>
        <w:adjustRightInd w:val="0"/>
        <w:jc w:val="both"/>
        <w:rPr>
          <w:rFonts w:ascii="Arial" w:hAnsi="Arial"/>
          <w:color w:val="000000"/>
          <w:sz w:val="22"/>
        </w:rPr>
      </w:pPr>
    </w:p>
    <w:p w14:paraId="6B47819B" w14:textId="0B782176" w:rsidR="00791C1B" w:rsidRPr="00E727AF" w:rsidRDefault="00791C1B" w:rsidP="00FB6278">
      <w:pPr>
        <w:autoSpaceDE w:val="0"/>
        <w:autoSpaceDN w:val="0"/>
        <w:adjustRightInd w:val="0"/>
        <w:jc w:val="both"/>
        <w:rPr>
          <w:rFonts w:ascii="Arial" w:hAnsi="Arial"/>
          <w:b/>
          <w:sz w:val="22"/>
        </w:rPr>
      </w:pPr>
      <w:r w:rsidRPr="00380B8D">
        <w:rPr>
          <w:rFonts w:ascii="Arial" w:hAnsi="Arial"/>
          <w:b/>
          <w:sz w:val="22"/>
        </w:rPr>
        <w:t xml:space="preserve">The design and operation of the </w:t>
      </w:r>
      <w:r w:rsidR="00CC3696" w:rsidRPr="00380B8D">
        <w:rPr>
          <w:rFonts w:ascii="Arial" w:hAnsi="Arial" w:cs="Arial"/>
          <w:b/>
          <w:bCs/>
          <w:sz w:val="22"/>
          <w:szCs w:val="22"/>
          <w:lang w:eastAsia="ja-JP"/>
        </w:rPr>
        <w:t>a</w:t>
      </w:r>
      <w:r w:rsidRPr="00380B8D">
        <w:rPr>
          <w:rFonts w:ascii="Arial" w:hAnsi="Arial" w:cs="Arial"/>
          <w:b/>
          <w:bCs/>
          <w:sz w:val="22"/>
          <w:szCs w:val="22"/>
          <w:lang w:eastAsia="ja-JP"/>
        </w:rPr>
        <w:t xml:space="preserve">ssurance </w:t>
      </w:r>
      <w:r w:rsidR="00CC3696" w:rsidRPr="00380B8D">
        <w:rPr>
          <w:rFonts w:ascii="Arial" w:hAnsi="Arial" w:cs="Arial"/>
          <w:b/>
          <w:bCs/>
          <w:sz w:val="22"/>
          <w:szCs w:val="22"/>
          <w:lang w:eastAsia="ja-JP"/>
        </w:rPr>
        <w:t>f</w:t>
      </w:r>
      <w:r w:rsidRPr="00380B8D">
        <w:rPr>
          <w:rFonts w:ascii="Arial" w:hAnsi="Arial" w:cs="Arial"/>
          <w:b/>
          <w:bCs/>
          <w:sz w:val="22"/>
          <w:szCs w:val="22"/>
          <w:lang w:eastAsia="ja-JP"/>
        </w:rPr>
        <w:t>ramework</w:t>
      </w:r>
      <w:r w:rsidRPr="00E727AF">
        <w:rPr>
          <w:rFonts w:ascii="Arial" w:hAnsi="Arial"/>
          <w:b/>
          <w:sz w:val="22"/>
        </w:rPr>
        <w:t xml:space="preserve"> and associated processes</w:t>
      </w:r>
    </w:p>
    <w:p w14:paraId="31441723" w14:textId="77777777" w:rsidR="00791C1B" w:rsidRPr="00E727AF" w:rsidRDefault="00791C1B" w:rsidP="00FB6278">
      <w:pPr>
        <w:autoSpaceDE w:val="0"/>
        <w:autoSpaceDN w:val="0"/>
        <w:adjustRightInd w:val="0"/>
        <w:jc w:val="both"/>
        <w:rPr>
          <w:rFonts w:ascii="Arial" w:hAnsi="Arial"/>
          <w:color w:val="000000"/>
          <w:sz w:val="22"/>
        </w:rPr>
      </w:pPr>
      <w:r w:rsidRPr="00E727AF">
        <w:rPr>
          <w:rFonts w:ascii="Arial" w:hAnsi="Arial"/>
          <w:color w:val="000000"/>
          <w:sz w:val="22"/>
        </w:rPr>
        <w:t>The trust’s assurance framework does reflect the trust’s key objectives and risks and is regularly reviewed by the board. The audit and risk committee and executive reviews the assurance framework on a quarterly basis and the provide reviews as to whether the trust’s risk management procedures are operating effectively.</w:t>
      </w:r>
    </w:p>
    <w:p w14:paraId="1C386F10" w14:textId="77777777" w:rsidR="00791C1B" w:rsidRPr="00E727AF" w:rsidRDefault="00791C1B" w:rsidP="00FB6278">
      <w:pPr>
        <w:autoSpaceDE w:val="0"/>
        <w:autoSpaceDN w:val="0"/>
        <w:adjustRightInd w:val="0"/>
        <w:jc w:val="both"/>
        <w:rPr>
          <w:rFonts w:ascii="Arial" w:hAnsi="Arial"/>
          <w:color w:val="000000"/>
          <w:sz w:val="22"/>
        </w:rPr>
      </w:pPr>
    </w:p>
    <w:p w14:paraId="3C096805" w14:textId="77777777" w:rsidR="00791C1B" w:rsidRPr="00E727AF" w:rsidRDefault="00791C1B" w:rsidP="00FB6278">
      <w:pPr>
        <w:autoSpaceDE w:val="0"/>
        <w:autoSpaceDN w:val="0"/>
        <w:adjustRightInd w:val="0"/>
        <w:jc w:val="both"/>
        <w:rPr>
          <w:rFonts w:ascii="Arial" w:hAnsi="Arial"/>
          <w:sz w:val="22"/>
        </w:rPr>
      </w:pPr>
      <w:r w:rsidRPr="00E727AF">
        <w:rPr>
          <w:rFonts w:ascii="Arial" w:hAnsi="Arial"/>
          <w:sz w:val="22"/>
        </w:rPr>
        <w:t>The range of individual opinions arising from risk-based audit assignments are contained within our risk-based plans that have been reported throughout the year</w:t>
      </w:r>
    </w:p>
    <w:p w14:paraId="4FE84BED" w14:textId="77777777" w:rsidR="00791C1B" w:rsidRPr="00E727AF" w:rsidRDefault="00791C1B" w:rsidP="00FB6278">
      <w:pPr>
        <w:autoSpaceDE w:val="0"/>
        <w:autoSpaceDN w:val="0"/>
        <w:adjustRightInd w:val="0"/>
        <w:jc w:val="both"/>
        <w:rPr>
          <w:rFonts w:ascii="Arial" w:hAnsi="Arial"/>
          <w:color w:val="000000"/>
          <w:sz w:val="22"/>
        </w:rPr>
      </w:pPr>
    </w:p>
    <w:p w14:paraId="1DB5A136" w14:textId="4689DD91" w:rsidR="00791C1B" w:rsidRDefault="00791C1B" w:rsidP="00FB6278">
      <w:pPr>
        <w:pStyle w:val="MEHArial"/>
        <w:spacing w:before="0" w:after="0"/>
        <w:jc w:val="both"/>
        <w:rPr>
          <w:b/>
          <w:sz w:val="22"/>
        </w:rPr>
      </w:pPr>
      <w:r w:rsidRPr="00E727AF">
        <w:rPr>
          <w:b/>
          <w:sz w:val="22"/>
        </w:rPr>
        <w:t>Conclusion</w:t>
      </w:r>
    </w:p>
    <w:p w14:paraId="3205EA2E" w14:textId="77777777" w:rsidR="005643C6" w:rsidRPr="00E727AF" w:rsidRDefault="005643C6" w:rsidP="00FB6278">
      <w:pPr>
        <w:pStyle w:val="MEHArial"/>
        <w:spacing w:before="0" w:after="0"/>
        <w:jc w:val="both"/>
        <w:rPr>
          <w:b/>
          <w:sz w:val="22"/>
        </w:rPr>
      </w:pPr>
    </w:p>
    <w:p w14:paraId="162EC158" w14:textId="77777777" w:rsidR="00791C1B" w:rsidRPr="00E727AF" w:rsidRDefault="00791C1B" w:rsidP="00FB6278">
      <w:pPr>
        <w:rPr>
          <w:rFonts w:ascii="Arial" w:hAnsi="Arial"/>
          <w:sz w:val="22"/>
        </w:rPr>
      </w:pPr>
      <w:r w:rsidRPr="00E727AF">
        <w:rPr>
          <w:rFonts w:ascii="Arial" w:hAnsi="Arial"/>
          <w:sz w:val="22"/>
        </w:rPr>
        <w:t xml:space="preserve">The board has a wide range of governance assurance systems in place. These include an effective incident reporting system and systems for the identification and control of risk through the board assurance framework. Internal and external audit reviews, audits and inspections and walkabouts provide sufficient evidence that no significant internal control issues have been identified during 2021/22 and that control systems are fit for purpose with potential areas for improvement </w:t>
      </w:r>
    </w:p>
    <w:p w14:paraId="4363FF63" w14:textId="5D5530F3" w:rsidR="006C6152" w:rsidRPr="00E727AF" w:rsidRDefault="006C6152" w:rsidP="00FB6278">
      <w:pPr>
        <w:rPr>
          <w:rFonts w:ascii="Arial" w:hAnsi="Arial"/>
          <w:sz w:val="22"/>
        </w:rPr>
      </w:pPr>
    </w:p>
    <w:p w14:paraId="0EA7E6E6" w14:textId="350400F8" w:rsidR="0066712A" w:rsidRPr="00E727AF" w:rsidRDefault="0066712A" w:rsidP="00FB6278">
      <w:pPr>
        <w:rPr>
          <w:rFonts w:ascii="Arial" w:hAnsi="Arial"/>
          <w:sz w:val="22"/>
        </w:rPr>
      </w:pPr>
    </w:p>
    <w:p w14:paraId="11D93E8E" w14:textId="00C34ED1" w:rsidR="0089423D" w:rsidRPr="00E727AF" w:rsidRDefault="0066712A" w:rsidP="00FB6278">
      <w:pPr>
        <w:pStyle w:val="MEHArial"/>
        <w:spacing w:before="0" w:after="0"/>
        <w:rPr>
          <w:b/>
          <w:sz w:val="22"/>
        </w:rPr>
      </w:pPr>
      <w:r>
        <w:rPr>
          <w:b/>
          <w:sz w:val="22"/>
        </w:rPr>
        <w:t xml:space="preserve">Dr </w:t>
      </w:r>
      <w:r w:rsidR="0089423D" w:rsidRPr="00E727AF">
        <w:rPr>
          <w:b/>
          <w:sz w:val="22"/>
        </w:rPr>
        <w:t xml:space="preserve">Martin </w:t>
      </w:r>
      <w:proofErr w:type="spellStart"/>
      <w:r w:rsidR="0089423D" w:rsidRPr="00E727AF">
        <w:rPr>
          <w:b/>
          <w:sz w:val="22"/>
        </w:rPr>
        <w:t>Kuper</w:t>
      </w:r>
      <w:proofErr w:type="spellEnd"/>
    </w:p>
    <w:p w14:paraId="5641899A" w14:textId="77777777" w:rsidR="0089423D" w:rsidRPr="00E727AF" w:rsidRDefault="0089423D" w:rsidP="00FB6278">
      <w:pPr>
        <w:pStyle w:val="MEHArial"/>
        <w:spacing w:before="0" w:after="0"/>
        <w:rPr>
          <w:b/>
          <w:sz w:val="22"/>
        </w:rPr>
      </w:pPr>
      <w:r w:rsidRPr="00E727AF">
        <w:rPr>
          <w:b/>
          <w:sz w:val="22"/>
        </w:rPr>
        <w:t>Chief executive</w:t>
      </w:r>
    </w:p>
    <w:p w14:paraId="2B48C5BE" w14:textId="7945C3C8" w:rsidR="0089423D" w:rsidRPr="00E727AF" w:rsidRDefault="0089423D" w:rsidP="00FB6278">
      <w:pPr>
        <w:pStyle w:val="MEHArial"/>
        <w:spacing w:before="0" w:after="0"/>
        <w:rPr>
          <w:b/>
          <w:sz w:val="22"/>
        </w:rPr>
      </w:pPr>
      <w:r w:rsidRPr="00E727AF">
        <w:rPr>
          <w:b/>
          <w:sz w:val="22"/>
        </w:rPr>
        <w:t>2</w:t>
      </w:r>
      <w:r w:rsidR="00F32BD4">
        <w:rPr>
          <w:b/>
          <w:sz w:val="22"/>
        </w:rPr>
        <w:t>1</w:t>
      </w:r>
      <w:r w:rsidRPr="00E727AF">
        <w:rPr>
          <w:b/>
          <w:sz w:val="22"/>
        </w:rPr>
        <w:t xml:space="preserve"> June 2022</w:t>
      </w:r>
    </w:p>
    <w:p w14:paraId="4C0C605A" w14:textId="77777777" w:rsidR="0089423D" w:rsidRPr="00E727AF" w:rsidRDefault="0089423D">
      <w:pPr>
        <w:rPr>
          <w:rFonts w:ascii="Arial" w:hAnsi="Arial"/>
          <w:sz w:val="22"/>
        </w:rPr>
      </w:pPr>
    </w:p>
    <w:sectPr w:rsidR="0089423D" w:rsidRPr="00E727AF" w:rsidSect="001A07DD">
      <w:headerReference w:type="default" r:id="rId27"/>
      <w:pgSz w:w="11906" w:h="16838"/>
      <w:pgMar w:top="426" w:right="720" w:bottom="28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0E026" w14:textId="77777777" w:rsidR="001B6C1A" w:rsidRDefault="001B6C1A" w:rsidP="00B811F0">
      <w:r>
        <w:separator/>
      </w:r>
    </w:p>
  </w:endnote>
  <w:endnote w:type="continuationSeparator" w:id="0">
    <w:p w14:paraId="71D8D0F4" w14:textId="77777777" w:rsidR="001B6C1A" w:rsidRDefault="001B6C1A" w:rsidP="00B811F0">
      <w:r>
        <w:continuationSeparator/>
      </w:r>
    </w:p>
  </w:endnote>
  <w:endnote w:type="continuationNotice" w:id="1">
    <w:p w14:paraId="78859C63" w14:textId="77777777" w:rsidR="001B6C1A" w:rsidRDefault="001B6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Frutiger-Bold">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altName w:val="Calibri"/>
    <w:panose1 w:val="00000000000000000000"/>
    <w:charset w:val="00"/>
    <w:family w:val="auto"/>
    <w:notTrueType/>
    <w:pitch w:val="default"/>
    <w:sig w:usb0="00000003" w:usb1="00000000" w:usb2="00000000" w:usb3="00000000" w:csb0="00000001" w:csb1="00000000"/>
  </w:font>
  <w:font w:name="Frutiger-Light">
    <w:altName w:val="Frutiger"/>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95FB5" w14:textId="77777777" w:rsidR="00E45051" w:rsidRDefault="00E45051" w:rsidP="00E45051">
    <w:pPr>
      <w:pStyle w:val="Footer"/>
    </w:pPr>
  </w:p>
  <w:p w14:paraId="713D4F1A" w14:textId="77777777" w:rsidR="00E45051" w:rsidRDefault="00E45051">
    <w:pPr>
      <w:pStyle w:val="Footer"/>
      <w:jc w:val="right"/>
    </w:pPr>
  </w:p>
  <w:p w14:paraId="72A307C5" w14:textId="77777777" w:rsidR="00E45051" w:rsidRDefault="00E45051">
    <w:pPr>
      <w:pStyle w:val="Footer"/>
      <w:jc w:val="right"/>
    </w:pPr>
  </w:p>
  <w:sdt>
    <w:sdtPr>
      <w:id w:val="-1099334183"/>
      <w:docPartObj>
        <w:docPartGallery w:val="Page Numbers (Bottom of Page)"/>
        <w:docPartUnique/>
      </w:docPartObj>
    </w:sdtPr>
    <w:sdtEndPr>
      <w:rPr>
        <w:rFonts w:ascii="Arial" w:hAnsi="Arial" w:cs="Arial"/>
        <w:sz w:val="20"/>
        <w:szCs w:val="20"/>
      </w:rPr>
    </w:sdtEndPr>
    <w:sdtContent>
      <w:p w14:paraId="775BD134" w14:textId="59DC472A" w:rsidR="00E45051" w:rsidRPr="00E45051" w:rsidRDefault="00E45051" w:rsidP="00E45051">
        <w:pPr>
          <w:pStyle w:val="Footer"/>
          <w:jc w:val="right"/>
          <w:rPr>
            <w:rFonts w:ascii="Arial" w:hAnsi="Arial" w:cs="Arial"/>
            <w:sz w:val="20"/>
            <w:szCs w:val="20"/>
          </w:rPr>
        </w:pPr>
        <w:r w:rsidRPr="00E45051">
          <w:rPr>
            <w:rFonts w:ascii="Arial" w:hAnsi="Arial" w:cs="Arial"/>
            <w:sz w:val="20"/>
            <w:szCs w:val="20"/>
          </w:rPr>
          <w:fldChar w:fldCharType="begin"/>
        </w:r>
        <w:r w:rsidRPr="00E45051">
          <w:rPr>
            <w:rFonts w:ascii="Arial" w:hAnsi="Arial" w:cs="Arial"/>
            <w:sz w:val="20"/>
            <w:szCs w:val="20"/>
          </w:rPr>
          <w:instrText>PAGE   \* MERGEFORMAT</w:instrText>
        </w:r>
        <w:r w:rsidRPr="00E45051">
          <w:rPr>
            <w:rFonts w:ascii="Arial" w:hAnsi="Arial" w:cs="Arial"/>
            <w:sz w:val="20"/>
            <w:szCs w:val="20"/>
          </w:rPr>
          <w:fldChar w:fldCharType="separate"/>
        </w:r>
        <w:r w:rsidRPr="00E45051">
          <w:rPr>
            <w:rFonts w:ascii="Arial" w:hAnsi="Arial" w:cs="Arial"/>
            <w:sz w:val="20"/>
            <w:szCs w:val="20"/>
          </w:rPr>
          <w:t>2</w:t>
        </w:r>
        <w:r w:rsidRPr="00E45051">
          <w:rPr>
            <w:rFonts w:ascii="Arial" w:hAnsi="Arial" w:cs="Arial"/>
            <w:sz w:val="20"/>
            <w:szCs w:val="20"/>
          </w:rPr>
          <w:fldChar w:fldCharType="end"/>
        </w:r>
      </w:p>
    </w:sdtContent>
  </w:sdt>
  <w:p w14:paraId="02B3D7B1" w14:textId="77777777" w:rsidR="00E45051" w:rsidRDefault="00E45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E5F2B" w14:textId="77777777" w:rsidR="000A37A7" w:rsidRDefault="000A37A7" w:rsidP="00B811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BC3588" w14:textId="77777777" w:rsidR="000A37A7" w:rsidRDefault="000A37A7" w:rsidP="00B811F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682881"/>
      <w:docPartObj>
        <w:docPartGallery w:val="Page Numbers (Bottom of Page)"/>
        <w:docPartUnique/>
      </w:docPartObj>
    </w:sdtPr>
    <w:sdtEndPr>
      <w:rPr>
        <w:noProof/>
      </w:rPr>
    </w:sdtEndPr>
    <w:sdtContent>
      <w:p w14:paraId="51495B8A" w14:textId="30E0D692" w:rsidR="00B21A66" w:rsidRDefault="00B21A66">
        <w:pPr>
          <w:pStyle w:val="Footer"/>
          <w:jc w:val="right"/>
        </w:pPr>
        <w:r w:rsidRPr="001A07DD">
          <w:rPr>
            <w:rFonts w:ascii="Arial" w:hAnsi="Arial" w:cs="Arial"/>
            <w:sz w:val="20"/>
            <w:szCs w:val="20"/>
          </w:rPr>
          <w:fldChar w:fldCharType="begin"/>
        </w:r>
        <w:r w:rsidRPr="001A07DD">
          <w:rPr>
            <w:rFonts w:ascii="Arial" w:hAnsi="Arial" w:cs="Arial"/>
            <w:sz w:val="20"/>
            <w:szCs w:val="20"/>
          </w:rPr>
          <w:instrText xml:space="preserve"> PAGE   \* MERGEFORMAT </w:instrText>
        </w:r>
        <w:r w:rsidRPr="001A07DD">
          <w:rPr>
            <w:rFonts w:ascii="Arial" w:hAnsi="Arial" w:cs="Arial"/>
            <w:sz w:val="20"/>
            <w:szCs w:val="20"/>
          </w:rPr>
          <w:fldChar w:fldCharType="separate"/>
        </w:r>
        <w:r w:rsidRPr="001A07DD">
          <w:rPr>
            <w:rFonts w:ascii="Arial" w:hAnsi="Arial" w:cs="Arial"/>
            <w:noProof/>
            <w:sz w:val="20"/>
            <w:szCs w:val="20"/>
          </w:rPr>
          <w:t>2</w:t>
        </w:r>
        <w:r w:rsidRPr="001A07DD">
          <w:rPr>
            <w:rFonts w:ascii="Arial" w:hAnsi="Arial" w:cs="Arial"/>
            <w:noProof/>
            <w:sz w:val="20"/>
            <w:szCs w:val="20"/>
          </w:rPr>
          <w:fldChar w:fldCharType="end"/>
        </w:r>
      </w:p>
    </w:sdtContent>
  </w:sdt>
  <w:p w14:paraId="40071FE9" w14:textId="7EF90B73" w:rsidR="000A37A7" w:rsidRPr="00FF6DF8" w:rsidRDefault="000A37A7" w:rsidP="00FF6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91623" w14:textId="77777777" w:rsidR="001B6C1A" w:rsidRDefault="001B6C1A" w:rsidP="00B811F0">
      <w:r>
        <w:separator/>
      </w:r>
    </w:p>
  </w:footnote>
  <w:footnote w:type="continuationSeparator" w:id="0">
    <w:p w14:paraId="35E6523C" w14:textId="77777777" w:rsidR="001B6C1A" w:rsidRDefault="001B6C1A" w:rsidP="00B811F0">
      <w:r>
        <w:continuationSeparator/>
      </w:r>
    </w:p>
  </w:footnote>
  <w:footnote w:type="continuationNotice" w:id="1">
    <w:p w14:paraId="362E8C20" w14:textId="77777777" w:rsidR="001B6C1A" w:rsidRDefault="001B6C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CAA88" w14:textId="35902EAF" w:rsidR="00E45051" w:rsidRDefault="00E45051" w:rsidP="00E45051">
    <w:pPr>
      <w:pStyle w:val="Header"/>
    </w:pPr>
  </w:p>
  <w:p w14:paraId="3E3C3B2F" w14:textId="77777777" w:rsidR="00E45051" w:rsidRDefault="00E450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11963" w14:textId="77777777" w:rsidR="000A37A7" w:rsidRDefault="000A37A7">
    <w:pPr>
      <w:pStyle w:val="Header"/>
    </w:pPr>
  </w:p>
  <w:p w14:paraId="3EC7C3C1" w14:textId="77777777" w:rsidR="000A37A7" w:rsidRPr="00F32658" w:rsidRDefault="000A3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0C8B18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2E0F33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917C0C"/>
    <w:multiLevelType w:val="multilevel"/>
    <w:tmpl w:val="8460F8B0"/>
    <w:styleLink w:val="GT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Symbol" w:hAnsi="Symbol" w:hint="default"/>
        <w:color w:val="808080" w:themeColor="background1" w:themeShade="80"/>
      </w:rPr>
    </w:lvl>
    <w:lvl w:ilvl="2">
      <w:start w:val="1"/>
      <w:numFmt w:val="bullet"/>
      <w:pStyle w:val="TableBullet3"/>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3" w15:restartNumberingAfterBreak="0">
    <w:nsid w:val="091636B7"/>
    <w:multiLevelType w:val="hybridMultilevel"/>
    <w:tmpl w:val="75C20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F56A0"/>
    <w:multiLevelType w:val="hybridMultilevel"/>
    <w:tmpl w:val="24EA77A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11FA5F61"/>
    <w:multiLevelType w:val="hybridMultilevel"/>
    <w:tmpl w:val="95B4A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54AAD"/>
    <w:multiLevelType w:val="hybridMultilevel"/>
    <w:tmpl w:val="070A6B3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17E85DCE"/>
    <w:multiLevelType w:val="hybridMultilevel"/>
    <w:tmpl w:val="D28AA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E94760"/>
    <w:multiLevelType w:val="hybridMultilevel"/>
    <w:tmpl w:val="E0F4B220"/>
    <w:lvl w:ilvl="0" w:tplc="7E7E3376">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933704"/>
    <w:multiLevelType w:val="multilevel"/>
    <w:tmpl w:val="8460F8B0"/>
    <w:numStyleLink w:val="GTTableBullets"/>
  </w:abstractNum>
  <w:abstractNum w:abstractNumId="10" w15:restartNumberingAfterBreak="0">
    <w:nsid w:val="1B276BA8"/>
    <w:multiLevelType w:val="hybridMultilevel"/>
    <w:tmpl w:val="9E4EC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EE7D92"/>
    <w:multiLevelType w:val="hybridMultilevel"/>
    <w:tmpl w:val="20C47A5C"/>
    <w:lvl w:ilvl="0" w:tplc="B2B68E14">
      <w:start w:val="1"/>
      <w:numFmt w:val="decimal"/>
      <w:lvlText w:val="%1."/>
      <w:lvlJc w:val="left"/>
      <w:pPr>
        <w:ind w:left="-66" w:hanging="360"/>
      </w:pPr>
      <w:rPr>
        <w:rFonts w:hint="default"/>
        <w:b/>
        <w:bCs/>
        <w:sz w:val="28"/>
        <w:szCs w:val="28"/>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2" w15:restartNumberingAfterBreak="0">
    <w:nsid w:val="1F30330B"/>
    <w:multiLevelType w:val="hybridMultilevel"/>
    <w:tmpl w:val="CAF84AA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20115558"/>
    <w:multiLevelType w:val="hybridMultilevel"/>
    <w:tmpl w:val="BD5AD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1353AB"/>
    <w:multiLevelType w:val="hybridMultilevel"/>
    <w:tmpl w:val="5FDACC16"/>
    <w:lvl w:ilvl="0" w:tplc="1B16A112">
      <w:start w:val="1"/>
      <w:numFmt w:val="bullet"/>
      <w:pStyle w:val="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6E229E"/>
    <w:multiLevelType w:val="hybridMultilevel"/>
    <w:tmpl w:val="EAFED3E8"/>
    <w:lvl w:ilvl="0" w:tplc="08090001">
      <w:start w:val="1"/>
      <w:numFmt w:val="bullet"/>
      <w:lvlText w:val=""/>
      <w:lvlJc w:val="left"/>
      <w:pPr>
        <w:ind w:left="720" w:hanging="360"/>
      </w:pPr>
      <w:rPr>
        <w:rFonts w:ascii="Symbol" w:hAnsi="Symbol" w:hint="default"/>
      </w:rPr>
    </w:lvl>
    <w:lvl w:ilvl="1" w:tplc="F606DE94">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E26694"/>
    <w:multiLevelType w:val="hybridMultilevel"/>
    <w:tmpl w:val="18D8A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F24FA7"/>
    <w:multiLevelType w:val="hybridMultilevel"/>
    <w:tmpl w:val="F0B0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7B1404"/>
    <w:multiLevelType w:val="hybridMultilevel"/>
    <w:tmpl w:val="63D8B750"/>
    <w:lvl w:ilvl="0" w:tplc="C2666782">
      <w:start w:val="1"/>
      <w:numFmt w:val="bullet"/>
      <w:pStyle w:val="Bullet"/>
      <w:lvlText w:val="•"/>
      <w:lvlJc w:val="left"/>
      <w:pPr>
        <w:ind w:left="360" w:hanging="360"/>
      </w:pPr>
      <w:rPr>
        <w:rFonts w:ascii="Arial" w:hAnsi="Arial" w:hint="default"/>
        <w:color w:val="F79646"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E46DC2"/>
    <w:multiLevelType w:val="hybridMultilevel"/>
    <w:tmpl w:val="8DA0A92E"/>
    <w:lvl w:ilvl="0" w:tplc="25B2A47A">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0" w15:restartNumberingAfterBreak="0">
    <w:nsid w:val="343751EA"/>
    <w:multiLevelType w:val="hybridMultilevel"/>
    <w:tmpl w:val="79260A7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1" w15:restartNumberingAfterBreak="0">
    <w:nsid w:val="3B0E4D2C"/>
    <w:multiLevelType w:val="hybridMultilevel"/>
    <w:tmpl w:val="97D40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0A15ED"/>
    <w:multiLevelType w:val="multilevel"/>
    <w:tmpl w:val="64127EE2"/>
    <w:lvl w:ilvl="0">
      <w:start w:val="1"/>
      <w:numFmt w:val="decimal"/>
      <w:pStyle w:val="SectionHeading"/>
      <w:lvlText w:val="%1"/>
      <w:lvlJc w:val="left"/>
      <w:pPr>
        <w:ind w:left="360" w:hanging="360"/>
      </w:pPr>
      <w:rPr>
        <w:rFonts w:hint="default"/>
        <w:b/>
      </w:rPr>
    </w:lvl>
    <w:lvl w:ilvl="1">
      <w:start w:val="1"/>
      <w:numFmt w:val="decimal"/>
      <w:pStyle w:val="Paragraph"/>
      <w:lvlText w:val="%1.%2"/>
      <w:lvlJc w:val="left"/>
      <w:pPr>
        <w:ind w:left="709" w:hanging="709"/>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14A67FE"/>
    <w:multiLevelType w:val="hybridMultilevel"/>
    <w:tmpl w:val="92C2C9E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4" w15:restartNumberingAfterBreak="0">
    <w:nsid w:val="419A77D2"/>
    <w:multiLevelType w:val="multilevel"/>
    <w:tmpl w:val="644055AE"/>
    <w:styleLink w:val="Style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E013789"/>
    <w:multiLevelType w:val="hybridMultilevel"/>
    <w:tmpl w:val="71DECD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8A0333E"/>
    <w:multiLevelType w:val="hybridMultilevel"/>
    <w:tmpl w:val="21C6247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7" w15:restartNumberingAfterBreak="0">
    <w:nsid w:val="58CA111C"/>
    <w:multiLevelType w:val="hybridMultilevel"/>
    <w:tmpl w:val="2FE49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72361C"/>
    <w:multiLevelType w:val="hybridMultilevel"/>
    <w:tmpl w:val="0D5033CE"/>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9" w15:restartNumberingAfterBreak="0">
    <w:nsid w:val="59FD1318"/>
    <w:multiLevelType w:val="multilevel"/>
    <w:tmpl w:val="85F2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DB5E6E"/>
    <w:multiLevelType w:val="multilevel"/>
    <w:tmpl w:val="FAE6F96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31"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32" w15:restartNumberingAfterBreak="0">
    <w:nsid w:val="69BA55B1"/>
    <w:multiLevelType w:val="multilevel"/>
    <w:tmpl w:val="0409001D"/>
    <w:styleLink w:val="Style2"/>
    <w:lvl w:ilvl="0">
      <w:start w:val="1"/>
      <w:numFmt w:val="decimal"/>
      <w:lvlText w:val="%1)"/>
      <w:lvlJc w:val="left"/>
      <w:pPr>
        <w:ind w:left="360" w:hanging="360"/>
      </w:pPr>
    </w:lvl>
    <w:lvl w:ilvl="1">
      <w:start w:val="1"/>
      <w:numFmt w:val="bullet"/>
      <w:lvlText w:val="o"/>
      <w:lvlJc w:val="left"/>
      <w:pPr>
        <w:ind w:left="720" w:hanging="360"/>
      </w:pPr>
      <w:rPr>
        <w:rFonts w:ascii="Courier New" w:hAnsi="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EC67106"/>
    <w:multiLevelType w:val="hybridMultilevel"/>
    <w:tmpl w:val="7102B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654A57"/>
    <w:multiLevelType w:val="hybridMultilevel"/>
    <w:tmpl w:val="7E60CC0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5" w15:restartNumberingAfterBreak="0">
    <w:nsid w:val="7679519B"/>
    <w:multiLevelType w:val="multilevel"/>
    <w:tmpl w:val="6B7E531A"/>
    <w:lvl w:ilvl="0">
      <w:start w:val="1"/>
      <w:numFmt w:val="decimal"/>
      <w:lvlText w:val="%1."/>
      <w:lvlJc w:val="left"/>
      <w:pPr>
        <w:ind w:left="-207" w:hanging="360"/>
      </w:pPr>
      <w:rPr>
        <w:rFonts w:hint="default"/>
        <w:sz w:val="28"/>
      </w:rPr>
    </w:lvl>
    <w:lvl w:ilvl="1">
      <w:start w:val="2"/>
      <w:numFmt w:val="decimal"/>
      <w:isLgl/>
      <w:lvlText w:val="%1.%2"/>
      <w:lvlJc w:val="left"/>
      <w:pPr>
        <w:ind w:left="-207" w:hanging="360"/>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abstractNum w:abstractNumId="36" w15:restartNumberingAfterBreak="0">
    <w:nsid w:val="781465DA"/>
    <w:multiLevelType w:val="hybridMultilevel"/>
    <w:tmpl w:val="364ED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2E51E5"/>
    <w:multiLevelType w:val="hybridMultilevel"/>
    <w:tmpl w:val="08E6D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4F74FF"/>
    <w:multiLevelType w:val="hybridMultilevel"/>
    <w:tmpl w:val="724A1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F935CA"/>
    <w:multiLevelType w:val="singleLevel"/>
    <w:tmpl w:val="FECED49E"/>
    <w:lvl w:ilvl="0">
      <w:start w:val="1"/>
      <w:numFmt w:val="bullet"/>
      <w:pStyle w:val="tbTableBullet1"/>
      <w:lvlText w:val="l"/>
      <w:lvlJc w:val="left"/>
      <w:pPr>
        <w:tabs>
          <w:tab w:val="num" w:pos="425"/>
        </w:tabs>
        <w:ind w:left="425" w:hanging="425"/>
      </w:pPr>
      <w:rPr>
        <w:rFonts w:ascii="Wingdings" w:hAnsi="Wingdings" w:hint="default"/>
        <w:color w:val="000000"/>
        <w:sz w:val="12"/>
        <w:szCs w:val="12"/>
      </w:rPr>
    </w:lvl>
  </w:abstractNum>
  <w:abstractNum w:abstractNumId="40" w15:restartNumberingAfterBreak="0">
    <w:nsid w:val="7DB30F6A"/>
    <w:multiLevelType w:val="hybridMultilevel"/>
    <w:tmpl w:val="EDFC7D9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1" w15:restartNumberingAfterBreak="0">
    <w:nsid w:val="7FE7248E"/>
    <w:multiLevelType w:val="hybridMultilevel"/>
    <w:tmpl w:val="26CE0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32"/>
  </w:num>
  <w:num w:numId="3">
    <w:abstractNumId w:val="3"/>
  </w:num>
  <w:num w:numId="4">
    <w:abstractNumId w:val="33"/>
  </w:num>
  <w:num w:numId="5">
    <w:abstractNumId w:val="13"/>
  </w:num>
  <w:num w:numId="6">
    <w:abstractNumId w:val="21"/>
  </w:num>
  <w:num w:numId="7">
    <w:abstractNumId w:val="15"/>
  </w:num>
  <w:num w:numId="8">
    <w:abstractNumId w:val="41"/>
  </w:num>
  <w:num w:numId="9">
    <w:abstractNumId w:val="17"/>
  </w:num>
  <w:num w:numId="10">
    <w:abstractNumId w:val="22"/>
  </w:num>
  <w:num w:numId="11">
    <w:abstractNumId w:val="7"/>
  </w:num>
  <w:num w:numId="12">
    <w:abstractNumId w:val="38"/>
  </w:num>
  <w:num w:numId="13">
    <w:abstractNumId w:val="39"/>
  </w:num>
  <w:num w:numId="14">
    <w:abstractNumId w:val="1"/>
  </w:num>
  <w:num w:numId="15">
    <w:abstractNumId w:val="5"/>
  </w:num>
  <w:num w:numId="16">
    <w:abstractNumId w:val="25"/>
  </w:num>
  <w:num w:numId="17">
    <w:abstractNumId w:val="10"/>
  </w:num>
  <w:num w:numId="18">
    <w:abstractNumId w:val="35"/>
  </w:num>
  <w:num w:numId="19">
    <w:abstractNumId w:val="18"/>
  </w:num>
  <w:num w:numId="20">
    <w:abstractNumId w:val="20"/>
  </w:num>
  <w:num w:numId="21">
    <w:abstractNumId w:val="26"/>
  </w:num>
  <w:num w:numId="22">
    <w:abstractNumId w:val="0"/>
  </w:num>
  <w:num w:numId="23">
    <w:abstractNumId w:val="31"/>
  </w:num>
  <w:num w:numId="24">
    <w:abstractNumId w:val="2"/>
  </w:num>
  <w:num w:numId="25">
    <w:abstractNumId w:val="9"/>
  </w:num>
  <w:num w:numId="26">
    <w:abstractNumId w:val="30"/>
    <w:lvlOverride w:ilvl="0">
      <w:lvl w:ilvl="0">
        <w:start w:val="1"/>
        <w:numFmt w:val="bullet"/>
        <w:lvlText w:val=""/>
        <w:lvlJc w:val="left"/>
        <w:pPr>
          <w:tabs>
            <w:tab w:val="num" w:pos="284"/>
          </w:tabs>
          <w:ind w:left="284" w:hanging="284"/>
        </w:pPr>
        <w:rPr>
          <w:rFonts w:ascii="Symbol" w:hAnsi="Symbol" w:hint="default"/>
          <w:color w:val="auto"/>
        </w:rPr>
      </w:lvl>
    </w:lvlOverride>
    <w:lvlOverride w:ilvl="1">
      <w:lvl w:ilvl="1">
        <w:start w:val="1"/>
        <w:numFmt w:val="bullet"/>
        <w:lvlText w:val=""/>
        <w:lvlJc w:val="left"/>
        <w:pPr>
          <w:tabs>
            <w:tab w:val="num" w:pos="567"/>
          </w:tabs>
          <w:ind w:left="567" w:hanging="283"/>
        </w:pPr>
        <w:rPr>
          <w:rFonts w:ascii="Symbol" w:hAnsi="Symbol" w:hint="default"/>
        </w:rPr>
      </w:lvl>
    </w:lvlOverride>
    <w:lvlOverride w:ilvl="2">
      <w:lvl w:ilvl="2">
        <w:start w:val="1"/>
        <w:numFmt w:val="bullet"/>
        <w:lvlRestart w:val="0"/>
        <w:lvlText w:val=""/>
        <w:lvlJc w:val="left"/>
        <w:pPr>
          <w:tabs>
            <w:tab w:val="num" w:pos="851"/>
          </w:tabs>
          <w:ind w:left="851" w:hanging="284"/>
        </w:pPr>
        <w:rPr>
          <w:rFonts w:ascii="Symbol" w:hAnsi="Symbol" w:hint="default"/>
          <w:color w:val="auto"/>
        </w:rPr>
      </w:lvl>
    </w:lvlOverride>
    <w:lvlOverride w:ilvl="3">
      <w:lvl w:ilvl="3">
        <w:start w:val="1"/>
        <w:numFmt w:val="none"/>
        <w:lvlRestart w:val="0"/>
        <w:lvlText w:val=""/>
        <w:lvlJc w:val="left"/>
        <w:pPr>
          <w:tabs>
            <w:tab w:val="num" w:pos="851"/>
          </w:tabs>
          <w:ind w:left="851" w:firstLine="0"/>
        </w:pPr>
        <w:rPr>
          <w:rFonts w:hint="default"/>
        </w:rPr>
      </w:lvl>
    </w:lvlOverride>
    <w:lvlOverride w:ilvl="4">
      <w:lvl w:ilvl="4">
        <w:start w:val="1"/>
        <w:numFmt w:val="none"/>
        <w:lvlRestart w:val="0"/>
        <w:lvlText w:val=""/>
        <w:lvlJc w:val="left"/>
        <w:pPr>
          <w:tabs>
            <w:tab w:val="num" w:pos="851"/>
          </w:tabs>
          <w:ind w:left="851" w:firstLine="0"/>
        </w:pPr>
        <w:rPr>
          <w:rFonts w:hint="default"/>
        </w:rPr>
      </w:lvl>
    </w:lvlOverride>
    <w:lvlOverride w:ilvl="5">
      <w:lvl w:ilvl="5">
        <w:start w:val="1"/>
        <w:numFmt w:val="none"/>
        <w:lvlRestart w:val="0"/>
        <w:lvlText w:val=""/>
        <w:lvlJc w:val="left"/>
        <w:pPr>
          <w:tabs>
            <w:tab w:val="num" w:pos="851"/>
          </w:tabs>
          <w:ind w:left="851" w:firstLine="0"/>
        </w:pPr>
        <w:rPr>
          <w:rFonts w:hint="default"/>
        </w:rPr>
      </w:lvl>
    </w:lvlOverride>
    <w:lvlOverride w:ilvl="6">
      <w:lvl w:ilvl="6">
        <w:start w:val="1"/>
        <w:numFmt w:val="none"/>
        <w:lvlRestart w:val="0"/>
        <w:lvlText w:val=""/>
        <w:lvlJc w:val="left"/>
        <w:pPr>
          <w:tabs>
            <w:tab w:val="num" w:pos="851"/>
          </w:tabs>
          <w:ind w:left="851" w:firstLine="0"/>
        </w:pPr>
        <w:rPr>
          <w:rFonts w:hint="default"/>
        </w:rPr>
      </w:lvl>
    </w:lvlOverride>
    <w:lvlOverride w:ilvl="7">
      <w:lvl w:ilvl="7">
        <w:start w:val="1"/>
        <w:numFmt w:val="none"/>
        <w:lvlRestart w:val="0"/>
        <w:lvlText w:val=""/>
        <w:lvlJc w:val="left"/>
        <w:pPr>
          <w:tabs>
            <w:tab w:val="num" w:pos="851"/>
          </w:tabs>
          <w:ind w:left="851" w:firstLine="0"/>
        </w:pPr>
        <w:rPr>
          <w:rFonts w:hint="default"/>
        </w:rPr>
      </w:lvl>
    </w:lvlOverride>
    <w:lvlOverride w:ilvl="8">
      <w:lvl w:ilvl="8">
        <w:start w:val="1"/>
        <w:numFmt w:val="none"/>
        <w:lvlRestart w:val="0"/>
        <w:lvlText w:val=""/>
        <w:lvlJc w:val="left"/>
        <w:pPr>
          <w:ind w:left="851" w:firstLine="0"/>
        </w:pPr>
        <w:rPr>
          <w:rFonts w:hint="default"/>
        </w:rPr>
      </w:lvl>
    </w:lvlOverride>
  </w:num>
  <w:num w:numId="27">
    <w:abstractNumId w:val="37"/>
  </w:num>
  <w:num w:numId="28">
    <w:abstractNumId w:val="30"/>
  </w:num>
  <w:num w:numId="29">
    <w:abstractNumId w:val="6"/>
  </w:num>
  <w:num w:numId="30">
    <w:abstractNumId w:val="4"/>
  </w:num>
  <w:num w:numId="31">
    <w:abstractNumId w:val="21"/>
  </w:num>
  <w:num w:numId="32">
    <w:abstractNumId w:val="16"/>
  </w:num>
  <w:num w:numId="33">
    <w:abstractNumId w:val="29"/>
  </w:num>
  <w:num w:numId="34">
    <w:abstractNumId w:val="40"/>
  </w:num>
  <w:num w:numId="35">
    <w:abstractNumId w:val="36"/>
  </w:num>
  <w:num w:numId="36">
    <w:abstractNumId w:val="8"/>
  </w:num>
  <w:num w:numId="37">
    <w:abstractNumId w:val="6"/>
  </w:num>
  <w:num w:numId="38">
    <w:abstractNumId w:val="4"/>
  </w:num>
  <w:num w:numId="39">
    <w:abstractNumId w:val="28"/>
  </w:num>
  <w:num w:numId="40">
    <w:abstractNumId w:val="19"/>
  </w:num>
  <w:num w:numId="41">
    <w:abstractNumId w:val="27"/>
  </w:num>
  <w:num w:numId="42">
    <w:abstractNumId w:val="11"/>
  </w:num>
  <w:num w:numId="43">
    <w:abstractNumId w:val="12"/>
  </w:num>
  <w:num w:numId="44">
    <w:abstractNumId w:val="23"/>
  </w:num>
  <w:num w:numId="45">
    <w:abstractNumId w:val="14"/>
  </w:num>
  <w:num w:numId="46">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BA6"/>
    <w:rsid w:val="00002A15"/>
    <w:rsid w:val="0000391A"/>
    <w:rsid w:val="00003ACC"/>
    <w:rsid w:val="0000421D"/>
    <w:rsid w:val="00004E9D"/>
    <w:rsid w:val="00007362"/>
    <w:rsid w:val="00010233"/>
    <w:rsid w:val="00010B4F"/>
    <w:rsid w:val="0001147D"/>
    <w:rsid w:val="00015496"/>
    <w:rsid w:val="0001576B"/>
    <w:rsid w:val="0001707D"/>
    <w:rsid w:val="00017D00"/>
    <w:rsid w:val="00017EA2"/>
    <w:rsid w:val="00020641"/>
    <w:rsid w:val="00023898"/>
    <w:rsid w:val="000256CA"/>
    <w:rsid w:val="0002633C"/>
    <w:rsid w:val="00026ACD"/>
    <w:rsid w:val="000305FE"/>
    <w:rsid w:val="00031A44"/>
    <w:rsid w:val="00032ACA"/>
    <w:rsid w:val="00042CBB"/>
    <w:rsid w:val="00045079"/>
    <w:rsid w:val="0004694E"/>
    <w:rsid w:val="000502BD"/>
    <w:rsid w:val="000518B3"/>
    <w:rsid w:val="0005224C"/>
    <w:rsid w:val="00053614"/>
    <w:rsid w:val="0005536B"/>
    <w:rsid w:val="000553C1"/>
    <w:rsid w:val="000601FE"/>
    <w:rsid w:val="00061477"/>
    <w:rsid w:val="00062125"/>
    <w:rsid w:val="000657CC"/>
    <w:rsid w:val="000670E4"/>
    <w:rsid w:val="0006717E"/>
    <w:rsid w:val="00067418"/>
    <w:rsid w:val="0006776B"/>
    <w:rsid w:val="000700A0"/>
    <w:rsid w:val="00070193"/>
    <w:rsid w:val="00070DF5"/>
    <w:rsid w:val="0007264A"/>
    <w:rsid w:val="00074BA3"/>
    <w:rsid w:val="00075C1F"/>
    <w:rsid w:val="00077A94"/>
    <w:rsid w:val="00080610"/>
    <w:rsid w:val="00080A87"/>
    <w:rsid w:val="0008358A"/>
    <w:rsid w:val="00084AF2"/>
    <w:rsid w:val="00086C34"/>
    <w:rsid w:val="000903A8"/>
    <w:rsid w:val="000905D6"/>
    <w:rsid w:val="000913C1"/>
    <w:rsid w:val="000919A6"/>
    <w:rsid w:val="00092099"/>
    <w:rsid w:val="000948ED"/>
    <w:rsid w:val="000A0197"/>
    <w:rsid w:val="000A080B"/>
    <w:rsid w:val="000A0DC2"/>
    <w:rsid w:val="000A37A7"/>
    <w:rsid w:val="000A39A2"/>
    <w:rsid w:val="000A6436"/>
    <w:rsid w:val="000A73FC"/>
    <w:rsid w:val="000B10F7"/>
    <w:rsid w:val="000B2A38"/>
    <w:rsid w:val="000B3FE6"/>
    <w:rsid w:val="000B47A4"/>
    <w:rsid w:val="000B4D9E"/>
    <w:rsid w:val="000B560B"/>
    <w:rsid w:val="000B6C29"/>
    <w:rsid w:val="000B7948"/>
    <w:rsid w:val="000C286B"/>
    <w:rsid w:val="000C2971"/>
    <w:rsid w:val="000C2BA2"/>
    <w:rsid w:val="000C3AA8"/>
    <w:rsid w:val="000C3E2F"/>
    <w:rsid w:val="000C514D"/>
    <w:rsid w:val="000C5AF7"/>
    <w:rsid w:val="000C5EC9"/>
    <w:rsid w:val="000C66D1"/>
    <w:rsid w:val="000D0F22"/>
    <w:rsid w:val="000D72B6"/>
    <w:rsid w:val="000E1A8D"/>
    <w:rsid w:val="000E4690"/>
    <w:rsid w:val="000E53A2"/>
    <w:rsid w:val="000E7B75"/>
    <w:rsid w:val="000E7E01"/>
    <w:rsid w:val="000F0D15"/>
    <w:rsid w:val="000F2678"/>
    <w:rsid w:val="000F2A57"/>
    <w:rsid w:val="000F474A"/>
    <w:rsid w:val="000F4A3B"/>
    <w:rsid w:val="000F579E"/>
    <w:rsid w:val="000F6901"/>
    <w:rsid w:val="000F6BB6"/>
    <w:rsid w:val="000F6E31"/>
    <w:rsid w:val="00100841"/>
    <w:rsid w:val="0010292C"/>
    <w:rsid w:val="00104410"/>
    <w:rsid w:val="00106174"/>
    <w:rsid w:val="001068EB"/>
    <w:rsid w:val="0010743B"/>
    <w:rsid w:val="001075B3"/>
    <w:rsid w:val="00107ACF"/>
    <w:rsid w:val="001103AC"/>
    <w:rsid w:val="0011320C"/>
    <w:rsid w:val="00113795"/>
    <w:rsid w:val="00113E5C"/>
    <w:rsid w:val="00116809"/>
    <w:rsid w:val="00116B18"/>
    <w:rsid w:val="0012177F"/>
    <w:rsid w:val="001230AD"/>
    <w:rsid w:val="001230B4"/>
    <w:rsid w:val="0012349E"/>
    <w:rsid w:val="00125C77"/>
    <w:rsid w:val="00132C33"/>
    <w:rsid w:val="00133053"/>
    <w:rsid w:val="001417AC"/>
    <w:rsid w:val="00143CDE"/>
    <w:rsid w:val="00144417"/>
    <w:rsid w:val="00147A63"/>
    <w:rsid w:val="00147C20"/>
    <w:rsid w:val="001512A0"/>
    <w:rsid w:val="00151580"/>
    <w:rsid w:val="001516F5"/>
    <w:rsid w:val="001528E9"/>
    <w:rsid w:val="00153276"/>
    <w:rsid w:val="00157E11"/>
    <w:rsid w:val="00157FEF"/>
    <w:rsid w:val="00160691"/>
    <w:rsid w:val="0016125A"/>
    <w:rsid w:val="00163868"/>
    <w:rsid w:val="001655EB"/>
    <w:rsid w:val="0017046E"/>
    <w:rsid w:val="00171545"/>
    <w:rsid w:val="00174459"/>
    <w:rsid w:val="00176F89"/>
    <w:rsid w:val="001817AD"/>
    <w:rsid w:val="00184AB0"/>
    <w:rsid w:val="00185A77"/>
    <w:rsid w:val="00186722"/>
    <w:rsid w:val="00186D23"/>
    <w:rsid w:val="001A07DD"/>
    <w:rsid w:val="001A07FF"/>
    <w:rsid w:val="001A1148"/>
    <w:rsid w:val="001A205D"/>
    <w:rsid w:val="001A79B4"/>
    <w:rsid w:val="001B2E06"/>
    <w:rsid w:val="001B5C4D"/>
    <w:rsid w:val="001B6C1A"/>
    <w:rsid w:val="001B71B6"/>
    <w:rsid w:val="001B7346"/>
    <w:rsid w:val="001C1C27"/>
    <w:rsid w:val="001C3933"/>
    <w:rsid w:val="001C583C"/>
    <w:rsid w:val="001C702C"/>
    <w:rsid w:val="001D1226"/>
    <w:rsid w:val="001D1EB6"/>
    <w:rsid w:val="001D4F09"/>
    <w:rsid w:val="001D689B"/>
    <w:rsid w:val="001D6DEF"/>
    <w:rsid w:val="001E1B26"/>
    <w:rsid w:val="001E3400"/>
    <w:rsid w:val="001E3A9A"/>
    <w:rsid w:val="001E75A7"/>
    <w:rsid w:val="001E7FAE"/>
    <w:rsid w:val="001F00FA"/>
    <w:rsid w:val="001F118D"/>
    <w:rsid w:val="001F1BBB"/>
    <w:rsid w:val="001F5ACC"/>
    <w:rsid w:val="002031F4"/>
    <w:rsid w:val="0021047F"/>
    <w:rsid w:val="00213C08"/>
    <w:rsid w:val="00214C4A"/>
    <w:rsid w:val="0021543B"/>
    <w:rsid w:val="00215DD2"/>
    <w:rsid w:val="0021793F"/>
    <w:rsid w:val="00220B2D"/>
    <w:rsid w:val="002214C2"/>
    <w:rsid w:val="00222CD4"/>
    <w:rsid w:val="00223A25"/>
    <w:rsid w:val="00223D10"/>
    <w:rsid w:val="002243A4"/>
    <w:rsid w:val="0022534A"/>
    <w:rsid w:val="002253EA"/>
    <w:rsid w:val="00226425"/>
    <w:rsid w:val="002276C8"/>
    <w:rsid w:val="00227991"/>
    <w:rsid w:val="00230579"/>
    <w:rsid w:val="00232C7C"/>
    <w:rsid w:val="002332D7"/>
    <w:rsid w:val="0023479E"/>
    <w:rsid w:val="00236215"/>
    <w:rsid w:val="00237601"/>
    <w:rsid w:val="002401C5"/>
    <w:rsid w:val="00241575"/>
    <w:rsid w:val="00241B38"/>
    <w:rsid w:val="00241C39"/>
    <w:rsid w:val="0024224A"/>
    <w:rsid w:val="00243C84"/>
    <w:rsid w:val="0024415D"/>
    <w:rsid w:val="00245009"/>
    <w:rsid w:val="00245A98"/>
    <w:rsid w:val="0024602E"/>
    <w:rsid w:val="0024625A"/>
    <w:rsid w:val="00247A49"/>
    <w:rsid w:val="00250136"/>
    <w:rsid w:val="00253C6C"/>
    <w:rsid w:val="00254DE2"/>
    <w:rsid w:val="00255395"/>
    <w:rsid w:val="00255C7A"/>
    <w:rsid w:val="0025677D"/>
    <w:rsid w:val="00257BDB"/>
    <w:rsid w:val="002610E9"/>
    <w:rsid w:val="002618A9"/>
    <w:rsid w:val="00267372"/>
    <w:rsid w:val="00270E37"/>
    <w:rsid w:val="002730B7"/>
    <w:rsid w:val="002733FF"/>
    <w:rsid w:val="00274BE9"/>
    <w:rsid w:val="00274ECB"/>
    <w:rsid w:val="00280D79"/>
    <w:rsid w:val="002824A4"/>
    <w:rsid w:val="0028345A"/>
    <w:rsid w:val="00283AE1"/>
    <w:rsid w:val="00284674"/>
    <w:rsid w:val="00287075"/>
    <w:rsid w:val="002917D5"/>
    <w:rsid w:val="00292AFC"/>
    <w:rsid w:val="002931B3"/>
    <w:rsid w:val="0029478A"/>
    <w:rsid w:val="002A02B0"/>
    <w:rsid w:val="002A43D6"/>
    <w:rsid w:val="002A44E7"/>
    <w:rsid w:val="002A484E"/>
    <w:rsid w:val="002A5D41"/>
    <w:rsid w:val="002A6BFA"/>
    <w:rsid w:val="002A7EE1"/>
    <w:rsid w:val="002B1860"/>
    <w:rsid w:val="002B19FF"/>
    <w:rsid w:val="002B3BEB"/>
    <w:rsid w:val="002B5603"/>
    <w:rsid w:val="002B62B7"/>
    <w:rsid w:val="002B7671"/>
    <w:rsid w:val="002B7A6B"/>
    <w:rsid w:val="002C0CD2"/>
    <w:rsid w:val="002C1240"/>
    <w:rsid w:val="002C1BAA"/>
    <w:rsid w:val="002C246B"/>
    <w:rsid w:val="002C36A3"/>
    <w:rsid w:val="002C3723"/>
    <w:rsid w:val="002C37CE"/>
    <w:rsid w:val="002C77EE"/>
    <w:rsid w:val="002D1C47"/>
    <w:rsid w:val="002D2534"/>
    <w:rsid w:val="002D3AD6"/>
    <w:rsid w:val="002D3FC3"/>
    <w:rsid w:val="002D6CCD"/>
    <w:rsid w:val="002D7020"/>
    <w:rsid w:val="002D7F2B"/>
    <w:rsid w:val="002E0816"/>
    <w:rsid w:val="002E0D62"/>
    <w:rsid w:val="002E1A22"/>
    <w:rsid w:val="002E2092"/>
    <w:rsid w:val="002E499C"/>
    <w:rsid w:val="002E58A4"/>
    <w:rsid w:val="002E7FA8"/>
    <w:rsid w:val="002F0CB0"/>
    <w:rsid w:val="002F2445"/>
    <w:rsid w:val="002F30A7"/>
    <w:rsid w:val="002F3E71"/>
    <w:rsid w:val="002F57BB"/>
    <w:rsid w:val="002F5AAE"/>
    <w:rsid w:val="002F6104"/>
    <w:rsid w:val="002F70F1"/>
    <w:rsid w:val="002F75CD"/>
    <w:rsid w:val="00302050"/>
    <w:rsid w:val="0030268B"/>
    <w:rsid w:val="003037DE"/>
    <w:rsid w:val="0030435F"/>
    <w:rsid w:val="00304BED"/>
    <w:rsid w:val="00312EBA"/>
    <w:rsid w:val="003150D6"/>
    <w:rsid w:val="003157D2"/>
    <w:rsid w:val="00316035"/>
    <w:rsid w:val="00320AA0"/>
    <w:rsid w:val="003218C1"/>
    <w:rsid w:val="00323D61"/>
    <w:rsid w:val="00324716"/>
    <w:rsid w:val="003252E6"/>
    <w:rsid w:val="003265CB"/>
    <w:rsid w:val="003273D3"/>
    <w:rsid w:val="0032749C"/>
    <w:rsid w:val="00331AAE"/>
    <w:rsid w:val="00334FAB"/>
    <w:rsid w:val="00335315"/>
    <w:rsid w:val="003355F3"/>
    <w:rsid w:val="00335615"/>
    <w:rsid w:val="003356D7"/>
    <w:rsid w:val="0033755B"/>
    <w:rsid w:val="003376C7"/>
    <w:rsid w:val="00341E88"/>
    <w:rsid w:val="00343686"/>
    <w:rsid w:val="00343781"/>
    <w:rsid w:val="00344E2F"/>
    <w:rsid w:val="003505C6"/>
    <w:rsid w:val="00354A7F"/>
    <w:rsid w:val="003562D7"/>
    <w:rsid w:val="00356BA6"/>
    <w:rsid w:val="00356C7F"/>
    <w:rsid w:val="00360B90"/>
    <w:rsid w:val="00362269"/>
    <w:rsid w:val="00362589"/>
    <w:rsid w:val="00363018"/>
    <w:rsid w:val="00363ED6"/>
    <w:rsid w:val="00364263"/>
    <w:rsid w:val="00365732"/>
    <w:rsid w:val="003662EC"/>
    <w:rsid w:val="003704BC"/>
    <w:rsid w:val="00371ED8"/>
    <w:rsid w:val="0037434A"/>
    <w:rsid w:val="00375085"/>
    <w:rsid w:val="00375CCE"/>
    <w:rsid w:val="00380B8D"/>
    <w:rsid w:val="003816E3"/>
    <w:rsid w:val="003831EF"/>
    <w:rsid w:val="0038493E"/>
    <w:rsid w:val="003853E7"/>
    <w:rsid w:val="003856BA"/>
    <w:rsid w:val="00386E9E"/>
    <w:rsid w:val="00387EC7"/>
    <w:rsid w:val="0039008B"/>
    <w:rsid w:val="00394BC9"/>
    <w:rsid w:val="003A2BCC"/>
    <w:rsid w:val="003A4A89"/>
    <w:rsid w:val="003A4C6F"/>
    <w:rsid w:val="003B056F"/>
    <w:rsid w:val="003B108A"/>
    <w:rsid w:val="003B2B65"/>
    <w:rsid w:val="003B5CA1"/>
    <w:rsid w:val="003B5DC9"/>
    <w:rsid w:val="003B7A0D"/>
    <w:rsid w:val="003C1562"/>
    <w:rsid w:val="003C4256"/>
    <w:rsid w:val="003C50BD"/>
    <w:rsid w:val="003C7994"/>
    <w:rsid w:val="003D0866"/>
    <w:rsid w:val="003D18AB"/>
    <w:rsid w:val="003D3845"/>
    <w:rsid w:val="003D585F"/>
    <w:rsid w:val="003D6FB9"/>
    <w:rsid w:val="003E068A"/>
    <w:rsid w:val="003F1285"/>
    <w:rsid w:val="003F407E"/>
    <w:rsid w:val="003F57DF"/>
    <w:rsid w:val="003F6E37"/>
    <w:rsid w:val="00404F86"/>
    <w:rsid w:val="00405112"/>
    <w:rsid w:val="00410995"/>
    <w:rsid w:val="00413725"/>
    <w:rsid w:val="0041441A"/>
    <w:rsid w:val="00414B12"/>
    <w:rsid w:val="00415315"/>
    <w:rsid w:val="00420F17"/>
    <w:rsid w:val="00422761"/>
    <w:rsid w:val="00430D3D"/>
    <w:rsid w:val="004317CA"/>
    <w:rsid w:val="004358E6"/>
    <w:rsid w:val="00436348"/>
    <w:rsid w:val="0044335A"/>
    <w:rsid w:val="00443F97"/>
    <w:rsid w:val="0044454F"/>
    <w:rsid w:val="00444F41"/>
    <w:rsid w:val="00445C46"/>
    <w:rsid w:val="0044759B"/>
    <w:rsid w:val="00452CD8"/>
    <w:rsid w:val="004549BE"/>
    <w:rsid w:val="004560BB"/>
    <w:rsid w:val="0046212B"/>
    <w:rsid w:val="004634F1"/>
    <w:rsid w:val="00463FAA"/>
    <w:rsid w:val="00465112"/>
    <w:rsid w:val="0046662F"/>
    <w:rsid w:val="004671E9"/>
    <w:rsid w:val="004761DB"/>
    <w:rsid w:val="00476E58"/>
    <w:rsid w:val="00476EE0"/>
    <w:rsid w:val="004807DF"/>
    <w:rsid w:val="00480881"/>
    <w:rsid w:val="00483631"/>
    <w:rsid w:val="00484DCB"/>
    <w:rsid w:val="0048712F"/>
    <w:rsid w:val="004879E4"/>
    <w:rsid w:val="00493968"/>
    <w:rsid w:val="00497435"/>
    <w:rsid w:val="0049772E"/>
    <w:rsid w:val="004A1812"/>
    <w:rsid w:val="004A1E6A"/>
    <w:rsid w:val="004A27F6"/>
    <w:rsid w:val="004A6CF6"/>
    <w:rsid w:val="004A78D9"/>
    <w:rsid w:val="004B74C3"/>
    <w:rsid w:val="004C156D"/>
    <w:rsid w:val="004C1E8B"/>
    <w:rsid w:val="004C4FE9"/>
    <w:rsid w:val="004C6725"/>
    <w:rsid w:val="004C7B7C"/>
    <w:rsid w:val="004C7C54"/>
    <w:rsid w:val="004D1435"/>
    <w:rsid w:val="004D2AB3"/>
    <w:rsid w:val="004D3072"/>
    <w:rsid w:val="004D4C80"/>
    <w:rsid w:val="004D6854"/>
    <w:rsid w:val="004D6B7F"/>
    <w:rsid w:val="004E1A58"/>
    <w:rsid w:val="004E2295"/>
    <w:rsid w:val="004E7269"/>
    <w:rsid w:val="004E76C8"/>
    <w:rsid w:val="004E7746"/>
    <w:rsid w:val="004E7A3A"/>
    <w:rsid w:val="004F0A99"/>
    <w:rsid w:val="004F0DE4"/>
    <w:rsid w:val="004F2485"/>
    <w:rsid w:val="004F3474"/>
    <w:rsid w:val="004F4AE0"/>
    <w:rsid w:val="004F4D45"/>
    <w:rsid w:val="004F541E"/>
    <w:rsid w:val="004F5FA7"/>
    <w:rsid w:val="004F6F38"/>
    <w:rsid w:val="00501B4D"/>
    <w:rsid w:val="00503819"/>
    <w:rsid w:val="00504850"/>
    <w:rsid w:val="00504CF1"/>
    <w:rsid w:val="00505F2B"/>
    <w:rsid w:val="0051087E"/>
    <w:rsid w:val="00510990"/>
    <w:rsid w:val="00511737"/>
    <w:rsid w:val="005143D2"/>
    <w:rsid w:val="00514792"/>
    <w:rsid w:val="0052289A"/>
    <w:rsid w:val="005240A5"/>
    <w:rsid w:val="00526418"/>
    <w:rsid w:val="005276CF"/>
    <w:rsid w:val="00527DED"/>
    <w:rsid w:val="0053197B"/>
    <w:rsid w:val="00532789"/>
    <w:rsid w:val="00533A1D"/>
    <w:rsid w:val="00534A7E"/>
    <w:rsid w:val="00535B1C"/>
    <w:rsid w:val="00540C03"/>
    <w:rsid w:val="00541182"/>
    <w:rsid w:val="00542BAE"/>
    <w:rsid w:val="00550968"/>
    <w:rsid w:val="0055135B"/>
    <w:rsid w:val="00554555"/>
    <w:rsid w:val="005573A4"/>
    <w:rsid w:val="00561303"/>
    <w:rsid w:val="0056285A"/>
    <w:rsid w:val="005643C6"/>
    <w:rsid w:val="00567DAF"/>
    <w:rsid w:val="00570700"/>
    <w:rsid w:val="005707FF"/>
    <w:rsid w:val="0058249A"/>
    <w:rsid w:val="00583B0B"/>
    <w:rsid w:val="00583DDE"/>
    <w:rsid w:val="00584AE5"/>
    <w:rsid w:val="00584DF9"/>
    <w:rsid w:val="00587C68"/>
    <w:rsid w:val="005905EE"/>
    <w:rsid w:val="005921C4"/>
    <w:rsid w:val="0059222F"/>
    <w:rsid w:val="005927E6"/>
    <w:rsid w:val="0059311B"/>
    <w:rsid w:val="00597BA7"/>
    <w:rsid w:val="005A2508"/>
    <w:rsid w:val="005A5649"/>
    <w:rsid w:val="005A6AFF"/>
    <w:rsid w:val="005A7274"/>
    <w:rsid w:val="005B29DE"/>
    <w:rsid w:val="005B3BCE"/>
    <w:rsid w:val="005B4829"/>
    <w:rsid w:val="005B5A49"/>
    <w:rsid w:val="005B7C95"/>
    <w:rsid w:val="005C5633"/>
    <w:rsid w:val="005C7C6F"/>
    <w:rsid w:val="005D08B4"/>
    <w:rsid w:val="005D1AFE"/>
    <w:rsid w:val="005D5BC5"/>
    <w:rsid w:val="005E3F3A"/>
    <w:rsid w:val="005E4A05"/>
    <w:rsid w:val="005E4ADC"/>
    <w:rsid w:val="005E72FD"/>
    <w:rsid w:val="005F07F5"/>
    <w:rsid w:val="005F4580"/>
    <w:rsid w:val="005F4645"/>
    <w:rsid w:val="005F52A8"/>
    <w:rsid w:val="005F717F"/>
    <w:rsid w:val="005F7819"/>
    <w:rsid w:val="0060517C"/>
    <w:rsid w:val="006105F1"/>
    <w:rsid w:val="00610C34"/>
    <w:rsid w:val="00613140"/>
    <w:rsid w:val="00616834"/>
    <w:rsid w:val="006201B2"/>
    <w:rsid w:val="00622F9F"/>
    <w:rsid w:val="006230BF"/>
    <w:rsid w:val="0062473E"/>
    <w:rsid w:val="00624A9B"/>
    <w:rsid w:val="00625FF8"/>
    <w:rsid w:val="006305FA"/>
    <w:rsid w:val="006309A0"/>
    <w:rsid w:val="006356F9"/>
    <w:rsid w:val="0064101E"/>
    <w:rsid w:val="006410F9"/>
    <w:rsid w:val="00643B12"/>
    <w:rsid w:val="00644469"/>
    <w:rsid w:val="006461DB"/>
    <w:rsid w:val="00646956"/>
    <w:rsid w:val="006469D3"/>
    <w:rsid w:val="00650575"/>
    <w:rsid w:val="006507F3"/>
    <w:rsid w:val="00653931"/>
    <w:rsid w:val="00654E09"/>
    <w:rsid w:val="00660859"/>
    <w:rsid w:val="00661832"/>
    <w:rsid w:val="00662B0D"/>
    <w:rsid w:val="0066514C"/>
    <w:rsid w:val="0066712A"/>
    <w:rsid w:val="00667E1B"/>
    <w:rsid w:val="00671F52"/>
    <w:rsid w:val="00681A6E"/>
    <w:rsid w:val="006821CF"/>
    <w:rsid w:val="00683D9D"/>
    <w:rsid w:val="00684048"/>
    <w:rsid w:val="00685CD1"/>
    <w:rsid w:val="00685FA5"/>
    <w:rsid w:val="00691CCF"/>
    <w:rsid w:val="00692CCD"/>
    <w:rsid w:val="006945F1"/>
    <w:rsid w:val="006A3847"/>
    <w:rsid w:val="006A4AE9"/>
    <w:rsid w:val="006A6DDB"/>
    <w:rsid w:val="006B0457"/>
    <w:rsid w:val="006B2D12"/>
    <w:rsid w:val="006B3BF7"/>
    <w:rsid w:val="006B5160"/>
    <w:rsid w:val="006B665C"/>
    <w:rsid w:val="006B7574"/>
    <w:rsid w:val="006B7C67"/>
    <w:rsid w:val="006C06BE"/>
    <w:rsid w:val="006C172B"/>
    <w:rsid w:val="006C2026"/>
    <w:rsid w:val="006C2904"/>
    <w:rsid w:val="006C4844"/>
    <w:rsid w:val="006C4AB4"/>
    <w:rsid w:val="006C5FA3"/>
    <w:rsid w:val="006C60B4"/>
    <w:rsid w:val="006C6152"/>
    <w:rsid w:val="006D0234"/>
    <w:rsid w:val="006D0FEB"/>
    <w:rsid w:val="006D3470"/>
    <w:rsid w:val="006D48EB"/>
    <w:rsid w:val="006D6C7F"/>
    <w:rsid w:val="006D7F2B"/>
    <w:rsid w:val="006E1D36"/>
    <w:rsid w:val="006E3178"/>
    <w:rsid w:val="006E52E1"/>
    <w:rsid w:val="006E6122"/>
    <w:rsid w:val="006F23B6"/>
    <w:rsid w:val="006F3E52"/>
    <w:rsid w:val="006F4F1E"/>
    <w:rsid w:val="006F5A93"/>
    <w:rsid w:val="006F5F58"/>
    <w:rsid w:val="006F722E"/>
    <w:rsid w:val="00702A00"/>
    <w:rsid w:val="00705619"/>
    <w:rsid w:val="0070752E"/>
    <w:rsid w:val="007101B1"/>
    <w:rsid w:val="00710DF4"/>
    <w:rsid w:val="00711E6B"/>
    <w:rsid w:val="007140F9"/>
    <w:rsid w:val="00715EDF"/>
    <w:rsid w:val="00715FB5"/>
    <w:rsid w:val="00716C90"/>
    <w:rsid w:val="00717A8F"/>
    <w:rsid w:val="00721349"/>
    <w:rsid w:val="007232AA"/>
    <w:rsid w:val="00723E66"/>
    <w:rsid w:val="00725E10"/>
    <w:rsid w:val="007260C9"/>
    <w:rsid w:val="00726A1E"/>
    <w:rsid w:val="00733A4B"/>
    <w:rsid w:val="00737DAD"/>
    <w:rsid w:val="007410F6"/>
    <w:rsid w:val="00744D13"/>
    <w:rsid w:val="00746042"/>
    <w:rsid w:val="00746566"/>
    <w:rsid w:val="00747695"/>
    <w:rsid w:val="00751627"/>
    <w:rsid w:val="00761E97"/>
    <w:rsid w:val="00761F70"/>
    <w:rsid w:val="00762C31"/>
    <w:rsid w:val="00764AC6"/>
    <w:rsid w:val="0076612C"/>
    <w:rsid w:val="0076615F"/>
    <w:rsid w:val="007662B7"/>
    <w:rsid w:val="0076699A"/>
    <w:rsid w:val="007718E3"/>
    <w:rsid w:val="00772F72"/>
    <w:rsid w:val="00773A82"/>
    <w:rsid w:val="00773BE2"/>
    <w:rsid w:val="0077513C"/>
    <w:rsid w:val="0077653F"/>
    <w:rsid w:val="00776870"/>
    <w:rsid w:val="00777F4F"/>
    <w:rsid w:val="00781CFA"/>
    <w:rsid w:val="007824AC"/>
    <w:rsid w:val="00783746"/>
    <w:rsid w:val="00784C62"/>
    <w:rsid w:val="00785E93"/>
    <w:rsid w:val="00791C1B"/>
    <w:rsid w:val="007951AB"/>
    <w:rsid w:val="00795244"/>
    <w:rsid w:val="00797DFF"/>
    <w:rsid w:val="007A0F2F"/>
    <w:rsid w:val="007A2455"/>
    <w:rsid w:val="007A310A"/>
    <w:rsid w:val="007A467A"/>
    <w:rsid w:val="007B1221"/>
    <w:rsid w:val="007B223D"/>
    <w:rsid w:val="007B3C36"/>
    <w:rsid w:val="007B41D2"/>
    <w:rsid w:val="007B5142"/>
    <w:rsid w:val="007B5930"/>
    <w:rsid w:val="007B5D8C"/>
    <w:rsid w:val="007B6685"/>
    <w:rsid w:val="007B7EEC"/>
    <w:rsid w:val="007C2476"/>
    <w:rsid w:val="007C2C9F"/>
    <w:rsid w:val="007C2F1E"/>
    <w:rsid w:val="007C3012"/>
    <w:rsid w:val="007C3EE1"/>
    <w:rsid w:val="007C4AFA"/>
    <w:rsid w:val="007D0062"/>
    <w:rsid w:val="007D059C"/>
    <w:rsid w:val="007D3A94"/>
    <w:rsid w:val="007D706F"/>
    <w:rsid w:val="007D7B70"/>
    <w:rsid w:val="007E0186"/>
    <w:rsid w:val="007E100A"/>
    <w:rsid w:val="007E214B"/>
    <w:rsid w:val="007E25B9"/>
    <w:rsid w:val="007E308F"/>
    <w:rsid w:val="007E3285"/>
    <w:rsid w:val="007E7A0E"/>
    <w:rsid w:val="007F0696"/>
    <w:rsid w:val="007F2C0C"/>
    <w:rsid w:val="007F2CC0"/>
    <w:rsid w:val="007F3330"/>
    <w:rsid w:val="007F3510"/>
    <w:rsid w:val="00801B7F"/>
    <w:rsid w:val="0080240E"/>
    <w:rsid w:val="008029DB"/>
    <w:rsid w:val="008030CC"/>
    <w:rsid w:val="008056EA"/>
    <w:rsid w:val="0080746F"/>
    <w:rsid w:val="00810F24"/>
    <w:rsid w:val="00820156"/>
    <w:rsid w:val="00820C61"/>
    <w:rsid w:val="008216D8"/>
    <w:rsid w:val="00821C56"/>
    <w:rsid w:val="00822355"/>
    <w:rsid w:val="00822511"/>
    <w:rsid w:val="00822641"/>
    <w:rsid w:val="00823DA6"/>
    <w:rsid w:val="00824696"/>
    <w:rsid w:val="00824EFC"/>
    <w:rsid w:val="008256EC"/>
    <w:rsid w:val="008269E9"/>
    <w:rsid w:val="00826C0D"/>
    <w:rsid w:val="008271DB"/>
    <w:rsid w:val="008325A0"/>
    <w:rsid w:val="008330F0"/>
    <w:rsid w:val="0083336B"/>
    <w:rsid w:val="00833D05"/>
    <w:rsid w:val="00837E98"/>
    <w:rsid w:val="00844062"/>
    <w:rsid w:val="00846B3B"/>
    <w:rsid w:val="00853A64"/>
    <w:rsid w:val="00856468"/>
    <w:rsid w:val="008565DD"/>
    <w:rsid w:val="00857562"/>
    <w:rsid w:val="0086000C"/>
    <w:rsid w:val="0086256A"/>
    <w:rsid w:val="00862F57"/>
    <w:rsid w:val="00863A0A"/>
    <w:rsid w:val="00863F86"/>
    <w:rsid w:val="00866560"/>
    <w:rsid w:val="00870235"/>
    <w:rsid w:val="00870E53"/>
    <w:rsid w:val="008722A0"/>
    <w:rsid w:val="008758EE"/>
    <w:rsid w:val="00876560"/>
    <w:rsid w:val="0087685A"/>
    <w:rsid w:val="00876F85"/>
    <w:rsid w:val="008838D2"/>
    <w:rsid w:val="00884ABF"/>
    <w:rsid w:val="00886869"/>
    <w:rsid w:val="008870DD"/>
    <w:rsid w:val="00891A81"/>
    <w:rsid w:val="00892B65"/>
    <w:rsid w:val="0089423D"/>
    <w:rsid w:val="008964AA"/>
    <w:rsid w:val="008A0EB8"/>
    <w:rsid w:val="008A26D6"/>
    <w:rsid w:val="008A33E6"/>
    <w:rsid w:val="008A3CF8"/>
    <w:rsid w:val="008A5A70"/>
    <w:rsid w:val="008A5AFD"/>
    <w:rsid w:val="008A63AD"/>
    <w:rsid w:val="008B2F6C"/>
    <w:rsid w:val="008B2FEE"/>
    <w:rsid w:val="008B30B1"/>
    <w:rsid w:val="008B46BB"/>
    <w:rsid w:val="008B7914"/>
    <w:rsid w:val="008B7EBA"/>
    <w:rsid w:val="008B7FA2"/>
    <w:rsid w:val="008C04DB"/>
    <w:rsid w:val="008C6007"/>
    <w:rsid w:val="008C6597"/>
    <w:rsid w:val="008C71F3"/>
    <w:rsid w:val="008D1335"/>
    <w:rsid w:val="008D1439"/>
    <w:rsid w:val="008D1D11"/>
    <w:rsid w:val="008D289D"/>
    <w:rsid w:val="008D354A"/>
    <w:rsid w:val="008D3FF4"/>
    <w:rsid w:val="008D4475"/>
    <w:rsid w:val="008D6482"/>
    <w:rsid w:val="008D7028"/>
    <w:rsid w:val="008D765A"/>
    <w:rsid w:val="008D7A95"/>
    <w:rsid w:val="008E21AA"/>
    <w:rsid w:val="008E2E66"/>
    <w:rsid w:val="008E4704"/>
    <w:rsid w:val="008E517F"/>
    <w:rsid w:val="008E627A"/>
    <w:rsid w:val="008F04F3"/>
    <w:rsid w:val="008F17E3"/>
    <w:rsid w:val="008F2CE8"/>
    <w:rsid w:val="008F33A3"/>
    <w:rsid w:val="008F40A8"/>
    <w:rsid w:val="0090079F"/>
    <w:rsid w:val="00900F53"/>
    <w:rsid w:val="00901EA7"/>
    <w:rsid w:val="00903159"/>
    <w:rsid w:val="00903768"/>
    <w:rsid w:val="0090393D"/>
    <w:rsid w:val="009045ED"/>
    <w:rsid w:val="00904D21"/>
    <w:rsid w:val="00905610"/>
    <w:rsid w:val="0090687C"/>
    <w:rsid w:val="00907973"/>
    <w:rsid w:val="00911265"/>
    <w:rsid w:val="009112BE"/>
    <w:rsid w:val="00915214"/>
    <w:rsid w:val="009163A9"/>
    <w:rsid w:val="00917E12"/>
    <w:rsid w:val="00921118"/>
    <w:rsid w:val="00921BF3"/>
    <w:rsid w:val="009224AA"/>
    <w:rsid w:val="00926C8B"/>
    <w:rsid w:val="00926FC8"/>
    <w:rsid w:val="00930E2D"/>
    <w:rsid w:val="00932A6E"/>
    <w:rsid w:val="009330EC"/>
    <w:rsid w:val="009369DE"/>
    <w:rsid w:val="00937602"/>
    <w:rsid w:val="00941537"/>
    <w:rsid w:val="00941753"/>
    <w:rsid w:val="009439F8"/>
    <w:rsid w:val="00943A63"/>
    <w:rsid w:val="009451BC"/>
    <w:rsid w:val="00950ECB"/>
    <w:rsid w:val="00952C33"/>
    <w:rsid w:val="00955D3B"/>
    <w:rsid w:val="00957407"/>
    <w:rsid w:val="009619CF"/>
    <w:rsid w:val="00961C9B"/>
    <w:rsid w:val="009620DB"/>
    <w:rsid w:val="0096425D"/>
    <w:rsid w:val="00970478"/>
    <w:rsid w:val="009706E2"/>
    <w:rsid w:val="00970DF2"/>
    <w:rsid w:val="009729CE"/>
    <w:rsid w:val="0097556A"/>
    <w:rsid w:val="00977D61"/>
    <w:rsid w:val="0098487B"/>
    <w:rsid w:val="00984DBC"/>
    <w:rsid w:val="00986907"/>
    <w:rsid w:val="00986F50"/>
    <w:rsid w:val="00987B1D"/>
    <w:rsid w:val="00990BB1"/>
    <w:rsid w:val="009912DF"/>
    <w:rsid w:val="00992DF6"/>
    <w:rsid w:val="0099362D"/>
    <w:rsid w:val="0099451A"/>
    <w:rsid w:val="009959C7"/>
    <w:rsid w:val="009979CA"/>
    <w:rsid w:val="009A0151"/>
    <w:rsid w:val="009A28A3"/>
    <w:rsid w:val="009A5EE1"/>
    <w:rsid w:val="009A63CC"/>
    <w:rsid w:val="009A726D"/>
    <w:rsid w:val="009A7F96"/>
    <w:rsid w:val="009B0E8B"/>
    <w:rsid w:val="009B2527"/>
    <w:rsid w:val="009B4BA1"/>
    <w:rsid w:val="009B544A"/>
    <w:rsid w:val="009B7516"/>
    <w:rsid w:val="009C05F0"/>
    <w:rsid w:val="009C1E4B"/>
    <w:rsid w:val="009C5C61"/>
    <w:rsid w:val="009C6354"/>
    <w:rsid w:val="009C724E"/>
    <w:rsid w:val="009D1210"/>
    <w:rsid w:val="009D373C"/>
    <w:rsid w:val="009D435A"/>
    <w:rsid w:val="009D4574"/>
    <w:rsid w:val="009D7480"/>
    <w:rsid w:val="009E0144"/>
    <w:rsid w:val="009E0400"/>
    <w:rsid w:val="009E3A4B"/>
    <w:rsid w:val="009E3BFF"/>
    <w:rsid w:val="009E5D13"/>
    <w:rsid w:val="009E6268"/>
    <w:rsid w:val="009E7EFB"/>
    <w:rsid w:val="009F1920"/>
    <w:rsid w:val="009F1EC0"/>
    <w:rsid w:val="009F23C2"/>
    <w:rsid w:val="009F5890"/>
    <w:rsid w:val="00A0180D"/>
    <w:rsid w:val="00A0596C"/>
    <w:rsid w:val="00A05D05"/>
    <w:rsid w:val="00A063B8"/>
    <w:rsid w:val="00A071A6"/>
    <w:rsid w:val="00A14D7A"/>
    <w:rsid w:val="00A15819"/>
    <w:rsid w:val="00A164B2"/>
    <w:rsid w:val="00A2034C"/>
    <w:rsid w:val="00A205B3"/>
    <w:rsid w:val="00A22C41"/>
    <w:rsid w:val="00A23770"/>
    <w:rsid w:val="00A3009A"/>
    <w:rsid w:val="00A30205"/>
    <w:rsid w:val="00A32444"/>
    <w:rsid w:val="00A3249C"/>
    <w:rsid w:val="00A339A5"/>
    <w:rsid w:val="00A36687"/>
    <w:rsid w:val="00A36F54"/>
    <w:rsid w:val="00A41477"/>
    <w:rsid w:val="00A4208E"/>
    <w:rsid w:val="00A4266E"/>
    <w:rsid w:val="00A452CC"/>
    <w:rsid w:val="00A46C4E"/>
    <w:rsid w:val="00A46DFE"/>
    <w:rsid w:val="00A47B87"/>
    <w:rsid w:val="00A523FA"/>
    <w:rsid w:val="00A56ABB"/>
    <w:rsid w:val="00A57B57"/>
    <w:rsid w:val="00A60CF6"/>
    <w:rsid w:val="00A645C8"/>
    <w:rsid w:val="00A6481B"/>
    <w:rsid w:val="00A6543C"/>
    <w:rsid w:val="00A65E76"/>
    <w:rsid w:val="00A71D5F"/>
    <w:rsid w:val="00A72039"/>
    <w:rsid w:val="00A74FB7"/>
    <w:rsid w:val="00A755C3"/>
    <w:rsid w:val="00A77944"/>
    <w:rsid w:val="00A80492"/>
    <w:rsid w:val="00A80698"/>
    <w:rsid w:val="00A84052"/>
    <w:rsid w:val="00A85B6B"/>
    <w:rsid w:val="00A8697D"/>
    <w:rsid w:val="00A87128"/>
    <w:rsid w:val="00A879EF"/>
    <w:rsid w:val="00A90868"/>
    <w:rsid w:val="00A90A01"/>
    <w:rsid w:val="00A911B2"/>
    <w:rsid w:val="00A946D1"/>
    <w:rsid w:val="00A97490"/>
    <w:rsid w:val="00A9772F"/>
    <w:rsid w:val="00AA2937"/>
    <w:rsid w:val="00AA360B"/>
    <w:rsid w:val="00AA3832"/>
    <w:rsid w:val="00AA48F2"/>
    <w:rsid w:val="00AA4BA7"/>
    <w:rsid w:val="00AA5801"/>
    <w:rsid w:val="00AB0E68"/>
    <w:rsid w:val="00AB0F52"/>
    <w:rsid w:val="00AB1FAA"/>
    <w:rsid w:val="00AB2981"/>
    <w:rsid w:val="00AB355F"/>
    <w:rsid w:val="00AB5025"/>
    <w:rsid w:val="00AB5B4C"/>
    <w:rsid w:val="00AC0643"/>
    <w:rsid w:val="00AC29B8"/>
    <w:rsid w:val="00AD5ABF"/>
    <w:rsid w:val="00AD6FEB"/>
    <w:rsid w:val="00AE0D3C"/>
    <w:rsid w:val="00AE0EFF"/>
    <w:rsid w:val="00AE2266"/>
    <w:rsid w:val="00AE6CCE"/>
    <w:rsid w:val="00AE6EAB"/>
    <w:rsid w:val="00AF06D7"/>
    <w:rsid w:val="00AF27C9"/>
    <w:rsid w:val="00AF379E"/>
    <w:rsid w:val="00AF3BCC"/>
    <w:rsid w:val="00AF4495"/>
    <w:rsid w:val="00AF5CC6"/>
    <w:rsid w:val="00AF6D11"/>
    <w:rsid w:val="00B06455"/>
    <w:rsid w:val="00B070B4"/>
    <w:rsid w:val="00B07806"/>
    <w:rsid w:val="00B07996"/>
    <w:rsid w:val="00B07DA1"/>
    <w:rsid w:val="00B113D4"/>
    <w:rsid w:val="00B11697"/>
    <w:rsid w:val="00B1658A"/>
    <w:rsid w:val="00B201B8"/>
    <w:rsid w:val="00B20842"/>
    <w:rsid w:val="00B21A66"/>
    <w:rsid w:val="00B2407F"/>
    <w:rsid w:val="00B2513A"/>
    <w:rsid w:val="00B33F52"/>
    <w:rsid w:val="00B359F1"/>
    <w:rsid w:val="00B37BE2"/>
    <w:rsid w:val="00B42217"/>
    <w:rsid w:val="00B42676"/>
    <w:rsid w:val="00B4558C"/>
    <w:rsid w:val="00B4740A"/>
    <w:rsid w:val="00B5003F"/>
    <w:rsid w:val="00B53CA9"/>
    <w:rsid w:val="00B54B60"/>
    <w:rsid w:val="00B54DFC"/>
    <w:rsid w:val="00B54F4B"/>
    <w:rsid w:val="00B55CEF"/>
    <w:rsid w:val="00B55D07"/>
    <w:rsid w:val="00B56E7B"/>
    <w:rsid w:val="00B60152"/>
    <w:rsid w:val="00B60EBD"/>
    <w:rsid w:val="00B6264B"/>
    <w:rsid w:val="00B64590"/>
    <w:rsid w:val="00B64599"/>
    <w:rsid w:val="00B6490A"/>
    <w:rsid w:val="00B656F5"/>
    <w:rsid w:val="00B67A01"/>
    <w:rsid w:val="00B702BE"/>
    <w:rsid w:val="00B721BB"/>
    <w:rsid w:val="00B7245B"/>
    <w:rsid w:val="00B72950"/>
    <w:rsid w:val="00B73464"/>
    <w:rsid w:val="00B760A8"/>
    <w:rsid w:val="00B7728D"/>
    <w:rsid w:val="00B811F0"/>
    <w:rsid w:val="00B84C04"/>
    <w:rsid w:val="00B86204"/>
    <w:rsid w:val="00B86283"/>
    <w:rsid w:val="00B90405"/>
    <w:rsid w:val="00B913C0"/>
    <w:rsid w:val="00B927DA"/>
    <w:rsid w:val="00B93EFF"/>
    <w:rsid w:val="00B96AA7"/>
    <w:rsid w:val="00B97BE0"/>
    <w:rsid w:val="00BA149F"/>
    <w:rsid w:val="00BA3724"/>
    <w:rsid w:val="00BA40F2"/>
    <w:rsid w:val="00BA436B"/>
    <w:rsid w:val="00BA5410"/>
    <w:rsid w:val="00BA6134"/>
    <w:rsid w:val="00BB04A6"/>
    <w:rsid w:val="00BB0E0C"/>
    <w:rsid w:val="00BB11E0"/>
    <w:rsid w:val="00BB1295"/>
    <w:rsid w:val="00BB20B1"/>
    <w:rsid w:val="00BB23BB"/>
    <w:rsid w:val="00BB3759"/>
    <w:rsid w:val="00BB5C36"/>
    <w:rsid w:val="00BB6D6E"/>
    <w:rsid w:val="00BB7B23"/>
    <w:rsid w:val="00BC0CD6"/>
    <w:rsid w:val="00BC0FE7"/>
    <w:rsid w:val="00BC178C"/>
    <w:rsid w:val="00BC1B3F"/>
    <w:rsid w:val="00BC3D4F"/>
    <w:rsid w:val="00BC42E2"/>
    <w:rsid w:val="00BC4DDD"/>
    <w:rsid w:val="00BC610A"/>
    <w:rsid w:val="00BD0BDE"/>
    <w:rsid w:val="00BD3ABF"/>
    <w:rsid w:val="00BD44BB"/>
    <w:rsid w:val="00BD47AB"/>
    <w:rsid w:val="00BD7278"/>
    <w:rsid w:val="00BD7E0B"/>
    <w:rsid w:val="00BE2154"/>
    <w:rsid w:val="00BE33CC"/>
    <w:rsid w:val="00BE3E88"/>
    <w:rsid w:val="00BE3E8F"/>
    <w:rsid w:val="00BE46BF"/>
    <w:rsid w:val="00BE5660"/>
    <w:rsid w:val="00BE6388"/>
    <w:rsid w:val="00BE6B34"/>
    <w:rsid w:val="00BE7CD0"/>
    <w:rsid w:val="00BF148A"/>
    <w:rsid w:val="00BF16C0"/>
    <w:rsid w:val="00BF292B"/>
    <w:rsid w:val="00BF3B06"/>
    <w:rsid w:val="00BF4255"/>
    <w:rsid w:val="00BF493F"/>
    <w:rsid w:val="00BF4C20"/>
    <w:rsid w:val="00C0031B"/>
    <w:rsid w:val="00C01A67"/>
    <w:rsid w:val="00C032FB"/>
    <w:rsid w:val="00C0368E"/>
    <w:rsid w:val="00C070AE"/>
    <w:rsid w:val="00C07A19"/>
    <w:rsid w:val="00C109AF"/>
    <w:rsid w:val="00C111B2"/>
    <w:rsid w:val="00C11FFF"/>
    <w:rsid w:val="00C12EB9"/>
    <w:rsid w:val="00C176CA"/>
    <w:rsid w:val="00C17B5C"/>
    <w:rsid w:val="00C210F9"/>
    <w:rsid w:val="00C22A45"/>
    <w:rsid w:val="00C307E0"/>
    <w:rsid w:val="00C30928"/>
    <w:rsid w:val="00C31C22"/>
    <w:rsid w:val="00C32081"/>
    <w:rsid w:val="00C32E29"/>
    <w:rsid w:val="00C32ED1"/>
    <w:rsid w:val="00C358D7"/>
    <w:rsid w:val="00C35965"/>
    <w:rsid w:val="00C366C9"/>
    <w:rsid w:val="00C44109"/>
    <w:rsid w:val="00C441BB"/>
    <w:rsid w:val="00C44C4F"/>
    <w:rsid w:val="00C53CFE"/>
    <w:rsid w:val="00C53DBF"/>
    <w:rsid w:val="00C5408A"/>
    <w:rsid w:val="00C56F50"/>
    <w:rsid w:val="00C5751F"/>
    <w:rsid w:val="00C609D1"/>
    <w:rsid w:val="00C61793"/>
    <w:rsid w:val="00C663BE"/>
    <w:rsid w:val="00C70494"/>
    <w:rsid w:val="00C71389"/>
    <w:rsid w:val="00C720FE"/>
    <w:rsid w:val="00C74F5E"/>
    <w:rsid w:val="00C750D4"/>
    <w:rsid w:val="00C77A30"/>
    <w:rsid w:val="00C77E1A"/>
    <w:rsid w:val="00C813BA"/>
    <w:rsid w:val="00C82CE3"/>
    <w:rsid w:val="00C832A9"/>
    <w:rsid w:val="00C83D69"/>
    <w:rsid w:val="00C84225"/>
    <w:rsid w:val="00C86647"/>
    <w:rsid w:val="00C91AC7"/>
    <w:rsid w:val="00C923A3"/>
    <w:rsid w:val="00C93EF7"/>
    <w:rsid w:val="00C96007"/>
    <w:rsid w:val="00C9708A"/>
    <w:rsid w:val="00C971CF"/>
    <w:rsid w:val="00C97C8F"/>
    <w:rsid w:val="00CA06C5"/>
    <w:rsid w:val="00CA087D"/>
    <w:rsid w:val="00CA142B"/>
    <w:rsid w:val="00CA27A3"/>
    <w:rsid w:val="00CA29D2"/>
    <w:rsid w:val="00CA6FF1"/>
    <w:rsid w:val="00CA7295"/>
    <w:rsid w:val="00CB03D9"/>
    <w:rsid w:val="00CB19B7"/>
    <w:rsid w:val="00CB1C11"/>
    <w:rsid w:val="00CB1F7E"/>
    <w:rsid w:val="00CB3B59"/>
    <w:rsid w:val="00CB5F92"/>
    <w:rsid w:val="00CB696B"/>
    <w:rsid w:val="00CC034B"/>
    <w:rsid w:val="00CC1A6A"/>
    <w:rsid w:val="00CC2C77"/>
    <w:rsid w:val="00CC317E"/>
    <w:rsid w:val="00CC3696"/>
    <w:rsid w:val="00CC3FD6"/>
    <w:rsid w:val="00CC5DD7"/>
    <w:rsid w:val="00CC5F18"/>
    <w:rsid w:val="00CC79FD"/>
    <w:rsid w:val="00CD0521"/>
    <w:rsid w:val="00CD0F66"/>
    <w:rsid w:val="00CD1538"/>
    <w:rsid w:val="00CD37D2"/>
    <w:rsid w:val="00CD4F89"/>
    <w:rsid w:val="00CD5A2C"/>
    <w:rsid w:val="00CD6322"/>
    <w:rsid w:val="00CE17C0"/>
    <w:rsid w:val="00CE19E5"/>
    <w:rsid w:val="00CE1DCB"/>
    <w:rsid w:val="00CE2B41"/>
    <w:rsid w:val="00CE47DD"/>
    <w:rsid w:val="00CE525A"/>
    <w:rsid w:val="00CF198F"/>
    <w:rsid w:val="00CF1FA1"/>
    <w:rsid w:val="00CF2155"/>
    <w:rsid w:val="00CF29B6"/>
    <w:rsid w:val="00CF3F2C"/>
    <w:rsid w:val="00CF4291"/>
    <w:rsid w:val="00CF5CFD"/>
    <w:rsid w:val="00CF6665"/>
    <w:rsid w:val="00CF7CB7"/>
    <w:rsid w:val="00D00386"/>
    <w:rsid w:val="00D0205A"/>
    <w:rsid w:val="00D02806"/>
    <w:rsid w:val="00D05C41"/>
    <w:rsid w:val="00D0624B"/>
    <w:rsid w:val="00D06A89"/>
    <w:rsid w:val="00D14184"/>
    <w:rsid w:val="00D15302"/>
    <w:rsid w:val="00D17846"/>
    <w:rsid w:val="00D17D03"/>
    <w:rsid w:val="00D22CCD"/>
    <w:rsid w:val="00D23E39"/>
    <w:rsid w:val="00D2488D"/>
    <w:rsid w:val="00D24E6A"/>
    <w:rsid w:val="00D30AD2"/>
    <w:rsid w:val="00D314EB"/>
    <w:rsid w:val="00D37950"/>
    <w:rsid w:val="00D40879"/>
    <w:rsid w:val="00D40924"/>
    <w:rsid w:val="00D411AD"/>
    <w:rsid w:val="00D427FF"/>
    <w:rsid w:val="00D42D7C"/>
    <w:rsid w:val="00D44524"/>
    <w:rsid w:val="00D46603"/>
    <w:rsid w:val="00D47912"/>
    <w:rsid w:val="00D50908"/>
    <w:rsid w:val="00D52203"/>
    <w:rsid w:val="00D52C69"/>
    <w:rsid w:val="00D54FA8"/>
    <w:rsid w:val="00D622CF"/>
    <w:rsid w:val="00D63639"/>
    <w:rsid w:val="00D66FDE"/>
    <w:rsid w:val="00D70BA6"/>
    <w:rsid w:val="00D7288F"/>
    <w:rsid w:val="00D734CA"/>
    <w:rsid w:val="00D74B21"/>
    <w:rsid w:val="00D74D96"/>
    <w:rsid w:val="00D77000"/>
    <w:rsid w:val="00D77F44"/>
    <w:rsid w:val="00D83705"/>
    <w:rsid w:val="00D85189"/>
    <w:rsid w:val="00D855D2"/>
    <w:rsid w:val="00D85C94"/>
    <w:rsid w:val="00D86845"/>
    <w:rsid w:val="00D87674"/>
    <w:rsid w:val="00D92409"/>
    <w:rsid w:val="00D94F3E"/>
    <w:rsid w:val="00DA33AB"/>
    <w:rsid w:val="00DA3736"/>
    <w:rsid w:val="00DA4A46"/>
    <w:rsid w:val="00DA5E1D"/>
    <w:rsid w:val="00DB1B56"/>
    <w:rsid w:val="00DB1E9C"/>
    <w:rsid w:val="00DB3ED0"/>
    <w:rsid w:val="00DB41E9"/>
    <w:rsid w:val="00DB6AA0"/>
    <w:rsid w:val="00DB76BC"/>
    <w:rsid w:val="00DC152C"/>
    <w:rsid w:val="00DD0486"/>
    <w:rsid w:val="00DD0B7D"/>
    <w:rsid w:val="00DD1AFB"/>
    <w:rsid w:val="00DD41CB"/>
    <w:rsid w:val="00DE380E"/>
    <w:rsid w:val="00DE52E2"/>
    <w:rsid w:val="00DE5345"/>
    <w:rsid w:val="00DE7A98"/>
    <w:rsid w:val="00DF08F5"/>
    <w:rsid w:val="00DF1D8C"/>
    <w:rsid w:val="00DF2A53"/>
    <w:rsid w:val="00DF3980"/>
    <w:rsid w:val="00DF73E0"/>
    <w:rsid w:val="00DF7749"/>
    <w:rsid w:val="00E0007B"/>
    <w:rsid w:val="00E010EE"/>
    <w:rsid w:val="00E014B4"/>
    <w:rsid w:val="00E0677B"/>
    <w:rsid w:val="00E07D96"/>
    <w:rsid w:val="00E10276"/>
    <w:rsid w:val="00E127E5"/>
    <w:rsid w:val="00E12FBC"/>
    <w:rsid w:val="00E137A1"/>
    <w:rsid w:val="00E137D6"/>
    <w:rsid w:val="00E15833"/>
    <w:rsid w:val="00E17C7F"/>
    <w:rsid w:val="00E20576"/>
    <w:rsid w:val="00E207AC"/>
    <w:rsid w:val="00E2187A"/>
    <w:rsid w:val="00E27C08"/>
    <w:rsid w:val="00E305F1"/>
    <w:rsid w:val="00E32521"/>
    <w:rsid w:val="00E35D15"/>
    <w:rsid w:val="00E3631B"/>
    <w:rsid w:val="00E36EC2"/>
    <w:rsid w:val="00E41C62"/>
    <w:rsid w:val="00E4210E"/>
    <w:rsid w:val="00E42A06"/>
    <w:rsid w:val="00E43A33"/>
    <w:rsid w:val="00E45051"/>
    <w:rsid w:val="00E500EF"/>
    <w:rsid w:val="00E504FB"/>
    <w:rsid w:val="00E50595"/>
    <w:rsid w:val="00E53087"/>
    <w:rsid w:val="00E605EA"/>
    <w:rsid w:val="00E630B1"/>
    <w:rsid w:val="00E67558"/>
    <w:rsid w:val="00E710EC"/>
    <w:rsid w:val="00E711EE"/>
    <w:rsid w:val="00E72551"/>
    <w:rsid w:val="00E725DB"/>
    <w:rsid w:val="00E727AF"/>
    <w:rsid w:val="00E72F6B"/>
    <w:rsid w:val="00E7353B"/>
    <w:rsid w:val="00E75926"/>
    <w:rsid w:val="00E761B1"/>
    <w:rsid w:val="00E7679B"/>
    <w:rsid w:val="00E847DD"/>
    <w:rsid w:val="00E848D3"/>
    <w:rsid w:val="00E86524"/>
    <w:rsid w:val="00E86937"/>
    <w:rsid w:val="00E8754C"/>
    <w:rsid w:val="00E87BC1"/>
    <w:rsid w:val="00E93407"/>
    <w:rsid w:val="00E93549"/>
    <w:rsid w:val="00E93D6F"/>
    <w:rsid w:val="00E9556B"/>
    <w:rsid w:val="00E96D57"/>
    <w:rsid w:val="00E974EC"/>
    <w:rsid w:val="00E97CB6"/>
    <w:rsid w:val="00EA03E4"/>
    <w:rsid w:val="00EA1EAF"/>
    <w:rsid w:val="00EA22A1"/>
    <w:rsid w:val="00EA2D50"/>
    <w:rsid w:val="00EA72F7"/>
    <w:rsid w:val="00EB10AF"/>
    <w:rsid w:val="00EB3220"/>
    <w:rsid w:val="00EB45F3"/>
    <w:rsid w:val="00EB4FF1"/>
    <w:rsid w:val="00EB7F2B"/>
    <w:rsid w:val="00EC12F3"/>
    <w:rsid w:val="00EC5FB7"/>
    <w:rsid w:val="00EC67AE"/>
    <w:rsid w:val="00EC6C9C"/>
    <w:rsid w:val="00EC6D14"/>
    <w:rsid w:val="00EC7D38"/>
    <w:rsid w:val="00ED39D8"/>
    <w:rsid w:val="00ED5042"/>
    <w:rsid w:val="00ED5112"/>
    <w:rsid w:val="00ED624C"/>
    <w:rsid w:val="00EE1D55"/>
    <w:rsid w:val="00EE6D01"/>
    <w:rsid w:val="00EF0964"/>
    <w:rsid w:val="00EF138B"/>
    <w:rsid w:val="00EF1934"/>
    <w:rsid w:val="00EF269D"/>
    <w:rsid w:val="00EF300F"/>
    <w:rsid w:val="00EF3BD8"/>
    <w:rsid w:val="00EF5FFE"/>
    <w:rsid w:val="00EF6B61"/>
    <w:rsid w:val="00F00660"/>
    <w:rsid w:val="00F01D0E"/>
    <w:rsid w:val="00F0317F"/>
    <w:rsid w:val="00F0394C"/>
    <w:rsid w:val="00F04221"/>
    <w:rsid w:val="00F05797"/>
    <w:rsid w:val="00F0585F"/>
    <w:rsid w:val="00F067F6"/>
    <w:rsid w:val="00F075D0"/>
    <w:rsid w:val="00F1243D"/>
    <w:rsid w:val="00F12814"/>
    <w:rsid w:val="00F15C40"/>
    <w:rsid w:val="00F215E2"/>
    <w:rsid w:val="00F232F4"/>
    <w:rsid w:val="00F239A2"/>
    <w:rsid w:val="00F24166"/>
    <w:rsid w:val="00F24421"/>
    <w:rsid w:val="00F26C4C"/>
    <w:rsid w:val="00F30947"/>
    <w:rsid w:val="00F31777"/>
    <w:rsid w:val="00F31B8C"/>
    <w:rsid w:val="00F32BD4"/>
    <w:rsid w:val="00F33237"/>
    <w:rsid w:val="00F34317"/>
    <w:rsid w:val="00F34752"/>
    <w:rsid w:val="00F34AFB"/>
    <w:rsid w:val="00F4061E"/>
    <w:rsid w:val="00F40733"/>
    <w:rsid w:val="00F41C59"/>
    <w:rsid w:val="00F42231"/>
    <w:rsid w:val="00F43D67"/>
    <w:rsid w:val="00F44CBA"/>
    <w:rsid w:val="00F46B70"/>
    <w:rsid w:val="00F50007"/>
    <w:rsid w:val="00F506A1"/>
    <w:rsid w:val="00F507A9"/>
    <w:rsid w:val="00F51EE4"/>
    <w:rsid w:val="00F5216E"/>
    <w:rsid w:val="00F548FB"/>
    <w:rsid w:val="00F57863"/>
    <w:rsid w:val="00F579B3"/>
    <w:rsid w:val="00F614C8"/>
    <w:rsid w:val="00F61CCC"/>
    <w:rsid w:val="00F6487D"/>
    <w:rsid w:val="00F65AB7"/>
    <w:rsid w:val="00F701D5"/>
    <w:rsid w:val="00F70C63"/>
    <w:rsid w:val="00F71363"/>
    <w:rsid w:val="00F73F2C"/>
    <w:rsid w:val="00F814D9"/>
    <w:rsid w:val="00F82212"/>
    <w:rsid w:val="00F849E6"/>
    <w:rsid w:val="00F84ACF"/>
    <w:rsid w:val="00F85533"/>
    <w:rsid w:val="00F85FCF"/>
    <w:rsid w:val="00F864B1"/>
    <w:rsid w:val="00F90132"/>
    <w:rsid w:val="00F9130C"/>
    <w:rsid w:val="00F9515A"/>
    <w:rsid w:val="00F962E2"/>
    <w:rsid w:val="00F970EF"/>
    <w:rsid w:val="00FA22AA"/>
    <w:rsid w:val="00FA37D4"/>
    <w:rsid w:val="00FA649F"/>
    <w:rsid w:val="00FA79DD"/>
    <w:rsid w:val="00FB0BE8"/>
    <w:rsid w:val="00FB29B0"/>
    <w:rsid w:val="00FB4313"/>
    <w:rsid w:val="00FB5B56"/>
    <w:rsid w:val="00FB6278"/>
    <w:rsid w:val="00FB67CC"/>
    <w:rsid w:val="00FC07D0"/>
    <w:rsid w:val="00FC3728"/>
    <w:rsid w:val="00FC52BA"/>
    <w:rsid w:val="00FC5B41"/>
    <w:rsid w:val="00FC61D2"/>
    <w:rsid w:val="00FC6F95"/>
    <w:rsid w:val="00FD4101"/>
    <w:rsid w:val="00FD4E8E"/>
    <w:rsid w:val="00FD6A74"/>
    <w:rsid w:val="00FD7ADD"/>
    <w:rsid w:val="00FE01DC"/>
    <w:rsid w:val="00FE190D"/>
    <w:rsid w:val="00FE289A"/>
    <w:rsid w:val="00FE365E"/>
    <w:rsid w:val="00FE46A3"/>
    <w:rsid w:val="00FE53AA"/>
    <w:rsid w:val="00FE69C0"/>
    <w:rsid w:val="00FE7A4C"/>
    <w:rsid w:val="00FF1EA4"/>
    <w:rsid w:val="00FF41A0"/>
    <w:rsid w:val="00FF5743"/>
    <w:rsid w:val="00FF5D76"/>
    <w:rsid w:val="00FF6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2AE653D"/>
  <w14:defaultImageDpi w14:val="300"/>
  <w15:docId w15:val="{1B055C17-4D00-49B7-8A93-02BED4A8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link w:val="Heading1Char"/>
    <w:uiPriority w:val="9"/>
    <w:qFormat/>
    <w:rsid w:val="002E7FA8"/>
    <w:pPr>
      <w:keepNext/>
      <w:keepLines/>
      <w:widowControl w:val="0"/>
      <w:autoSpaceDE w:val="0"/>
      <w:autoSpaceDN w:val="0"/>
      <w:adjustRightInd w:val="0"/>
      <w:spacing w:before="480" w:after="200" w:line="276" w:lineRule="auto"/>
      <w:textAlignment w:val="center"/>
      <w:outlineLvl w:val="0"/>
    </w:pPr>
    <w:rPr>
      <w:rFonts w:ascii="Frutiger-Bold" w:hAnsi="Frutiger-Bold"/>
      <w:b/>
      <w:bCs/>
      <w:color w:val="772167"/>
      <w:sz w:val="28"/>
      <w:szCs w:val="28"/>
      <w:lang w:eastAsia="ja-JP"/>
    </w:rPr>
  </w:style>
  <w:style w:type="paragraph" w:styleId="Heading2">
    <w:name w:val="heading 2"/>
    <w:basedOn w:val="Normal"/>
    <w:next w:val="Normal"/>
    <w:link w:val="Heading2Char"/>
    <w:uiPriority w:val="9"/>
    <w:unhideWhenUsed/>
    <w:qFormat/>
    <w:rsid w:val="00FE190D"/>
    <w:pPr>
      <w:keepNext/>
      <w:keepLines/>
      <w:spacing w:before="200"/>
      <w:outlineLvl w:val="1"/>
    </w:pPr>
    <w:rPr>
      <w:rFonts w:ascii="Arial" w:eastAsiaTheme="majorEastAsia" w:hAnsi="Arial" w:cstheme="majorBidi"/>
      <w:b/>
      <w:bCs/>
      <w:sz w:val="44"/>
      <w:szCs w:val="26"/>
    </w:rPr>
  </w:style>
  <w:style w:type="paragraph" w:styleId="Heading3">
    <w:name w:val="heading 3"/>
    <w:basedOn w:val="Normal"/>
    <w:next w:val="Normal"/>
    <w:link w:val="Heading3Char"/>
    <w:uiPriority w:val="9"/>
    <w:unhideWhenUsed/>
    <w:qFormat/>
    <w:rsid w:val="001F118D"/>
    <w:pPr>
      <w:keepNext/>
      <w:keepLines/>
      <w:spacing w:before="200"/>
      <w:outlineLvl w:val="2"/>
    </w:pPr>
    <w:rPr>
      <w:rFonts w:ascii="Arial" w:eastAsiaTheme="majorEastAsia" w:hAnsi="Arial" w:cstheme="majorBidi"/>
      <w:b/>
      <w:bCs/>
      <w:sz w:val="28"/>
    </w:rPr>
  </w:style>
  <w:style w:type="paragraph" w:styleId="Heading4">
    <w:name w:val="heading 4"/>
    <w:basedOn w:val="Normal"/>
    <w:next w:val="Normal"/>
    <w:link w:val="Heading4Char"/>
    <w:uiPriority w:val="9"/>
    <w:unhideWhenUsed/>
    <w:qFormat/>
    <w:rsid w:val="001F118D"/>
    <w:pPr>
      <w:keepNext/>
      <w:keepLines/>
      <w:spacing w:before="20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AB1FAA"/>
    <w:pPr>
      <w:keepNext/>
      <w:keepLines/>
      <w:spacing w:before="200"/>
      <w:outlineLvl w:val="4"/>
    </w:pPr>
    <w:rPr>
      <w:rFonts w:ascii="Arial" w:eastAsiaTheme="majorEastAsia" w:hAnsi="Arial" w:cstheme="majorBidi"/>
      <w:sz w:val="28"/>
    </w:rPr>
  </w:style>
  <w:style w:type="paragraph" w:styleId="Heading6">
    <w:name w:val="heading 6"/>
    <w:basedOn w:val="Normal"/>
    <w:next w:val="Normal"/>
    <w:link w:val="Heading6Char"/>
    <w:unhideWhenUsed/>
    <w:qFormat/>
    <w:rsid w:val="000B10F7"/>
    <w:pPr>
      <w:keepNext/>
      <w:keepLines/>
      <w:spacing w:before="200" w:line="276" w:lineRule="auto"/>
      <w:ind w:left="1152" w:hanging="1152"/>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0B10F7"/>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0B10F7"/>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B10F7"/>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33136"/>
    <w:rPr>
      <w:rFonts w:ascii="Lucida Grande" w:hAnsi="Lucida Grande"/>
      <w:sz w:val="18"/>
      <w:szCs w:val="18"/>
    </w:rPr>
  </w:style>
  <w:style w:type="paragraph" w:customStyle="1" w:styleId="BasicParagraph">
    <w:name w:val="[Basic Paragraph]"/>
    <w:basedOn w:val="Normal"/>
    <w:uiPriority w:val="99"/>
    <w:rsid w:val="00356BA6"/>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character" w:customStyle="1" w:styleId="Heading2Char">
    <w:name w:val="Heading 2 Char"/>
    <w:basedOn w:val="DefaultParagraphFont"/>
    <w:link w:val="Heading2"/>
    <w:uiPriority w:val="9"/>
    <w:rsid w:val="00FE190D"/>
    <w:rPr>
      <w:rFonts w:ascii="Arial" w:eastAsiaTheme="majorEastAsia" w:hAnsi="Arial" w:cstheme="majorBidi"/>
      <w:b/>
      <w:bCs/>
      <w:sz w:val="44"/>
      <w:szCs w:val="26"/>
      <w:lang w:eastAsia="en-US"/>
    </w:rPr>
  </w:style>
  <w:style w:type="paragraph" w:customStyle="1" w:styleId="MEHArial">
    <w:name w:val="MEH Arial"/>
    <w:basedOn w:val="Normal"/>
    <w:uiPriority w:val="99"/>
    <w:qFormat/>
    <w:rsid w:val="00F82212"/>
    <w:pPr>
      <w:spacing w:before="120" w:after="120"/>
    </w:pPr>
    <w:rPr>
      <w:rFonts w:ascii="Arial" w:hAnsi="Arial"/>
      <w:sz w:val="28"/>
    </w:rPr>
  </w:style>
  <w:style w:type="character" w:styleId="Hyperlink">
    <w:name w:val="Hyperlink"/>
    <w:basedOn w:val="DefaultParagraphFont"/>
    <w:uiPriority w:val="99"/>
    <w:unhideWhenUsed/>
    <w:rsid w:val="00D40879"/>
    <w:rPr>
      <w:color w:val="0000FF" w:themeColor="hyperlink"/>
      <w:u w:val="single"/>
    </w:rPr>
  </w:style>
  <w:style w:type="paragraph" w:customStyle="1" w:styleId="NoParagraphStyle">
    <w:name w:val="[No Paragraph Style]"/>
    <w:rsid w:val="00CF5CFD"/>
    <w:pPr>
      <w:widowControl w:val="0"/>
      <w:autoSpaceDE w:val="0"/>
      <w:autoSpaceDN w:val="0"/>
      <w:adjustRightInd w:val="0"/>
      <w:spacing w:line="288" w:lineRule="auto"/>
      <w:textAlignment w:val="center"/>
    </w:pPr>
    <w:rPr>
      <w:rFonts w:ascii="Frutiger-Light" w:hAnsi="Frutiger-Light"/>
      <w:color w:val="000000"/>
      <w:sz w:val="24"/>
      <w:szCs w:val="24"/>
      <w:lang w:val="en-GB"/>
    </w:rPr>
  </w:style>
  <w:style w:type="paragraph" w:customStyle="1" w:styleId="MEHBoldheading1">
    <w:name w:val="MEH Bold heading 1"/>
    <w:basedOn w:val="Normal"/>
    <w:qFormat/>
    <w:rsid w:val="0077653F"/>
    <w:pPr>
      <w:tabs>
        <w:tab w:val="left" w:pos="709"/>
        <w:tab w:val="left" w:pos="9356"/>
      </w:tabs>
      <w:spacing w:before="120" w:after="120"/>
    </w:pPr>
    <w:rPr>
      <w:rFonts w:ascii="Arial" w:hAnsi="Arial"/>
      <w:b/>
      <w:sz w:val="36"/>
      <w:szCs w:val="36"/>
    </w:rPr>
  </w:style>
  <w:style w:type="numbering" w:customStyle="1" w:styleId="Style1">
    <w:name w:val="Style1"/>
    <w:uiPriority w:val="99"/>
    <w:rsid w:val="00B54F4B"/>
    <w:pPr>
      <w:numPr>
        <w:numId w:val="1"/>
      </w:numPr>
    </w:pPr>
  </w:style>
  <w:style w:type="numbering" w:customStyle="1" w:styleId="Style2">
    <w:name w:val="Style2"/>
    <w:uiPriority w:val="99"/>
    <w:rsid w:val="003D0866"/>
    <w:pPr>
      <w:numPr>
        <w:numId w:val="2"/>
      </w:numPr>
    </w:pPr>
  </w:style>
  <w:style w:type="character" w:customStyle="1" w:styleId="Heading1Char">
    <w:name w:val="Heading 1 Char"/>
    <w:basedOn w:val="DefaultParagraphFont"/>
    <w:link w:val="Heading1"/>
    <w:uiPriority w:val="9"/>
    <w:rsid w:val="002E7FA8"/>
    <w:rPr>
      <w:rFonts w:ascii="Frutiger-Bold" w:hAnsi="Frutiger-Bold"/>
      <w:b/>
      <w:bCs/>
      <w:color w:val="772167"/>
      <w:sz w:val="28"/>
      <w:szCs w:val="28"/>
    </w:rPr>
  </w:style>
  <w:style w:type="character" w:customStyle="1" w:styleId="Heading3Char">
    <w:name w:val="Heading 3 Char"/>
    <w:basedOn w:val="DefaultParagraphFont"/>
    <w:link w:val="Heading3"/>
    <w:uiPriority w:val="9"/>
    <w:rsid w:val="001F118D"/>
    <w:rPr>
      <w:rFonts w:ascii="Arial" w:eastAsiaTheme="majorEastAsia" w:hAnsi="Arial" w:cstheme="majorBidi"/>
      <w:b/>
      <w:bCs/>
      <w:sz w:val="28"/>
      <w:szCs w:val="24"/>
      <w:lang w:eastAsia="en-US"/>
    </w:rPr>
  </w:style>
  <w:style w:type="character" w:customStyle="1" w:styleId="WordImportedListStyle15StylesforWordRTFImportedLists">
    <w:name w:val="Word Imported List Style15 (Styles for Word/RTF Imported Lists)"/>
    <w:uiPriority w:val="99"/>
    <w:rsid w:val="00375CCE"/>
  </w:style>
  <w:style w:type="paragraph" w:styleId="Footer">
    <w:name w:val="footer"/>
    <w:aliases w:val="Footer line 1"/>
    <w:basedOn w:val="Normal"/>
    <w:link w:val="FooterChar"/>
    <w:uiPriority w:val="99"/>
    <w:unhideWhenUsed/>
    <w:rsid w:val="00B811F0"/>
    <w:pPr>
      <w:tabs>
        <w:tab w:val="center" w:pos="4320"/>
        <w:tab w:val="right" w:pos="8640"/>
      </w:tabs>
    </w:pPr>
  </w:style>
  <w:style w:type="character" w:customStyle="1" w:styleId="FooterChar">
    <w:name w:val="Footer Char"/>
    <w:aliases w:val="Footer line 1 Char"/>
    <w:basedOn w:val="DefaultParagraphFont"/>
    <w:link w:val="Footer"/>
    <w:uiPriority w:val="99"/>
    <w:rsid w:val="00B811F0"/>
    <w:rPr>
      <w:sz w:val="24"/>
      <w:szCs w:val="24"/>
      <w:lang w:eastAsia="en-US"/>
    </w:rPr>
  </w:style>
  <w:style w:type="character" w:styleId="PageNumber">
    <w:name w:val="page number"/>
    <w:basedOn w:val="DefaultParagraphFont"/>
    <w:uiPriority w:val="99"/>
    <w:semiHidden/>
    <w:unhideWhenUsed/>
    <w:rsid w:val="00B811F0"/>
  </w:style>
  <w:style w:type="paragraph" w:styleId="ListParagraph">
    <w:name w:val="List Paragraph"/>
    <w:basedOn w:val="Normal"/>
    <w:link w:val="ListParagraphChar"/>
    <w:uiPriority w:val="34"/>
    <w:qFormat/>
    <w:rsid w:val="00B811F0"/>
    <w:pPr>
      <w:ind w:left="720"/>
      <w:contextualSpacing/>
    </w:pPr>
  </w:style>
  <w:style w:type="character" w:customStyle="1" w:styleId="Heading4Char">
    <w:name w:val="Heading 4 Char"/>
    <w:basedOn w:val="DefaultParagraphFont"/>
    <w:link w:val="Heading4"/>
    <w:uiPriority w:val="9"/>
    <w:rsid w:val="001F118D"/>
    <w:rPr>
      <w:rFonts w:ascii="Arial" w:eastAsiaTheme="majorEastAsia" w:hAnsi="Arial" w:cstheme="majorBidi"/>
      <w:b/>
      <w:bCs/>
      <w:iCs/>
      <w:sz w:val="28"/>
      <w:szCs w:val="24"/>
      <w:lang w:eastAsia="en-US"/>
    </w:rPr>
  </w:style>
  <w:style w:type="character" w:customStyle="1" w:styleId="Heading5Char">
    <w:name w:val="Heading 5 Char"/>
    <w:basedOn w:val="DefaultParagraphFont"/>
    <w:link w:val="Heading5"/>
    <w:uiPriority w:val="9"/>
    <w:rsid w:val="00AB1FAA"/>
    <w:rPr>
      <w:rFonts w:ascii="Arial" w:eastAsiaTheme="majorEastAsia" w:hAnsi="Arial" w:cstheme="majorBidi"/>
      <w:sz w:val="28"/>
      <w:szCs w:val="24"/>
      <w:lang w:eastAsia="en-US"/>
    </w:rPr>
  </w:style>
  <w:style w:type="table" w:styleId="TableGrid">
    <w:name w:val="Table Grid"/>
    <w:basedOn w:val="TableNormal"/>
    <w:rsid w:val="00653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B86283"/>
    <w:rPr>
      <w:sz w:val="24"/>
      <w:szCs w:val="24"/>
      <w:lang w:val="en-GB" w:eastAsia="en-US"/>
    </w:rPr>
  </w:style>
  <w:style w:type="paragraph" w:styleId="NoSpacing">
    <w:name w:val="No Spacing"/>
    <w:aliases w:val="NO SPACE,~BaseStyle"/>
    <w:uiPriority w:val="1"/>
    <w:qFormat/>
    <w:rsid w:val="000F4A3B"/>
    <w:rPr>
      <w:rFonts w:asciiTheme="minorHAnsi" w:eastAsiaTheme="minorHAnsi" w:hAnsiTheme="minorHAnsi" w:cstheme="minorBidi"/>
      <w:sz w:val="22"/>
      <w:szCs w:val="22"/>
      <w:lang w:val="en-GB" w:eastAsia="en-US"/>
    </w:rPr>
  </w:style>
  <w:style w:type="character" w:customStyle="1" w:styleId="Heading6Char">
    <w:name w:val="Heading 6 Char"/>
    <w:basedOn w:val="DefaultParagraphFont"/>
    <w:link w:val="Heading6"/>
    <w:rsid w:val="000B10F7"/>
    <w:rPr>
      <w:rFonts w:asciiTheme="majorHAnsi" w:eastAsiaTheme="majorEastAsia" w:hAnsiTheme="majorHAnsi" w:cstheme="majorBidi"/>
      <w:i/>
      <w:iCs/>
      <w:color w:val="243F60" w:themeColor="accent1" w:themeShade="7F"/>
      <w:sz w:val="22"/>
      <w:szCs w:val="22"/>
      <w:lang w:val="en-GB" w:eastAsia="en-US"/>
    </w:rPr>
  </w:style>
  <w:style w:type="character" w:customStyle="1" w:styleId="Heading7Char">
    <w:name w:val="Heading 7 Char"/>
    <w:basedOn w:val="DefaultParagraphFont"/>
    <w:link w:val="Heading7"/>
    <w:uiPriority w:val="9"/>
    <w:semiHidden/>
    <w:rsid w:val="000B10F7"/>
    <w:rPr>
      <w:rFonts w:asciiTheme="majorHAnsi" w:eastAsiaTheme="majorEastAsia" w:hAnsiTheme="majorHAnsi" w:cstheme="majorBidi"/>
      <w:i/>
      <w:iCs/>
      <w:color w:val="404040" w:themeColor="text1" w:themeTint="BF"/>
      <w:sz w:val="22"/>
      <w:szCs w:val="22"/>
      <w:lang w:val="en-GB" w:eastAsia="en-US"/>
    </w:rPr>
  </w:style>
  <w:style w:type="character" w:customStyle="1" w:styleId="Heading8Char">
    <w:name w:val="Heading 8 Char"/>
    <w:basedOn w:val="DefaultParagraphFont"/>
    <w:link w:val="Heading8"/>
    <w:uiPriority w:val="9"/>
    <w:semiHidden/>
    <w:rsid w:val="000B10F7"/>
    <w:rPr>
      <w:rFonts w:asciiTheme="majorHAnsi" w:eastAsiaTheme="majorEastAsia" w:hAnsiTheme="majorHAnsi" w:cstheme="majorBidi"/>
      <w:color w:val="404040" w:themeColor="text1" w:themeTint="BF"/>
      <w:lang w:val="en-GB" w:eastAsia="en-US"/>
    </w:rPr>
  </w:style>
  <w:style w:type="character" w:customStyle="1" w:styleId="Heading9Char">
    <w:name w:val="Heading 9 Char"/>
    <w:basedOn w:val="DefaultParagraphFont"/>
    <w:link w:val="Heading9"/>
    <w:uiPriority w:val="9"/>
    <w:semiHidden/>
    <w:rsid w:val="000B10F7"/>
    <w:rPr>
      <w:rFonts w:asciiTheme="majorHAnsi" w:eastAsiaTheme="majorEastAsia" w:hAnsiTheme="majorHAnsi" w:cstheme="majorBidi"/>
      <w:i/>
      <w:iCs/>
      <w:color w:val="404040" w:themeColor="text1" w:themeTint="BF"/>
      <w:lang w:val="en-GB" w:eastAsia="en-US"/>
    </w:rPr>
  </w:style>
  <w:style w:type="character" w:styleId="CommentReference">
    <w:name w:val="annotation reference"/>
    <w:basedOn w:val="DefaultParagraphFont"/>
    <w:uiPriority w:val="99"/>
    <w:semiHidden/>
    <w:unhideWhenUsed/>
    <w:rsid w:val="005707FF"/>
    <w:rPr>
      <w:sz w:val="16"/>
      <w:szCs w:val="16"/>
    </w:rPr>
  </w:style>
  <w:style w:type="paragraph" w:styleId="CommentText">
    <w:name w:val="annotation text"/>
    <w:basedOn w:val="Normal"/>
    <w:link w:val="CommentTextChar"/>
    <w:uiPriority w:val="99"/>
    <w:unhideWhenUsed/>
    <w:rsid w:val="005707FF"/>
    <w:pPr>
      <w:spacing w:after="200"/>
    </w:pPr>
    <w:rPr>
      <w:rFonts w:ascii="Arial" w:eastAsiaTheme="minorHAnsi" w:hAnsi="Arial" w:cstheme="minorBidi"/>
      <w:sz w:val="20"/>
      <w:szCs w:val="20"/>
    </w:rPr>
  </w:style>
  <w:style w:type="character" w:customStyle="1" w:styleId="CommentTextChar">
    <w:name w:val="Comment Text Char"/>
    <w:basedOn w:val="DefaultParagraphFont"/>
    <w:link w:val="CommentText"/>
    <w:uiPriority w:val="99"/>
    <w:rsid w:val="005707FF"/>
    <w:rPr>
      <w:rFonts w:ascii="Arial" w:eastAsiaTheme="minorHAnsi" w:hAnsi="Arial" w:cstheme="minorBidi"/>
      <w:lang w:val="en-GB" w:eastAsia="en-US"/>
    </w:rPr>
  </w:style>
  <w:style w:type="paragraph" w:styleId="Header">
    <w:name w:val="header"/>
    <w:basedOn w:val="Normal"/>
    <w:link w:val="HeaderChar"/>
    <w:uiPriority w:val="99"/>
    <w:unhideWhenUsed/>
    <w:rsid w:val="00BC3D4F"/>
    <w:pPr>
      <w:tabs>
        <w:tab w:val="center" w:pos="4513"/>
        <w:tab w:val="right" w:pos="9026"/>
      </w:tabs>
    </w:pPr>
  </w:style>
  <w:style w:type="character" w:customStyle="1" w:styleId="HeaderChar">
    <w:name w:val="Header Char"/>
    <w:basedOn w:val="DefaultParagraphFont"/>
    <w:link w:val="Header"/>
    <w:uiPriority w:val="99"/>
    <w:rsid w:val="00BC3D4F"/>
    <w:rPr>
      <w:sz w:val="24"/>
      <w:szCs w:val="24"/>
      <w:lang w:val="en-GB" w:eastAsia="en-US"/>
    </w:rPr>
  </w:style>
  <w:style w:type="paragraph" w:styleId="PlainText">
    <w:name w:val="Plain Text"/>
    <w:basedOn w:val="Normal"/>
    <w:link w:val="PlainTextChar"/>
    <w:uiPriority w:val="99"/>
    <w:unhideWhenUsed/>
    <w:rsid w:val="00F579B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579B3"/>
    <w:rPr>
      <w:rFonts w:ascii="Calibri" w:eastAsiaTheme="minorHAnsi" w:hAnsi="Calibri" w:cstheme="minorBidi"/>
      <w:sz w:val="22"/>
      <w:szCs w:val="21"/>
      <w:lang w:val="en-GB" w:eastAsia="en-US"/>
    </w:rPr>
  </w:style>
  <w:style w:type="paragraph" w:customStyle="1" w:styleId="Default">
    <w:name w:val="Default"/>
    <w:rsid w:val="005E4A05"/>
    <w:pPr>
      <w:autoSpaceDE w:val="0"/>
      <w:autoSpaceDN w:val="0"/>
      <w:adjustRightInd w:val="0"/>
    </w:pPr>
    <w:rPr>
      <w:rFonts w:ascii="Arial" w:hAnsi="Arial" w:cs="Arial"/>
      <w:color w:val="000000"/>
      <w:sz w:val="24"/>
      <w:szCs w:val="24"/>
      <w:lang w:val="en-GB"/>
    </w:rPr>
  </w:style>
  <w:style w:type="paragraph" w:styleId="NormalWeb">
    <w:name w:val="Normal (Web)"/>
    <w:basedOn w:val="Normal"/>
    <w:uiPriority w:val="99"/>
    <w:unhideWhenUsed/>
    <w:rsid w:val="00510990"/>
    <w:pPr>
      <w:spacing w:before="100" w:beforeAutospacing="1" w:after="100" w:afterAutospacing="1"/>
    </w:pPr>
    <w:rPr>
      <w:rFonts w:eastAsia="Times New Roman"/>
      <w:lang w:eastAsia="en-GB"/>
    </w:rPr>
  </w:style>
  <w:style w:type="character" w:styleId="Strong">
    <w:name w:val="Strong"/>
    <w:basedOn w:val="DefaultParagraphFont"/>
    <w:uiPriority w:val="22"/>
    <w:qFormat/>
    <w:rsid w:val="00510990"/>
    <w:rPr>
      <w:b/>
      <w:bCs/>
    </w:rPr>
  </w:style>
  <w:style w:type="paragraph" w:customStyle="1" w:styleId="Paragraph">
    <w:name w:val="Paragraph"/>
    <w:basedOn w:val="Normal"/>
    <w:link w:val="ParagraphChar"/>
    <w:qFormat/>
    <w:rsid w:val="002C77EE"/>
    <w:pPr>
      <w:numPr>
        <w:ilvl w:val="1"/>
        <w:numId w:val="10"/>
      </w:numPr>
      <w:spacing w:after="120"/>
    </w:pPr>
    <w:rPr>
      <w:rFonts w:ascii="Arial" w:eastAsia="Times New Roman" w:hAnsi="Arial"/>
      <w:bCs/>
      <w:szCs w:val="20"/>
    </w:rPr>
  </w:style>
  <w:style w:type="character" w:customStyle="1" w:styleId="ParagraphChar">
    <w:name w:val="Paragraph Char"/>
    <w:basedOn w:val="DefaultParagraphFont"/>
    <w:link w:val="Paragraph"/>
    <w:rsid w:val="002C77EE"/>
    <w:rPr>
      <w:rFonts w:ascii="Arial" w:eastAsia="Times New Roman" w:hAnsi="Arial"/>
      <w:bCs/>
      <w:sz w:val="24"/>
      <w:lang w:val="en-GB" w:eastAsia="en-US"/>
    </w:rPr>
  </w:style>
  <w:style w:type="paragraph" w:customStyle="1" w:styleId="SectionHeading">
    <w:name w:val="Section Heading"/>
    <w:basedOn w:val="Normal"/>
    <w:qFormat/>
    <w:rsid w:val="002C77EE"/>
    <w:pPr>
      <w:keepNext/>
      <w:numPr>
        <w:numId w:val="10"/>
      </w:numPr>
      <w:spacing w:before="240" w:after="120"/>
    </w:pPr>
    <w:rPr>
      <w:rFonts w:ascii="Arial" w:eastAsia="Times New Roman" w:hAnsi="Arial"/>
      <w:szCs w:val="20"/>
    </w:rPr>
  </w:style>
  <w:style w:type="paragraph" w:styleId="Title">
    <w:name w:val="Title"/>
    <w:basedOn w:val="Heading1"/>
    <w:next w:val="Normal"/>
    <w:link w:val="TitleChar"/>
    <w:uiPriority w:val="10"/>
    <w:qFormat/>
    <w:rsid w:val="003265CB"/>
    <w:pPr>
      <w:keepLines w:val="0"/>
      <w:widowControl/>
      <w:autoSpaceDE/>
      <w:autoSpaceDN/>
      <w:adjustRightInd/>
      <w:spacing w:before="360" w:after="120" w:line="240" w:lineRule="auto"/>
      <w:jc w:val="center"/>
      <w:textAlignment w:val="auto"/>
    </w:pPr>
    <w:rPr>
      <w:rFonts w:ascii="Arial" w:eastAsiaTheme="minorHAnsi" w:hAnsi="Arial" w:cs="Arial"/>
      <w:bCs w:val="0"/>
      <w:color w:val="auto"/>
      <w:szCs w:val="22"/>
      <w:lang w:eastAsia="en-US"/>
    </w:rPr>
  </w:style>
  <w:style w:type="character" w:customStyle="1" w:styleId="TitleChar">
    <w:name w:val="Title Char"/>
    <w:basedOn w:val="DefaultParagraphFont"/>
    <w:link w:val="Title"/>
    <w:uiPriority w:val="10"/>
    <w:rsid w:val="003265CB"/>
    <w:rPr>
      <w:rFonts w:ascii="Arial" w:eastAsiaTheme="minorHAnsi" w:hAnsi="Arial" w:cs="Arial"/>
      <w:b/>
      <w:sz w:val="28"/>
      <w:szCs w:val="22"/>
      <w:lang w:val="en-GB" w:eastAsia="en-US"/>
    </w:rPr>
  </w:style>
  <w:style w:type="table" w:styleId="MediumList1-Accent5">
    <w:name w:val="Medium List 1 Accent 5"/>
    <w:basedOn w:val="TableNormal"/>
    <w:uiPriority w:val="65"/>
    <w:rsid w:val="000948ED"/>
    <w:rPr>
      <w:rFonts w:asciiTheme="minorHAnsi" w:hAnsiTheme="minorHAnsi" w:cstheme="minorBidi"/>
      <w:color w:val="000000" w:themeColor="text1"/>
      <w:sz w:val="22"/>
      <w:szCs w:val="22"/>
      <w:lang w:val="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customStyle="1" w:styleId="meharial0">
    <w:name w:val="meharial"/>
    <w:basedOn w:val="Normal"/>
    <w:rsid w:val="006D48EB"/>
    <w:pPr>
      <w:spacing w:before="120" w:after="120"/>
    </w:pPr>
    <w:rPr>
      <w:rFonts w:ascii="Arial" w:eastAsiaTheme="minorHAnsi" w:hAnsi="Arial" w:cs="Arial"/>
      <w:sz w:val="28"/>
      <w:szCs w:val="28"/>
      <w:lang w:eastAsia="en-GB"/>
    </w:rPr>
  </w:style>
  <w:style w:type="paragraph" w:customStyle="1" w:styleId="gmail-msoplaintext">
    <w:name w:val="gmail-msoplaintext"/>
    <w:basedOn w:val="Normal"/>
    <w:rsid w:val="00DF7749"/>
    <w:pPr>
      <w:spacing w:before="100" w:beforeAutospacing="1" w:after="100" w:afterAutospacing="1"/>
    </w:pPr>
    <w:rPr>
      <w:rFonts w:eastAsiaTheme="minorHAnsi"/>
      <w:lang w:eastAsia="en-GB"/>
    </w:rPr>
  </w:style>
  <w:style w:type="table" w:customStyle="1" w:styleId="TableGrid2">
    <w:name w:val="Table Grid2"/>
    <w:basedOn w:val="TableNormal"/>
    <w:next w:val="TableGrid"/>
    <w:uiPriority w:val="59"/>
    <w:rsid w:val="008C71F3"/>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C71F3"/>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TableBullet1">
    <w:name w:val="tb (Table Bullet 1)"/>
    <w:basedOn w:val="Normal"/>
    <w:rsid w:val="008C71F3"/>
    <w:pPr>
      <w:numPr>
        <w:numId w:val="13"/>
      </w:numPr>
      <w:spacing w:before="60" w:after="60" w:line="240" w:lineRule="atLeast"/>
    </w:pPr>
    <w:rPr>
      <w:rFonts w:ascii="Arial" w:eastAsia="Times New Roman" w:hAnsi="Arial"/>
      <w:snapToGrid w:val="0"/>
      <w:color w:val="000000"/>
      <w:sz w:val="20"/>
      <w:szCs w:val="20"/>
    </w:rPr>
  </w:style>
  <w:style w:type="paragraph" w:customStyle="1" w:styleId="ttTableText">
    <w:name w:val="tt (Table Text)"/>
    <w:basedOn w:val="Normal"/>
    <w:link w:val="ttTableTextCharChar"/>
    <w:qFormat/>
    <w:rsid w:val="008C71F3"/>
    <w:pPr>
      <w:adjustRightInd w:val="0"/>
      <w:snapToGrid w:val="0"/>
      <w:spacing w:before="60" w:after="60" w:line="240" w:lineRule="atLeast"/>
    </w:pPr>
    <w:rPr>
      <w:rFonts w:ascii="Arial" w:eastAsia="Times New Roman" w:hAnsi="Arial"/>
      <w:sz w:val="20"/>
      <w:szCs w:val="18"/>
    </w:rPr>
  </w:style>
  <w:style w:type="character" w:customStyle="1" w:styleId="ttTableTextCharChar">
    <w:name w:val="tt (Table Text) Char Char"/>
    <w:basedOn w:val="DefaultParagraphFont"/>
    <w:link w:val="ttTableText"/>
    <w:rsid w:val="008C71F3"/>
    <w:rPr>
      <w:rFonts w:ascii="Arial" w:eastAsia="Times New Roman" w:hAnsi="Arial"/>
      <w:szCs w:val="18"/>
      <w:lang w:val="en-GB" w:eastAsia="en-US"/>
    </w:rPr>
  </w:style>
  <w:style w:type="table" w:customStyle="1" w:styleId="TableGrid12">
    <w:name w:val="Table Grid12"/>
    <w:basedOn w:val="TableNormal"/>
    <w:next w:val="TableGrid"/>
    <w:uiPriority w:val="59"/>
    <w:rsid w:val="00667E1B"/>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67E1B"/>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667E1B"/>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667E1B"/>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667E1B"/>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667E1B"/>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04694E"/>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04694E"/>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unhideWhenUsed/>
    <w:rsid w:val="0004694E"/>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04694E"/>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1"/>
    <w:unhideWhenUsed/>
    <w:qFormat/>
    <w:rsid w:val="00335615"/>
    <w:pPr>
      <w:numPr>
        <w:numId w:val="14"/>
      </w:numPr>
      <w:contextualSpacing/>
    </w:pPr>
    <w:rPr>
      <w:rFonts w:eastAsia="Times New Roman"/>
      <w:noProof/>
    </w:rPr>
  </w:style>
  <w:style w:type="paragraph" w:styleId="CommentSubject">
    <w:name w:val="annotation subject"/>
    <w:basedOn w:val="CommentText"/>
    <w:next w:val="CommentText"/>
    <w:link w:val="CommentSubjectChar"/>
    <w:uiPriority w:val="99"/>
    <w:semiHidden/>
    <w:unhideWhenUsed/>
    <w:rsid w:val="00A063B8"/>
    <w:pPr>
      <w:spacing w:after="0"/>
    </w:pPr>
    <w:rPr>
      <w:rFonts w:ascii="Times New Roman" w:eastAsiaTheme="minorEastAsia" w:hAnsi="Times New Roman" w:cs="Times New Roman"/>
      <w:b/>
      <w:bCs/>
    </w:rPr>
  </w:style>
  <w:style w:type="character" w:customStyle="1" w:styleId="CommentSubjectChar">
    <w:name w:val="Comment Subject Char"/>
    <w:basedOn w:val="CommentTextChar"/>
    <w:link w:val="CommentSubject"/>
    <w:uiPriority w:val="99"/>
    <w:semiHidden/>
    <w:rsid w:val="00A063B8"/>
    <w:rPr>
      <w:rFonts w:ascii="Arial" w:eastAsiaTheme="minorHAnsi" w:hAnsi="Arial" w:cstheme="minorBidi"/>
      <w:b/>
      <w:bCs/>
      <w:lang w:val="en-GB" w:eastAsia="en-US"/>
    </w:rPr>
  </w:style>
  <w:style w:type="paragraph" w:customStyle="1" w:styleId="Reportsubtitle">
    <w:name w:val="Report subtitle"/>
    <w:qFormat/>
    <w:rsid w:val="008B46BB"/>
    <w:pPr>
      <w:spacing w:before="240"/>
      <w:ind w:right="2552"/>
      <w:contextualSpacing/>
    </w:pPr>
    <w:rPr>
      <w:rFonts w:asciiTheme="minorHAnsi" w:hAnsiTheme="minorHAnsi" w:cstheme="minorBidi"/>
      <w:color w:val="003B5C"/>
      <w:sz w:val="44"/>
      <w:szCs w:val="48"/>
      <w:lang w:val="en-GB" w:eastAsia="ko-KR"/>
    </w:rPr>
  </w:style>
  <w:style w:type="paragraph" w:customStyle="1" w:styleId="Subheading2">
    <w:name w:val="Sub heading 2"/>
    <w:basedOn w:val="Normal"/>
    <w:uiPriority w:val="3"/>
    <w:qFormat/>
    <w:rsid w:val="008B46BB"/>
    <w:pPr>
      <w:spacing w:line="260" w:lineRule="exact"/>
    </w:pPr>
    <w:rPr>
      <w:rFonts w:ascii="Arial" w:eastAsiaTheme="minorHAnsi" w:hAnsi="Arial" w:cstheme="minorBidi"/>
      <w:color w:val="7B7979"/>
      <w:sz w:val="22"/>
      <w:szCs w:val="22"/>
      <w:lang w:val="en-US"/>
    </w:rPr>
  </w:style>
  <w:style w:type="table" w:customStyle="1" w:styleId="TableGrid1">
    <w:name w:val="Table Grid1"/>
    <w:basedOn w:val="TableNormal"/>
    <w:next w:val="TableGrid"/>
    <w:uiPriority w:val="59"/>
    <w:rsid w:val="00476E58"/>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C4FE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C4FE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4C4FE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C4FE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0517C"/>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60517C"/>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BF16C0"/>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B56E7B"/>
    <w:rPr>
      <w:rFonts w:ascii="Lucida Grande" w:hAnsi="Lucida Grande"/>
      <w:sz w:val="18"/>
      <w:szCs w:val="18"/>
      <w:lang w:val="en-GB" w:eastAsia="en-US"/>
    </w:rPr>
  </w:style>
  <w:style w:type="paragraph" w:customStyle="1" w:styleId="Subheading1">
    <w:name w:val="Sub heading 1"/>
    <w:basedOn w:val="Normal"/>
    <w:uiPriority w:val="2"/>
    <w:qFormat/>
    <w:rsid w:val="00B56E7B"/>
    <w:pPr>
      <w:spacing w:line="260" w:lineRule="exact"/>
    </w:pPr>
    <w:rPr>
      <w:rFonts w:ascii="Arial" w:eastAsiaTheme="minorHAnsi" w:hAnsi="Arial" w:cstheme="minorBidi"/>
      <w:b/>
      <w:sz w:val="22"/>
      <w:szCs w:val="22"/>
      <w:lang w:val="en-US"/>
    </w:rPr>
  </w:style>
  <w:style w:type="paragraph" w:customStyle="1" w:styleId="Bullet">
    <w:name w:val="Bullet"/>
    <w:basedOn w:val="ListParagraph"/>
    <w:uiPriority w:val="4"/>
    <w:qFormat/>
    <w:rsid w:val="00B56E7B"/>
    <w:pPr>
      <w:numPr>
        <w:numId w:val="19"/>
      </w:numPr>
      <w:spacing w:after="57" w:line="260" w:lineRule="exact"/>
      <w:ind w:left="227" w:hanging="227"/>
      <w:contextualSpacing w:val="0"/>
    </w:pPr>
    <w:rPr>
      <w:rFonts w:ascii="Arial" w:eastAsiaTheme="minorHAnsi" w:hAnsi="Arial" w:cstheme="minorBidi"/>
      <w:sz w:val="22"/>
      <w:szCs w:val="22"/>
      <w:lang w:val="en-US"/>
    </w:rPr>
  </w:style>
  <w:style w:type="paragraph" w:customStyle="1" w:styleId="SubTitle">
    <w:name w:val="Sub Title"/>
    <w:basedOn w:val="Normal"/>
    <w:qFormat/>
    <w:rsid w:val="00B56E7B"/>
    <w:pPr>
      <w:spacing w:line="420" w:lineRule="exact"/>
      <w:ind w:right="2722"/>
    </w:pPr>
    <w:rPr>
      <w:rFonts w:ascii="Arial" w:eastAsiaTheme="minorHAnsi" w:hAnsi="Arial" w:cstheme="minorBidi"/>
      <w:color w:val="4BACC6" w:themeColor="accent5"/>
      <w:sz w:val="36"/>
      <w:szCs w:val="36"/>
      <w:lang w:val="en-US"/>
    </w:rPr>
  </w:style>
  <w:style w:type="paragraph" w:customStyle="1" w:styleId="DividingLineforCover">
    <w:name w:val="Dividing Line for Cover"/>
    <w:basedOn w:val="Normal"/>
    <w:qFormat/>
    <w:rsid w:val="00B56E7B"/>
    <w:pPr>
      <w:pBdr>
        <w:top w:val="dashed" w:sz="8" w:space="12" w:color="F79646" w:themeColor="accent6"/>
      </w:pBdr>
      <w:spacing w:line="100" w:lineRule="exact"/>
    </w:pPr>
    <w:rPr>
      <w:rFonts w:ascii="Arial" w:eastAsiaTheme="minorHAnsi" w:hAnsi="Arial" w:cstheme="minorBidi"/>
      <w:sz w:val="16"/>
      <w:szCs w:val="16"/>
      <w:lang w:val="en-US"/>
    </w:rPr>
  </w:style>
  <w:style w:type="paragraph" w:customStyle="1" w:styleId="Contents">
    <w:name w:val="Contents"/>
    <w:basedOn w:val="Heading1"/>
    <w:qFormat/>
    <w:rsid w:val="00B56E7B"/>
    <w:pPr>
      <w:keepNext w:val="0"/>
      <w:keepLines w:val="0"/>
      <w:widowControl/>
      <w:pBdr>
        <w:top w:val="dashed" w:sz="4" w:space="3" w:color="F79646" w:themeColor="accent6"/>
      </w:pBdr>
      <w:autoSpaceDE/>
      <w:autoSpaceDN/>
      <w:adjustRightInd/>
      <w:spacing w:before="0" w:after="600" w:line="260" w:lineRule="exact"/>
      <w:textAlignment w:val="auto"/>
    </w:pPr>
    <w:rPr>
      <w:rFonts w:ascii="Arial" w:eastAsiaTheme="minorHAnsi" w:hAnsi="Arial" w:cstheme="minorBidi"/>
      <w:bCs w:val="0"/>
      <w:color w:val="4BACC6" w:themeColor="accent5"/>
      <w:sz w:val="26"/>
      <w:szCs w:val="26"/>
      <w:lang w:val="en-US" w:eastAsia="en-US"/>
    </w:rPr>
  </w:style>
  <w:style w:type="paragraph" w:styleId="TOC1">
    <w:name w:val="toc 1"/>
    <w:basedOn w:val="Normal"/>
    <w:next w:val="Normal"/>
    <w:autoRedefine/>
    <w:uiPriority w:val="39"/>
    <w:unhideWhenUsed/>
    <w:qFormat/>
    <w:rsid w:val="00B56E7B"/>
    <w:pPr>
      <w:tabs>
        <w:tab w:val="right" w:pos="9923"/>
      </w:tabs>
      <w:spacing w:after="100" w:line="260" w:lineRule="exact"/>
      <w:ind w:right="273"/>
    </w:pPr>
    <w:rPr>
      <w:rFonts w:ascii="Arial" w:eastAsiaTheme="minorHAnsi" w:hAnsi="Arial" w:cstheme="minorBidi"/>
      <w:noProof/>
      <w:color w:val="FFFFFF" w:themeColor="background1"/>
      <w:sz w:val="22"/>
      <w:szCs w:val="22"/>
      <w:lang w:val="en-US"/>
    </w:rPr>
  </w:style>
  <w:style w:type="numbering" w:customStyle="1" w:styleId="NoList1">
    <w:name w:val="No List1"/>
    <w:next w:val="NoList"/>
    <w:uiPriority w:val="99"/>
    <w:semiHidden/>
    <w:unhideWhenUsed/>
    <w:rsid w:val="00B56E7B"/>
  </w:style>
  <w:style w:type="numbering" w:customStyle="1" w:styleId="NoList2">
    <w:name w:val="No List2"/>
    <w:next w:val="NoList"/>
    <w:uiPriority w:val="99"/>
    <w:semiHidden/>
    <w:unhideWhenUsed/>
    <w:rsid w:val="00B56E7B"/>
  </w:style>
  <w:style w:type="numbering" w:customStyle="1" w:styleId="NoList3">
    <w:name w:val="No List3"/>
    <w:next w:val="NoList"/>
    <w:uiPriority w:val="99"/>
    <w:semiHidden/>
    <w:unhideWhenUsed/>
    <w:rsid w:val="00B56E7B"/>
  </w:style>
  <w:style w:type="paragraph" w:styleId="TOCHeading">
    <w:name w:val="TOC Heading"/>
    <w:basedOn w:val="Heading1"/>
    <w:next w:val="Normal"/>
    <w:uiPriority w:val="39"/>
    <w:semiHidden/>
    <w:unhideWhenUsed/>
    <w:qFormat/>
    <w:rsid w:val="00B56E7B"/>
    <w:pPr>
      <w:widowControl/>
      <w:autoSpaceDE/>
      <w:autoSpaceDN/>
      <w:adjustRightInd/>
      <w:spacing w:after="0"/>
      <w:textAlignment w:val="auto"/>
      <w:outlineLvl w:val="9"/>
    </w:pPr>
    <w:rPr>
      <w:rFonts w:asciiTheme="majorHAnsi" w:eastAsiaTheme="majorEastAsia" w:hAnsiTheme="majorHAnsi" w:cstheme="majorBidi"/>
      <w:color w:val="365F91" w:themeColor="accent1" w:themeShade="BF"/>
      <w:lang w:val="en-US"/>
    </w:rPr>
  </w:style>
  <w:style w:type="paragraph" w:styleId="TOC2">
    <w:name w:val="toc 2"/>
    <w:basedOn w:val="Normal"/>
    <w:next w:val="Normal"/>
    <w:autoRedefine/>
    <w:uiPriority w:val="39"/>
    <w:semiHidden/>
    <w:unhideWhenUsed/>
    <w:qFormat/>
    <w:rsid w:val="00B56E7B"/>
    <w:pPr>
      <w:spacing w:after="100" w:line="276" w:lineRule="auto"/>
      <w:ind w:left="220"/>
    </w:pPr>
    <w:rPr>
      <w:rFonts w:asciiTheme="minorHAnsi" w:hAnsiTheme="minorHAnsi" w:cstheme="minorBidi"/>
      <w:sz w:val="22"/>
      <w:szCs w:val="22"/>
      <w:lang w:val="en-US" w:eastAsia="ja-JP"/>
    </w:rPr>
  </w:style>
  <w:style w:type="paragraph" w:styleId="TOC3">
    <w:name w:val="toc 3"/>
    <w:basedOn w:val="Normal"/>
    <w:next w:val="Normal"/>
    <w:autoRedefine/>
    <w:uiPriority w:val="39"/>
    <w:semiHidden/>
    <w:unhideWhenUsed/>
    <w:qFormat/>
    <w:rsid w:val="00B56E7B"/>
    <w:pPr>
      <w:spacing w:after="100" w:line="276" w:lineRule="auto"/>
      <w:ind w:left="440"/>
    </w:pPr>
    <w:rPr>
      <w:rFonts w:asciiTheme="minorHAnsi" w:hAnsiTheme="minorHAnsi" w:cstheme="minorBidi"/>
      <w:sz w:val="22"/>
      <w:szCs w:val="22"/>
      <w:lang w:val="en-US" w:eastAsia="ja-JP"/>
    </w:rPr>
  </w:style>
  <w:style w:type="character" w:styleId="FollowedHyperlink">
    <w:name w:val="FollowedHyperlink"/>
    <w:basedOn w:val="DefaultParagraphFont"/>
    <w:uiPriority w:val="99"/>
    <w:semiHidden/>
    <w:unhideWhenUsed/>
    <w:rsid w:val="00B56E7B"/>
    <w:rPr>
      <w:color w:val="954F72"/>
      <w:u w:val="single"/>
    </w:rPr>
  </w:style>
  <w:style w:type="paragraph" w:customStyle="1" w:styleId="msonormal0">
    <w:name w:val="msonormal"/>
    <w:basedOn w:val="Normal"/>
    <w:rsid w:val="00B56E7B"/>
    <w:pPr>
      <w:spacing w:before="100" w:beforeAutospacing="1" w:after="100" w:afterAutospacing="1"/>
    </w:pPr>
    <w:rPr>
      <w:rFonts w:eastAsia="Calibri"/>
      <w:lang w:eastAsia="en-GB"/>
    </w:rPr>
  </w:style>
  <w:style w:type="character" w:customStyle="1" w:styleId="emailstyle43">
    <w:name w:val="emailstyle43"/>
    <w:basedOn w:val="DefaultParagraphFont"/>
    <w:semiHidden/>
    <w:rsid w:val="00B56E7B"/>
    <w:rPr>
      <w:rFonts w:ascii="Calibri" w:hAnsi="Calibri" w:hint="default"/>
      <w:color w:val="auto"/>
    </w:rPr>
  </w:style>
  <w:style w:type="character" w:customStyle="1" w:styleId="emailstyle44">
    <w:name w:val="emailstyle44"/>
    <w:basedOn w:val="DefaultParagraphFont"/>
    <w:semiHidden/>
    <w:rsid w:val="00B56E7B"/>
    <w:rPr>
      <w:rFonts w:ascii="Calibri" w:hAnsi="Calibri" w:hint="default"/>
      <w:color w:val="1F497D"/>
    </w:rPr>
  </w:style>
  <w:style w:type="character" w:customStyle="1" w:styleId="emailstyle45">
    <w:name w:val="emailstyle45"/>
    <w:basedOn w:val="DefaultParagraphFont"/>
    <w:semiHidden/>
    <w:rsid w:val="00B56E7B"/>
    <w:rPr>
      <w:rFonts w:ascii="Calibri" w:hAnsi="Calibri" w:hint="default"/>
      <w:color w:val="1F497D"/>
    </w:rPr>
  </w:style>
  <w:style w:type="character" w:customStyle="1" w:styleId="emailstyle46">
    <w:name w:val="emailstyle46"/>
    <w:basedOn w:val="DefaultParagraphFont"/>
    <w:semiHidden/>
    <w:rsid w:val="00B56E7B"/>
    <w:rPr>
      <w:rFonts w:ascii="Calibri" w:hAnsi="Calibri" w:hint="default"/>
      <w:color w:val="1F497D"/>
    </w:rPr>
  </w:style>
  <w:style w:type="paragraph" w:customStyle="1" w:styleId="Reportdetails">
    <w:name w:val="Report details"/>
    <w:basedOn w:val="Normal"/>
    <w:qFormat/>
    <w:rsid w:val="00B56E7B"/>
    <w:pPr>
      <w:snapToGrid w:val="0"/>
      <w:contextualSpacing/>
    </w:pPr>
    <w:rPr>
      <w:rFonts w:ascii="Arial" w:eastAsia="Batang" w:hAnsi="Arial" w:cstheme="minorBidi"/>
      <w:b/>
      <w:lang w:eastAsia="ko-KR"/>
    </w:rPr>
  </w:style>
  <w:style w:type="paragraph" w:customStyle="1" w:styleId="Formoreinformation">
    <w:name w:val="For more information"/>
    <w:qFormat/>
    <w:rsid w:val="00B56E7B"/>
    <w:pPr>
      <w:spacing w:before="240" w:after="120"/>
    </w:pPr>
    <w:rPr>
      <w:rFonts w:asciiTheme="minorHAnsi" w:hAnsiTheme="minorHAnsi" w:cstheme="minorBidi"/>
      <w:b/>
      <w:sz w:val="24"/>
      <w:szCs w:val="22"/>
      <w:lang w:val="en-GB" w:eastAsia="ko-KR"/>
    </w:rPr>
  </w:style>
  <w:style w:type="paragraph" w:styleId="ListBullet2">
    <w:name w:val="List Bullet 2"/>
    <w:basedOn w:val="Normal"/>
    <w:uiPriority w:val="1"/>
    <w:unhideWhenUsed/>
    <w:qFormat/>
    <w:rsid w:val="00116B18"/>
    <w:pPr>
      <w:numPr>
        <w:numId w:val="22"/>
      </w:numPr>
      <w:contextualSpacing/>
    </w:pPr>
  </w:style>
  <w:style w:type="paragraph" w:styleId="BodyText">
    <w:name w:val="Body Text"/>
    <w:basedOn w:val="Normal"/>
    <w:link w:val="BodyTextChar"/>
    <w:qFormat/>
    <w:rsid w:val="00116B18"/>
    <w:pPr>
      <w:spacing w:after="120" w:line="240" w:lineRule="atLeast"/>
    </w:pPr>
    <w:rPr>
      <w:rFonts w:asciiTheme="minorHAnsi" w:eastAsia="Times New Roman" w:hAnsiTheme="minorHAnsi"/>
      <w:sz w:val="18"/>
      <w:szCs w:val="18"/>
    </w:rPr>
  </w:style>
  <w:style w:type="character" w:customStyle="1" w:styleId="BodyTextChar">
    <w:name w:val="Body Text Char"/>
    <w:basedOn w:val="DefaultParagraphFont"/>
    <w:link w:val="BodyText"/>
    <w:rsid w:val="00116B18"/>
    <w:rPr>
      <w:rFonts w:asciiTheme="minorHAnsi" w:eastAsia="Times New Roman" w:hAnsiTheme="minorHAnsi"/>
      <w:sz w:val="18"/>
      <w:szCs w:val="18"/>
      <w:lang w:val="en-GB" w:eastAsia="en-US"/>
    </w:rPr>
  </w:style>
  <w:style w:type="paragraph" w:customStyle="1" w:styleId="TableHeading">
    <w:name w:val="Table Heading"/>
    <w:uiPriority w:val="2"/>
    <w:qFormat/>
    <w:rsid w:val="00116B18"/>
    <w:pPr>
      <w:keepLines/>
      <w:spacing w:before="60" w:after="60"/>
    </w:pPr>
    <w:rPr>
      <w:rFonts w:asciiTheme="minorHAnsi" w:eastAsia="Times New Roman" w:hAnsiTheme="minorHAnsi" w:cs="Arial"/>
      <w:b/>
      <w:bCs/>
      <w:color w:val="4F81BD" w:themeColor="accent1"/>
      <w:kern w:val="28"/>
      <w:sz w:val="16"/>
      <w:szCs w:val="32"/>
      <w:lang w:val="en-GB" w:eastAsia="en-US"/>
    </w:rPr>
  </w:style>
  <w:style w:type="paragraph" w:customStyle="1" w:styleId="TableText">
    <w:name w:val="Table Text"/>
    <w:uiPriority w:val="2"/>
    <w:qFormat/>
    <w:rsid w:val="00116B18"/>
    <w:pPr>
      <w:spacing w:before="60" w:after="60"/>
    </w:pPr>
    <w:rPr>
      <w:rFonts w:asciiTheme="minorHAnsi" w:eastAsia="Times New Roman" w:hAnsiTheme="minorHAnsi" w:cs="Arial"/>
      <w:sz w:val="16"/>
      <w:szCs w:val="18"/>
      <w:lang w:val="en-GB" w:eastAsia="en-US"/>
    </w:rPr>
  </w:style>
  <w:style w:type="table" w:customStyle="1" w:styleId="GTITableStyle1">
    <w:name w:val="GTI Table Style 1"/>
    <w:basedOn w:val="TableNormal"/>
    <w:uiPriority w:val="99"/>
    <w:rsid w:val="00116B18"/>
    <w:rPr>
      <w:rFonts w:asciiTheme="minorHAnsi" w:eastAsia="Times New Roman" w:hAnsiTheme="minorHAnsi"/>
      <w:sz w:val="18"/>
      <w:szCs w:val="18"/>
      <w:lang w:eastAsia="en-US"/>
    </w:rPr>
    <w:tblPr>
      <w:tblBorders>
        <w:bottom w:val="single" w:sz="2" w:space="0" w:color="4F81BD" w:themeColor="accent1"/>
        <w:insideH w:val="single" w:sz="2" w:space="0" w:color="4F81BD" w:themeColor="accent1"/>
      </w:tblBorders>
      <w:tblCellMar>
        <w:left w:w="28" w:type="dxa"/>
        <w:right w:w="28" w:type="dxa"/>
      </w:tblCellMar>
    </w:tblPr>
    <w:tcPr>
      <w:shd w:val="clear" w:color="auto" w:fill="auto"/>
    </w:tcPr>
    <w:tblStylePr w:type="firstRow">
      <w:rPr>
        <w:rFonts w:asciiTheme="minorHAnsi" w:hAnsiTheme="minorHAnsi"/>
        <w:color w:val="4F81BD" w:themeColor="accent1"/>
      </w:rPr>
      <w:tblPr/>
      <w:tcPr>
        <w:tcBorders>
          <w:top w:val="nil"/>
          <w:left w:val="nil"/>
          <w:bottom w:val="single" w:sz="8" w:space="0" w:color="4F81BD" w:themeColor="accent1"/>
          <w:right w:val="nil"/>
          <w:insideH w:val="nil"/>
          <w:insideV w:val="nil"/>
          <w:tl2br w:val="nil"/>
          <w:tr2bl w:val="nil"/>
        </w:tcBorders>
        <w:shd w:val="clear" w:color="auto" w:fill="auto"/>
      </w:tcPr>
    </w:tblStylePr>
  </w:style>
  <w:style w:type="numbering" w:customStyle="1" w:styleId="GTListBullet">
    <w:name w:val="GT List Bullet"/>
    <w:uiPriority w:val="99"/>
    <w:rsid w:val="00116B18"/>
    <w:pPr>
      <w:numPr>
        <w:numId w:val="23"/>
      </w:numPr>
    </w:pPr>
  </w:style>
  <w:style w:type="character" w:styleId="FootnoteReference">
    <w:name w:val="footnote reference"/>
    <w:basedOn w:val="DefaultParagraphFont"/>
    <w:semiHidden/>
    <w:unhideWhenUsed/>
    <w:rsid w:val="00116B18"/>
    <w:rPr>
      <w:vertAlign w:val="superscript"/>
      <w:lang w:val="en-GB"/>
    </w:rPr>
  </w:style>
  <w:style w:type="paragraph" w:styleId="FootnoteText">
    <w:name w:val="footnote text"/>
    <w:basedOn w:val="Normal"/>
    <w:link w:val="FootnoteTextChar"/>
    <w:unhideWhenUsed/>
    <w:rsid w:val="00116B18"/>
    <w:pPr>
      <w:ind w:left="142" w:hanging="142"/>
    </w:pPr>
    <w:rPr>
      <w:rFonts w:asciiTheme="minorHAnsi" w:eastAsia="Times New Roman" w:hAnsiTheme="minorHAnsi"/>
      <w:sz w:val="16"/>
      <w:szCs w:val="18"/>
    </w:rPr>
  </w:style>
  <w:style w:type="character" w:customStyle="1" w:styleId="FootnoteTextChar">
    <w:name w:val="Footnote Text Char"/>
    <w:basedOn w:val="DefaultParagraphFont"/>
    <w:link w:val="FootnoteText"/>
    <w:rsid w:val="00116B18"/>
    <w:rPr>
      <w:rFonts w:asciiTheme="minorHAnsi" w:eastAsia="Times New Roman" w:hAnsiTheme="minorHAnsi"/>
      <w:sz w:val="16"/>
      <w:szCs w:val="18"/>
      <w:lang w:val="en-GB" w:eastAsia="en-US"/>
    </w:rPr>
  </w:style>
  <w:style w:type="paragraph" w:styleId="ListBullet3">
    <w:name w:val="List Bullet 3"/>
    <w:basedOn w:val="Normal"/>
    <w:uiPriority w:val="1"/>
    <w:qFormat/>
    <w:rsid w:val="00116B18"/>
    <w:pPr>
      <w:tabs>
        <w:tab w:val="num" w:pos="851"/>
      </w:tabs>
      <w:spacing w:after="120" w:line="240" w:lineRule="atLeast"/>
      <w:ind w:left="851" w:hanging="284"/>
    </w:pPr>
    <w:rPr>
      <w:rFonts w:asciiTheme="minorHAnsi" w:eastAsia="Times New Roman" w:hAnsiTheme="minorHAnsi"/>
      <w:sz w:val="18"/>
      <w:szCs w:val="18"/>
    </w:rPr>
  </w:style>
  <w:style w:type="numbering" w:customStyle="1" w:styleId="GTTableBullets">
    <w:name w:val="GT Table Bullets"/>
    <w:uiPriority w:val="99"/>
    <w:rsid w:val="00116B18"/>
    <w:pPr>
      <w:numPr>
        <w:numId w:val="24"/>
      </w:numPr>
    </w:pPr>
  </w:style>
  <w:style w:type="paragraph" w:customStyle="1" w:styleId="TableBullet1">
    <w:name w:val="Table Bullet 1"/>
    <w:basedOn w:val="ListBullet"/>
    <w:uiPriority w:val="14"/>
    <w:qFormat/>
    <w:rsid w:val="00116B18"/>
    <w:pPr>
      <w:numPr>
        <w:numId w:val="25"/>
      </w:numPr>
      <w:spacing w:before="60" w:after="60" w:line="240" w:lineRule="atLeast"/>
      <w:contextualSpacing w:val="0"/>
    </w:pPr>
    <w:rPr>
      <w:rFonts w:asciiTheme="minorHAnsi" w:hAnsiTheme="minorHAnsi"/>
      <w:noProof w:val="0"/>
      <w:sz w:val="16"/>
      <w:szCs w:val="18"/>
    </w:rPr>
  </w:style>
  <w:style w:type="paragraph" w:customStyle="1" w:styleId="TableBullet2">
    <w:name w:val="Table Bullet 2"/>
    <w:basedOn w:val="ListBullet2"/>
    <w:uiPriority w:val="14"/>
    <w:qFormat/>
    <w:rsid w:val="00116B18"/>
    <w:pPr>
      <w:numPr>
        <w:ilvl w:val="1"/>
        <w:numId w:val="25"/>
      </w:numPr>
      <w:spacing w:before="60" w:after="60" w:line="240" w:lineRule="atLeast"/>
      <w:contextualSpacing w:val="0"/>
    </w:pPr>
    <w:rPr>
      <w:rFonts w:asciiTheme="minorHAnsi" w:eastAsia="Times New Roman" w:hAnsiTheme="minorHAnsi"/>
      <w:sz w:val="16"/>
      <w:szCs w:val="18"/>
    </w:rPr>
  </w:style>
  <w:style w:type="paragraph" w:customStyle="1" w:styleId="TableBullet3">
    <w:name w:val="Table Bullet 3"/>
    <w:basedOn w:val="ListBullet3"/>
    <w:uiPriority w:val="14"/>
    <w:qFormat/>
    <w:rsid w:val="00116B18"/>
    <w:pPr>
      <w:numPr>
        <w:ilvl w:val="2"/>
        <w:numId w:val="25"/>
      </w:numPr>
      <w:spacing w:before="60" w:after="60"/>
    </w:pPr>
    <w:rPr>
      <w:sz w:val="16"/>
    </w:rPr>
  </w:style>
  <w:style w:type="character" w:customStyle="1" w:styleId="apple-converted-space">
    <w:name w:val="apple-converted-space"/>
    <w:basedOn w:val="DefaultParagraphFont"/>
    <w:rsid w:val="00292AFC"/>
  </w:style>
  <w:style w:type="character" w:styleId="UnresolvedMention">
    <w:name w:val="Unresolved Mention"/>
    <w:basedOn w:val="DefaultParagraphFont"/>
    <w:uiPriority w:val="99"/>
    <w:semiHidden/>
    <w:unhideWhenUsed/>
    <w:rsid w:val="00CA142B"/>
    <w:rPr>
      <w:color w:val="605E5C"/>
      <w:shd w:val="clear" w:color="auto" w:fill="E1DFDD"/>
    </w:rPr>
  </w:style>
  <w:style w:type="paragraph" w:styleId="Revision">
    <w:name w:val="Revision"/>
    <w:hidden/>
    <w:uiPriority w:val="99"/>
    <w:semiHidden/>
    <w:rsid w:val="00BD44BB"/>
    <w:rPr>
      <w:sz w:val="24"/>
      <w:szCs w:val="24"/>
      <w:lang w:val="en-GB" w:eastAsia="en-US"/>
    </w:rPr>
  </w:style>
  <w:style w:type="paragraph" w:styleId="EndnoteText">
    <w:name w:val="endnote text"/>
    <w:basedOn w:val="Normal"/>
    <w:link w:val="EndnoteTextChar"/>
    <w:uiPriority w:val="99"/>
    <w:semiHidden/>
    <w:unhideWhenUsed/>
    <w:rsid w:val="009F23C2"/>
    <w:rPr>
      <w:sz w:val="20"/>
      <w:szCs w:val="20"/>
    </w:rPr>
  </w:style>
  <w:style w:type="character" w:customStyle="1" w:styleId="EndnoteTextChar">
    <w:name w:val="Endnote Text Char"/>
    <w:basedOn w:val="DefaultParagraphFont"/>
    <w:link w:val="EndnoteText"/>
    <w:uiPriority w:val="99"/>
    <w:semiHidden/>
    <w:rsid w:val="009F23C2"/>
    <w:rPr>
      <w:lang w:val="en-GB" w:eastAsia="en-US"/>
    </w:rPr>
  </w:style>
  <w:style w:type="character" w:styleId="EndnoteReference">
    <w:name w:val="endnote reference"/>
    <w:basedOn w:val="DefaultParagraphFont"/>
    <w:uiPriority w:val="99"/>
    <w:semiHidden/>
    <w:unhideWhenUsed/>
    <w:rsid w:val="009F23C2"/>
    <w:rPr>
      <w:vertAlign w:val="superscript"/>
    </w:rPr>
  </w:style>
  <w:style w:type="paragraph" w:customStyle="1" w:styleId="BULLETS">
    <w:name w:val="BULLETS"/>
    <w:basedOn w:val="ListParagraph"/>
    <w:link w:val="BULLETSChar"/>
    <w:qFormat/>
    <w:rsid w:val="007A310A"/>
    <w:pPr>
      <w:numPr>
        <w:numId w:val="45"/>
      </w:numPr>
    </w:pPr>
    <w:rPr>
      <w:rFonts w:ascii="Arial" w:eastAsiaTheme="minorHAnsi" w:hAnsi="Arial" w:cs="Arial"/>
      <w:sz w:val="22"/>
      <w:szCs w:val="22"/>
    </w:rPr>
  </w:style>
  <w:style w:type="character" w:customStyle="1" w:styleId="BULLETSChar">
    <w:name w:val="BULLETS Char"/>
    <w:basedOn w:val="ListParagraphChar"/>
    <w:link w:val="BULLETS"/>
    <w:rsid w:val="007A310A"/>
    <w:rPr>
      <w:rFonts w:ascii="Arial" w:eastAsiaTheme="minorHAnsi"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5393">
      <w:bodyDiv w:val="1"/>
      <w:marLeft w:val="0"/>
      <w:marRight w:val="0"/>
      <w:marTop w:val="0"/>
      <w:marBottom w:val="0"/>
      <w:divBdr>
        <w:top w:val="none" w:sz="0" w:space="0" w:color="auto"/>
        <w:left w:val="none" w:sz="0" w:space="0" w:color="auto"/>
        <w:bottom w:val="none" w:sz="0" w:space="0" w:color="auto"/>
        <w:right w:val="none" w:sz="0" w:space="0" w:color="auto"/>
      </w:divBdr>
    </w:div>
    <w:div w:id="25567142">
      <w:bodyDiv w:val="1"/>
      <w:marLeft w:val="0"/>
      <w:marRight w:val="0"/>
      <w:marTop w:val="0"/>
      <w:marBottom w:val="0"/>
      <w:divBdr>
        <w:top w:val="none" w:sz="0" w:space="0" w:color="auto"/>
        <w:left w:val="none" w:sz="0" w:space="0" w:color="auto"/>
        <w:bottom w:val="none" w:sz="0" w:space="0" w:color="auto"/>
        <w:right w:val="none" w:sz="0" w:space="0" w:color="auto"/>
      </w:divBdr>
    </w:div>
    <w:div w:id="76899710">
      <w:bodyDiv w:val="1"/>
      <w:marLeft w:val="0"/>
      <w:marRight w:val="0"/>
      <w:marTop w:val="0"/>
      <w:marBottom w:val="0"/>
      <w:divBdr>
        <w:top w:val="none" w:sz="0" w:space="0" w:color="auto"/>
        <w:left w:val="none" w:sz="0" w:space="0" w:color="auto"/>
        <w:bottom w:val="none" w:sz="0" w:space="0" w:color="auto"/>
        <w:right w:val="none" w:sz="0" w:space="0" w:color="auto"/>
      </w:divBdr>
    </w:div>
    <w:div w:id="102846087">
      <w:bodyDiv w:val="1"/>
      <w:marLeft w:val="0"/>
      <w:marRight w:val="0"/>
      <w:marTop w:val="0"/>
      <w:marBottom w:val="0"/>
      <w:divBdr>
        <w:top w:val="none" w:sz="0" w:space="0" w:color="auto"/>
        <w:left w:val="none" w:sz="0" w:space="0" w:color="auto"/>
        <w:bottom w:val="none" w:sz="0" w:space="0" w:color="auto"/>
        <w:right w:val="none" w:sz="0" w:space="0" w:color="auto"/>
      </w:divBdr>
    </w:div>
    <w:div w:id="129137486">
      <w:bodyDiv w:val="1"/>
      <w:marLeft w:val="0"/>
      <w:marRight w:val="0"/>
      <w:marTop w:val="0"/>
      <w:marBottom w:val="0"/>
      <w:divBdr>
        <w:top w:val="none" w:sz="0" w:space="0" w:color="auto"/>
        <w:left w:val="none" w:sz="0" w:space="0" w:color="auto"/>
        <w:bottom w:val="none" w:sz="0" w:space="0" w:color="auto"/>
        <w:right w:val="none" w:sz="0" w:space="0" w:color="auto"/>
      </w:divBdr>
    </w:div>
    <w:div w:id="148251810">
      <w:bodyDiv w:val="1"/>
      <w:marLeft w:val="0"/>
      <w:marRight w:val="0"/>
      <w:marTop w:val="0"/>
      <w:marBottom w:val="0"/>
      <w:divBdr>
        <w:top w:val="none" w:sz="0" w:space="0" w:color="auto"/>
        <w:left w:val="none" w:sz="0" w:space="0" w:color="auto"/>
        <w:bottom w:val="none" w:sz="0" w:space="0" w:color="auto"/>
        <w:right w:val="none" w:sz="0" w:space="0" w:color="auto"/>
      </w:divBdr>
    </w:div>
    <w:div w:id="210846750">
      <w:bodyDiv w:val="1"/>
      <w:marLeft w:val="0"/>
      <w:marRight w:val="0"/>
      <w:marTop w:val="0"/>
      <w:marBottom w:val="0"/>
      <w:divBdr>
        <w:top w:val="none" w:sz="0" w:space="0" w:color="auto"/>
        <w:left w:val="none" w:sz="0" w:space="0" w:color="auto"/>
        <w:bottom w:val="none" w:sz="0" w:space="0" w:color="auto"/>
        <w:right w:val="none" w:sz="0" w:space="0" w:color="auto"/>
      </w:divBdr>
    </w:div>
    <w:div w:id="229343002">
      <w:bodyDiv w:val="1"/>
      <w:marLeft w:val="0"/>
      <w:marRight w:val="0"/>
      <w:marTop w:val="0"/>
      <w:marBottom w:val="0"/>
      <w:divBdr>
        <w:top w:val="none" w:sz="0" w:space="0" w:color="auto"/>
        <w:left w:val="none" w:sz="0" w:space="0" w:color="auto"/>
        <w:bottom w:val="none" w:sz="0" w:space="0" w:color="auto"/>
        <w:right w:val="none" w:sz="0" w:space="0" w:color="auto"/>
      </w:divBdr>
    </w:div>
    <w:div w:id="232546768">
      <w:bodyDiv w:val="1"/>
      <w:marLeft w:val="0"/>
      <w:marRight w:val="0"/>
      <w:marTop w:val="0"/>
      <w:marBottom w:val="0"/>
      <w:divBdr>
        <w:top w:val="none" w:sz="0" w:space="0" w:color="auto"/>
        <w:left w:val="none" w:sz="0" w:space="0" w:color="auto"/>
        <w:bottom w:val="none" w:sz="0" w:space="0" w:color="auto"/>
        <w:right w:val="none" w:sz="0" w:space="0" w:color="auto"/>
      </w:divBdr>
    </w:div>
    <w:div w:id="232929727">
      <w:bodyDiv w:val="1"/>
      <w:marLeft w:val="0"/>
      <w:marRight w:val="0"/>
      <w:marTop w:val="0"/>
      <w:marBottom w:val="0"/>
      <w:divBdr>
        <w:top w:val="none" w:sz="0" w:space="0" w:color="auto"/>
        <w:left w:val="none" w:sz="0" w:space="0" w:color="auto"/>
        <w:bottom w:val="none" w:sz="0" w:space="0" w:color="auto"/>
        <w:right w:val="none" w:sz="0" w:space="0" w:color="auto"/>
      </w:divBdr>
    </w:div>
    <w:div w:id="239216250">
      <w:bodyDiv w:val="1"/>
      <w:marLeft w:val="0"/>
      <w:marRight w:val="0"/>
      <w:marTop w:val="0"/>
      <w:marBottom w:val="0"/>
      <w:divBdr>
        <w:top w:val="none" w:sz="0" w:space="0" w:color="auto"/>
        <w:left w:val="none" w:sz="0" w:space="0" w:color="auto"/>
        <w:bottom w:val="none" w:sz="0" w:space="0" w:color="auto"/>
        <w:right w:val="none" w:sz="0" w:space="0" w:color="auto"/>
      </w:divBdr>
    </w:div>
    <w:div w:id="242960588">
      <w:bodyDiv w:val="1"/>
      <w:marLeft w:val="0"/>
      <w:marRight w:val="0"/>
      <w:marTop w:val="0"/>
      <w:marBottom w:val="0"/>
      <w:divBdr>
        <w:top w:val="none" w:sz="0" w:space="0" w:color="auto"/>
        <w:left w:val="none" w:sz="0" w:space="0" w:color="auto"/>
        <w:bottom w:val="none" w:sz="0" w:space="0" w:color="auto"/>
        <w:right w:val="none" w:sz="0" w:space="0" w:color="auto"/>
      </w:divBdr>
    </w:div>
    <w:div w:id="269168432">
      <w:bodyDiv w:val="1"/>
      <w:marLeft w:val="0"/>
      <w:marRight w:val="0"/>
      <w:marTop w:val="0"/>
      <w:marBottom w:val="0"/>
      <w:divBdr>
        <w:top w:val="none" w:sz="0" w:space="0" w:color="auto"/>
        <w:left w:val="none" w:sz="0" w:space="0" w:color="auto"/>
        <w:bottom w:val="none" w:sz="0" w:space="0" w:color="auto"/>
        <w:right w:val="none" w:sz="0" w:space="0" w:color="auto"/>
      </w:divBdr>
    </w:div>
    <w:div w:id="281807995">
      <w:bodyDiv w:val="1"/>
      <w:marLeft w:val="0"/>
      <w:marRight w:val="0"/>
      <w:marTop w:val="0"/>
      <w:marBottom w:val="0"/>
      <w:divBdr>
        <w:top w:val="none" w:sz="0" w:space="0" w:color="auto"/>
        <w:left w:val="none" w:sz="0" w:space="0" w:color="auto"/>
        <w:bottom w:val="none" w:sz="0" w:space="0" w:color="auto"/>
        <w:right w:val="none" w:sz="0" w:space="0" w:color="auto"/>
      </w:divBdr>
    </w:div>
    <w:div w:id="292636060">
      <w:bodyDiv w:val="1"/>
      <w:marLeft w:val="0"/>
      <w:marRight w:val="0"/>
      <w:marTop w:val="0"/>
      <w:marBottom w:val="0"/>
      <w:divBdr>
        <w:top w:val="none" w:sz="0" w:space="0" w:color="auto"/>
        <w:left w:val="none" w:sz="0" w:space="0" w:color="auto"/>
        <w:bottom w:val="none" w:sz="0" w:space="0" w:color="auto"/>
        <w:right w:val="none" w:sz="0" w:space="0" w:color="auto"/>
      </w:divBdr>
    </w:div>
    <w:div w:id="320936842">
      <w:bodyDiv w:val="1"/>
      <w:marLeft w:val="0"/>
      <w:marRight w:val="0"/>
      <w:marTop w:val="0"/>
      <w:marBottom w:val="0"/>
      <w:divBdr>
        <w:top w:val="none" w:sz="0" w:space="0" w:color="auto"/>
        <w:left w:val="none" w:sz="0" w:space="0" w:color="auto"/>
        <w:bottom w:val="none" w:sz="0" w:space="0" w:color="auto"/>
        <w:right w:val="none" w:sz="0" w:space="0" w:color="auto"/>
      </w:divBdr>
    </w:div>
    <w:div w:id="345253656">
      <w:bodyDiv w:val="1"/>
      <w:marLeft w:val="0"/>
      <w:marRight w:val="0"/>
      <w:marTop w:val="0"/>
      <w:marBottom w:val="0"/>
      <w:divBdr>
        <w:top w:val="none" w:sz="0" w:space="0" w:color="auto"/>
        <w:left w:val="none" w:sz="0" w:space="0" w:color="auto"/>
        <w:bottom w:val="none" w:sz="0" w:space="0" w:color="auto"/>
        <w:right w:val="none" w:sz="0" w:space="0" w:color="auto"/>
      </w:divBdr>
    </w:div>
    <w:div w:id="347803448">
      <w:bodyDiv w:val="1"/>
      <w:marLeft w:val="0"/>
      <w:marRight w:val="0"/>
      <w:marTop w:val="0"/>
      <w:marBottom w:val="0"/>
      <w:divBdr>
        <w:top w:val="none" w:sz="0" w:space="0" w:color="auto"/>
        <w:left w:val="none" w:sz="0" w:space="0" w:color="auto"/>
        <w:bottom w:val="none" w:sz="0" w:space="0" w:color="auto"/>
        <w:right w:val="none" w:sz="0" w:space="0" w:color="auto"/>
      </w:divBdr>
    </w:div>
    <w:div w:id="354578156">
      <w:bodyDiv w:val="1"/>
      <w:marLeft w:val="0"/>
      <w:marRight w:val="0"/>
      <w:marTop w:val="0"/>
      <w:marBottom w:val="0"/>
      <w:divBdr>
        <w:top w:val="none" w:sz="0" w:space="0" w:color="auto"/>
        <w:left w:val="none" w:sz="0" w:space="0" w:color="auto"/>
        <w:bottom w:val="none" w:sz="0" w:space="0" w:color="auto"/>
        <w:right w:val="none" w:sz="0" w:space="0" w:color="auto"/>
      </w:divBdr>
    </w:div>
    <w:div w:id="355618155">
      <w:bodyDiv w:val="1"/>
      <w:marLeft w:val="0"/>
      <w:marRight w:val="0"/>
      <w:marTop w:val="0"/>
      <w:marBottom w:val="0"/>
      <w:divBdr>
        <w:top w:val="none" w:sz="0" w:space="0" w:color="auto"/>
        <w:left w:val="none" w:sz="0" w:space="0" w:color="auto"/>
        <w:bottom w:val="none" w:sz="0" w:space="0" w:color="auto"/>
        <w:right w:val="none" w:sz="0" w:space="0" w:color="auto"/>
      </w:divBdr>
    </w:div>
    <w:div w:id="356783529">
      <w:bodyDiv w:val="1"/>
      <w:marLeft w:val="0"/>
      <w:marRight w:val="0"/>
      <w:marTop w:val="0"/>
      <w:marBottom w:val="0"/>
      <w:divBdr>
        <w:top w:val="none" w:sz="0" w:space="0" w:color="auto"/>
        <w:left w:val="none" w:sz="0" w:space="0" w:color="auto"/>
        <w:bottom w:val="none" w:sz="0" w:space="0" w:color="auto"/>
        <w:right w:val="none" w:sz="0" w:space="0" w:color="auto"/>
      </w:divBdr>
    </w:div>
    <w:div w:id="369382131">
      <w:bodyDiv w:val="1"/>
      <w:marLeft w:val="0"/>
      <w:marRight w:val="0"/>
      <w:marTop w:val="0"/>
      <w:marBottom w:val="0"/>
      <w:divBdr>
        <w:top w:val="none" w:sz="0" w:space="0" w:color="auto"/>
        <w:left w:val="none" w:sz="0" w:space="0" w:color="auto"/>
        <w:bottom w:val="none" w:sz="0" w:space="0" w:color="auto"/>
        <w:right w:val="none" w:sz="0" w:space="0" w:color="auto"/>
      </w:divBdr>
    </w:div>
    <w:div w:id="396367847">
      <w:bodyDiv w:val="1"/>
      <w:marLeft w:val="0"/>
      <w:marRight w:val="0"/>
      <w:marTop w:val="0"/>
      <w:marBottom w:val="0"/>
      <w:divBdr>
        <w:top w:val="none" w:sz="0" w:space="0" w:color="auto"/>
        <w:left w:val="none" w:sz="0" w:space="0" w:color="auto"/>
        <w:bottom w:val="none" w:sz="0" w:space="0" w:color="auto"/>
        <w:right w:val="none" w:sz="0" w:space="0" w:color="auto"/>
      </w:divBdr>
    </w:div>
    <w:div w:id="495613575">
      <w:bodyDiv w:val="1"/>
      <w:marLeft w:val="0"/>
      <w:marRight w:val="0"/>
      <w:marTop w:val="0"/>
      <w:marBottom w:val="0"/>
      <w:divBdr>
        <w:top w:val="none" w:sz="0" w:space="0" w:color="auto"/>
        <w:left w:val="none" w:sz="0" w:space="0" w:color="auto"/>
        <w:bottom w:val="none" w:sz="0" w:space="0" w:color="auto"/>
        <w:right w:val="none" w:sz="0" w:space="0" w:color="auto"/>
      </w:divBdr>
    </w:div>
    <w:div w:id="510802601">
      <w:bodyDiv w:val="1"/>
      <w:marLeft w:val="0"/>
      <w:marRight w:val="0"/>
      <w:marTop w:val="0"/>
      <w:marBottom w:val="0"/>
      <w:divBdr>
        <w:top w:val="none" w:sz="0" w:space="0" w:color="auto"/>
        <w:left w:val="none" w:sz="0" w:space="0" w:color="auto"/>
        <w:bottom w:val="none" w:sz="0" w:space="0" w:color="auto"/>
        <w:right w:val="none" w:sz="0" w:space="0" w:color="auto"/>
      </w:divBdr>
    </w:div>
    <w:div w:id="521633147">
      <w:bodyDiv w:val="1"/>
      <w:marLeft w:val="0"/>
      <w:marRight w:val="0"/>
      <w:marTop w:val="0"/>
      <w:marBottom w:val="0"/>
      <w:divBdr>
        <w:top w:val="none" w:sz="0" w:space="0" w:color="auto"/>
        <w:left w:val="none" w:sz="0" w:space="0" w:color="auto"/>
        <w:bottom w:val="none" w:sz="0" w:space="0" w:color="auto"/>
        <w:right w:val="none" w:sz="0" w:space="0" w:color="auto"/>
      </w:divBdr>
    </w:div>
    <w:div w:id="558633241">
      <w:bodyDiv w:val="1"/>
      <w:marLeft w:val="0"/>
      <w:marRight w:val="0"/>
      <w:marTop w:val="0"/>
      <w:marBottom w:val="0"/>
      <w:divBdr>
        <w:top w:val="none" w:sz="0" w:space="0" w:color="auto"/>
        <w:left w:val="none" w:sz="0" w:space="0" w:color="auto"/>
        <w:bottom w:val="none" w:sz="0" w:space="0" w:color="auto"/>
        <w:right w:val="none" w:sz="0" w:space="0" w:color="auto"/>
      </w:divBdr>
    </w:div>
    <w:div w:id="620914677">
      <w:bodyDiv w:val="1"/>
      <w:marLeft w:val="0"/>
      <w:marRight w:val="0"/>
      <w:marTop w:val="0"/>
      <w:marBottom w:val="0"/>
      <w:divBdr>
        <w:top w:val="none" w:sz="0" w:space="0" w:color="auto"/>
        <w:left w:val="none" w:sz="0" w:space="0" w:color="auto"/>
        <w:bottom w:val="none" w:sz="0" w:space="0" w:color="auto"/>
        <w:right w:val="none" w:sz="0" w:space="0" w:color="auto"/>
      </w:divBdr>
    </w:div>
    <w:div w:id="640233558">
      <w:bodyDiv w:val="1"/>
      <w:marLeft w:val="0"/>
      <w:marRight w:val="0"/>
      <w:marTop w:val="0"/>
      <w:marBottom w:val="0"/>
      <w:divBdr>
        <w:top w:val="none" w:sz="0" w:space="0" w:color="auto"/>
        <w:left w:val="none" w:sz="0" w:space="0" w:color="auto"/>
        <w:bottom w:val="none" w:sz="0" w:space="0" w:color="auto"/>
        <w:right w:val="none" w:sz="0" w:space="0" w:color="auto"/>
      </w:divBdr>
    </w:div>
    <w:div w:id="641616320">
      <w:bodyDiv w:val="1"/>
      <w:marLeft w:val="0"/>
      <w:marRight w:val="0"/>
      <w:marTop w:val="0"/>
      <w:marBottom w:val="0"/>
      <w:divBdr>
        <w:top w:val="none" w:sz="0" w:space="0" w:color="auto"/>
        <w:left w:val="none" w:sz="0" w:space="0" w:color="auto"/>
        <w:bottom w:val="none" w:sz="0" w:space="0" w:color="auto"/>
        <w:right w:val="none" w:sz="0" w:space="0" w:color="auto"/>
      </w:divBdr>
    </w:div>
    <w:div w:id="650717514">
      <w:bodyDiv w:val="1"/>
      <w:marLeft w:val="0"/>
      <w:marRight w:val="0"/>
      <w:marTop w:val="0"/>
      <w:marBottom w:val="0"/>
      <w:divBdr>
        <w:top w:val="none" w:sz="0" w:space="0" w:color="auto"/>
        <w:left w:val="none" w:sz="0" w:space="0" w:color="auto"/>
        <w:bottom w:val="none" w:sz="0" w:space="0" w:color="auto"/>
        <w:right w:val="none" w:sz="0" w:space="0" w:color="auto"/>
      </w:divBdr>
    </w:div>
    <w:div w:id="664824332">
      <w:bodyDiv w:val="1"/>
      <w:marLeft w:val="0"/>
      <w:marRight w:val="0"/>
      <w:marTop w:val="0"/>
      <w:marBottom w:val="0"/>
      <w:divBdr>
        <w:top w:val="none" w:sz="0" w:space="0" w:color="auto"/>
        <w:left w:val="none" w:sz="0" w:space="0" w:color="auto"/>
        <w:bottom w:val="none" w:sz="0" w:space="0" w:color="auto"/>
        <w:right w:val="none" w:sz="0" w:space="0" w:color="auto"/>
      </w:divBdr>
    </w:div>
    <w:div w:id="682976530">
      <w:bodyDiv w:val="1"/>
      <w:marLeft w:val="0"/>
      <w:marRight w:val="0"/>
      <w:marTop w:val="0"/>
      <w:marBottom w:val="0"/>
      <w:divBdr>
        <w:top w:val="none" w:sz="0" w:space="0" w:color="auto"/>
        <w:left w:val="none" w:sz="0" w:space="0" w:color="auto"/>
        <w:bottom w:val="none" w:sz="0" w:space="0" w:color="auto"/>
        <w:right w:val="none" w:sz="0" w:space="0" w:color="auto"/>
      </w:divBdr>
    </w:div>
    <w:div w:id="725226279">
      <w:bodyDiv w:val="1"/>
      <w:marLeft w:val="0"/>
      <w:marRight w:val="0"/>
      <w:marTop w:val="0"/>
      <w:marBottom w:val="0"/>
      <w:divBdr>
        <w:top w:val="none" w:sz="0" w:space="0" w:color="auto"/>
        <w:left w:val="none" w:sz="0" w:space="0" w:color="auto"/>
        <w:bottom w:val="none" w:sz="0" w:space="0" w:color="auto"/>
        <w:right w:val="none" w:sz="0" w:space="0" w:color="auto"/>
      </w:divBdr>
    </w:div>
    <w:div w:id="732192301">
      <w:bodyDiv w:val="1"/>
      <w:marLeft w:val="0"/>
      <w:marRight w:val="0"/>
      <w:marTop w:val="0"/>
      <w:marBottom w:val="0"/>
      <w:divBdr>
        <w:top w:val="none" w:sz="0" w:space="0" w:color="auto"/>
        <w:left w:val="none" w:sz="0" w:space="0" w:color="auto"/>
        <w:bottom w:val="none" w:sz="0" w:space="0" w:color="auto"/>
        <w:right w:val="none" w:sz="0" w:space="0" w:color="auto"/>
      </w:divBdr>
    </w:div>
    <w:div w:id="732894778">
      <w:bodyDiv w:val="1"/>
      <w:marLeft w:val="0"/>
      <w:marRight w:val="0"/>
      <w:marTop w:val="0"/>
      <w:marBottom w:val="0"/>
      <w:divBdr>
        <w:top w:val="none" w:sz="0" w:space="0" w:color="auto"/>
        <w:left w:val="none" w:sz="0" w:space="0" w:color="auto"/>
        <w:bottom w:val="none" w:sz="0" w:space="0" w:color="auto"/>
        <w:right w:val="none" w:sz="0" w:space="0" w:color="auto"/>
      </w:divBdr>
    </w:div>
    <w:div w:id="749959162">
      <w:bodyDiv w:val="1"/>
      <w:marLeft w:val="0"/>
      <w:marRight w:val="0"/>
      <w:marTop w:val="0"/>
      <w:marBottom w:val="0"/>
      <w:divBdr>
        <w:top w:val="none" w:sz="0" w:space="0" w:color="auto"/>
        <w:left w:val="none" w:sz="0" w:space="0" w:color="auto"/>
        <w:bottom w:val="none" w:sz="0" w:space="0" w:color="auto"/>
        <w:right w:val="none" w:sz="0" w:space="0" w:color="auto"/>
      </w:divBdr>
    </w:div>
    <w:div w:id="750200837">
      <w:bodyDiv w:val="1"/>
      <w:marLeft w:val="0"/>
      <w:marRight w:val="0"/>
      <w:marTop w:val="0"/>
      <w:marBottom w:val="0"/>
      <w:divBdr>
        <w:top w:val="none" w:sz="0" w:space="0" w:color="auto"/>
        <w:left w:val="none" w:sz="0" w:space="0" w:color="auto"/>
        <w:bottom w:val="none" w:sz="0" w:space="0" w:color="auto"/>
        <w:right w:val="none" w:sz="0" w:space="0" w:color="auto"/>
      </w:divBdr>
    </w:div>
    <w:div w:id="764497914">
      <w:bodyDiv w:val="1"/>
      <w:marLeft w:val="0"/>
      <w:marRight w:val="0"/>
      <w:marTop w:val="0"/>
      <w:marBottom w:val="0"/>
      <w:divBdr>
        <w:top w:val="none" w:sz="0" w:space="0" w:color="auto"/>
        <w:left w:val="none" w:sz="0" w:space="0" w:color="auto"/>
        <w:bottom w:val="none" w:sz="0" w:space="0" w:color="auto"/>
        <w:right w:val="none" w:sz="0" w:space="0" w:color="auto"/>
      </w:divBdr>
    </w:div>
    <w:div w:id="787315582">
      <w:bodyDiv w:val="1"/>
      <w:marLeft w:val="0"/>
      <w:marRight w:val="0"/>
      <w:marTop w:val="0"/>
      <w:marBottom w:val="0"/>
      <w:divBdr>
        <w:top w:val="none" w:sz="0" w:space="0" w:color="auto"/>
        <w:left w:val="none" w:sz="0" w:space="0" w:color="auto"/>
        <w:bottom w:val="none" w:sz="0" w:space="0" w:color="auto"/>
        <w:right w:val="none" w:sz="0" w:space="0" w:color="auto"/>
      </w:divBdr>
    </w:div>
    <w:div w:id="814182334">
      <w:bodyDiv w:val="1"/>
      <w:marLeft w:val="0"/>
      <w:marRight w:val="0"/>
      <w:marTop w:val="0"/>
      <w:marBottom w:val="0"/>
      <w:divBdr>
        <w:top w:val="none" w:sz="0" w:space="0" w:color="auto"/>
        <w:left w:val="none" w:sz="0" w:space="0" w:color="auto"/>
        <w:bottom w:val="none" w:sz="0" w:space="0" w:color="auto"/>
        <w:right w:val="none" w:sz="0" w:space="0" w:color="auto"/>
      </w:divBdr>
    </w:div>
    <w:div w:id="854265708">
      <w:bodyDiv w:val="1"/>
      <w:marLeft w:val="0"/>
      <w:marRight w:val="0"/>
      <w:marTop w:val="0"/>
      <w:marBottom w:val="0"/>
      <w:divBdr>
        <w:top w:val="none" w:sz="0" w:space="0" w:color="auto"/>
        <w:left w:val="none" w:sz="0" w:space="0" w:color="auto"/>
        <w:bottom w:val="none" w:sz="0" w:space="0" w:color="auto"/>
        <w:right w:val="none" w:sz="0" w:space="0" w:color="auto"/>
      </w:divBdr>
    </w:div>
    <w:div w:id="885482454">
      <w:bodyDiv w:val="1"/>
      <w:marLeft w:val="0"/>
      <w:marRight w:val="0"/>
      <w:marTop w:val="0"/>
      <w:marBottom w:val="0"/>
      <w:divBdr>
        <w:top w:val="none" w:sz="0" w:space="0" w:color="auto"/>
        <w:left w:val="none" w:sz="0" w:space="0" w:color="auto"/>
        <w:bottom w:val="none" w:sz="0" w:space="0" w:color="auto"/>
        <w:right w:val="none" w:sz="0" w:space="0" w:color="auto"/>
      </w:divBdr>
    </w:div>
    <w:div w:id="887374801">
      <w:bodyDiv w:val="1"/>
      <w:marLeft w:val="0"/>
      <w:marRight w:val="0"/>
      <w:marTop w:val="0"/>
      <w:marBottom w:val="0"/>
      <w:divBdr>
        <w:top w:val="none" w:sz="0" w:space="0" w:color="auto"/>
        <w:left w:val="none" w:sz="0" w:space="0" w:color="auto"/>
        <w:bottom w:val="none" w:sz="0" w:space="0" w:color="auto"/>
        <w:right w:val="none" w:sz="0" w:space="0" w:color="auto"/>
      </w:divBdr>
    </w:div>
    <w:div w:id="893006107">
      <w:bodyDiv w:val="1"/>
      <w:marLeft w:val="0"/>
      <w:marRight w:val="0"/>
      <w:marTop w:val="0"/>
      <w:marBottom w:val="0"/>
      <w:divBdr>
        <w:top w:val="none" w:sz="0" w:space="0" w:color="auto"/>
        <w:left w:val="none" w:sz="0" w:space="0" w:color="auto"/>
        <w:bottom w:val="none" w:sz="0" w:space="0" w:color="auto"/>
        <w:right w:val="none" w:sz="0" w:space="0" w:color="auto"/>
      </w:divBdr>
    </w:div>
    <w:div w:id="918370444">
      <w:bodyDiv w:val="1"/>
      <w:marLeft w:val="0"/>
      <w:marRight w:val="0"/>
      <w:marTop w:val="0"/>
      <w:marBottom w:val="0"/>
      <w:divBdr>
        <w:top w:val="none" w:sz="0" w:space="0" w:color="auto"/>
        <w:left w:val="none" w:sz="0" w:space="0" w:color="auto"/>
        <w:bottom w:val="none" w:sz="0" w:space="0" w:color="auto"/>
        <w:right w:val="none" w:sz="0" w:space="0" w:color="auto"/>
      </w:divBdr>
    </w:div>
    <w:div w:id="918948170">
      <w:bodyDiv w:val="1"/>
      <w:marLeft w:val="0"/>
      <w:marRight w:val="0"/>
      <w:marTop w:val="0"/>
      <w:marBottom w:val="0"/>
      <w:divBdr>
        <w:top w:val="none" w:sz="0" w:space="0" w:color="auto"/>
        <w:left w:val="none" w:sz="0" w:space="0" w:color="auto"/>
        <w:bottom w:val="none" w:sz="0" w:space="0" w:color="auto"/>
        <w:right w:val="none" w:sz="0" w:space="0" w:color="auto"/>
      </w:divBdr>
    </w:div>
    <w:div w:id="946620807">
      <w:bodyDiv w:val="1"/>
      <w:marLeft w:val="0"/>
      <w:marRight w:val="0"/>
      <w:marTop w:val="0"/>
      <w:marBottom w:val="0"/>
      <w:divBdr>
        <w:top w:val="none" w:sz="0" w:space="0" w:color="auto"/>
        <w:left w:val="none" w:sz="0" w:space="0" w:color="auto"/>
        <w:bottom w:val="none" w:sz="0" w:space="0" w:color="auto"/>
        <w:right w:val="none" w:sz="0" w:space="0" w:color="auto"/>
      </w:divBdr>
    </w:div>
    <w:div w:id="959650211">
      <w:bodyDiv w:val="1"/>
      <w:marLeft w:val="0"/>
      <w:marRight w:val="0"/>
      <w:marTop w:val="0"/>
      <w:marBottom w:val="0"/>
      <w:divBdr>
        <w:top w:val="none" w:sz="0" w:space="0" w:color="auto"/>
        <w:left w:val="none" w:sz="0" w:space="0" w:color="auto"/>
        <w:bottom w:val="none" w:sz="0" w:space="0" w:color="auto"/>
        <w:right w:val="none" w:sz="0" w:space="0" w:color="auto"/>
      </w:divBdr>
    </w:div>
    <w:div w:id="968126258">
      <w:bodyDiv w:val="1"/>
      <w:marLeft w:val="0"/>
      <w:marRight w:val="0"/>
      <w:marTop w:val="0"/>
      <w:marBottom w:val="0"/>
      <w:divBdr>
        <w:top w:val="none" w:sz="0" w:space="0" w:color="auto"/>
        <w:left w:val="none" w:sz="0" w:space="0" w:color="auto"/>
        <w:bottom w:val="none" w:sz="0" w:space="0" w:color="auto"/>
        <w:right w:val="none" w:sz="0" w:space="0" w:color="auto"/>
      </w:divBdr>
    </w:div>
    <w:div w:id="973874812">
      <w:bodyDiv w:val="1"/>
      <w:marLeft w:val="0"/>
      <w:marRight w:val="0"/>
      <w:marTop w:val="0"/>
      <w:marBottom w:val="0"/>
      <w:divBdr>
        <w:top w:val="none" w:sz="0" w:space="0" w:color="auto"/>
        <w:left w:val="none" w:sz="0" w:space="0" w:color="auto"/>
        <w:bottom w:val="none" w:sz="0" w:space="0" w:color="auto"/>
        <w:right w:val="none" w:sz="0" w:space="0" w:color="auto"/>
      </w:divBdr>
    </w:div>
    <w:div w:id="1021128490">
      <w:bodyDiv w:val="1"/>
      <w:marLeft w:val="0"/>
      <w:marRight w:val="0"/>
      <w:marTop w:val="0"/>
      <w:marBottom w:val="0"/>
      <w:divBdr>
        <w:top w:val="none" w:sz="0" w:space="0" w:color="auto"/>
        <w:left w:val="none" w:sz="0" w:space="0" w:color="auto"/>
        <w:bottom w:val="none" w:sz="0" w:space="0" w:color="auto"/>
        <w:right w:val="none" w:sz="0" w:space="0" w:color="auto"/>
      </w:divBdr>
    </w:div>
    <w:div w:id="1047678116">
      <w:bodyDiv w:val="1"/>
      <w:marLeft w:val="0"/>
      <w:marRight w:val="0"/>
      <w:marTop w:val="0"/>
      <w:marBottom w:val="0"/>
      <w:divBdr>
        <w:top w:val="none" w:sz="0" w:space="0" w:color="auto"/>
        <w:left w:val="none" w:sz="0" w:space="0" w:color="auto"/>
        <w:bottom w:val="none" w:sz="0" w:space="0" w:color="auto"/>
        <w:right w:val="none" w:sz="0" w:space="0" w:color="auto"/>
      </w:divBdr>
    </w:div>
    <w:div w:id="1083255075">
      <w:bodyDiv w:val="1"/>
      <w:marLeft w:val="0"/>
      <w:marRight w:val="0"/>
      <w:marTop w:val="0"/>
      <w:marBottom w:val="0"/>
      <w:divBdr>
        <w:top w:val="none" w:sz="0" w:space="0" w:color="auto"/>
        <w:left w:val="none" w:sz="0" w:space="0" w:color="auto"/>
        <w:bottom w:val="none" w:sz="0" w:space="0" w:color="auto"/>
        <w:right w:val="none" w:sz="0" w:space="0" w:color="auto"/>
      </w:divBdr>
    </w:div>
    <w:div w:id="1095636491">
      <w:bodyDiv w:val="1"/>
      <w:marLeft w:val="0"/>
      <w:marRight w:val="0"/>
      <w:marTop w:val="0"/>
      <w:marBottom w:val="0"/>
      <w:divBdr>
        <w:top w:val="none" w:sz="0" w:space="0" w:color="auto"/>
        <w:left w:val="none" w:sz="0" w:space="0" w:color="auto"/>
        <w:bottom w:val="none" w:sz="0" w:space="0" w:color="auto"/>
        <w:right w:val="none" w:sz="0" w:space="0" w:color="auto"/>
      </w:divBdr>
    </w:div>
    <w:div w:id="1102845074">
      <w:bodyDiv w:val="1"/>
      <w:marLeft w:val="0"/>
      <w:marRight w:val="0"/>
      <w:marTop w:val="0"/>
      <w:marBottom w:val="0"/>
      <w:divBdr>
        <w:top w:val="none" w:sz="0" w:space="0" w:color="auto"/>
        <w:left w:val="none" w:sz="0" w:space="0" w:color="auto"/>
        <w:bottom w:val="none" w:sz="0" w:space="0" w:color="auto"/>
        <w:right w:val="none" w:sz="0" w:space="0" w:color="auto"/>
      </w:divBdr>
    </w:div>
    <w:div w:id="1108355301">
      <w:bodyDiv w:val="1"/>
      <w:marLeft w:val="0"/>
      <w:marRight w:val="0"/>
      <w:marTop w:val="0"/>
      <w:marBottom w:val="0"/>
      <w:divBdr>
        <w:top w:val="none" w:sz="0" w:space="0" w:color="auto"/>
        <w:left w:val="none" w:sz="0" w:space="0" w:color="auto"/>
        <w:bottom w:val="none" w:sz="0" w:space="0" w:color="auto"/>
        <w:right w:val="none" w:sz="0" w:space="0" w:color="auto"/>
      </w:divBdr>
    </w:div>
    <w:div w:id="1117213004">
      <w:bodyDiv w:val="1"/>
      <w:marLeft w:val="0"/>
      <w:marRight w:val="0"/>
      <w:marTop w:val="0"/>
      <w:marBottom w:val="0"/>
      <w:divBdr>
        <w:top w:val="none" w:sz="0" w:space="0" w:color="auto"/>
        <w:left w:val="none" w:sz="0" w:space="0" w:color="auto"/>
        <w:bottom w:val="none" w:sz="0" w:space="0" w:color="auto"/>
        <w:right w:val="none" w:sz="0" w:space="0" w:color="auto"/>
      </w:divBdr>
    </w:div>
    <w:div w:id="1175996669">
      <w:bodyDiv w:val="1"/>
      <w:marLeft w:val="0"/>
      <w:marRight w:val="0"/>
      <w:marTop w:val="0"/>
      <w:marBottom w:val="0"/>
      <w:divBdr>
        <w:top w:val="none" w:sz="0" w:space="0" w:color="auto"/>
        <w:left w:val="none" w:sz="0" w:space="0" w:color="auto"/>
        <w:bottom w:val="none" w:sz="0" w:space="0" w:color="auto"/>
        <w:right w:val="none" w:sz="0" w:space="0" w:color="auto"/>
      </w:divBdr>
    </w:div>
    <w:div w:id="1202131184">
      <w:bodyDiv w:val="1"/>
      <w:marLeft w:val="0"/>
      <w:marRight w:val="0"/>
      <w:marTop w:val="0"/>
      <w:marBottom w:val="0"/>
      <w:divBdr>
        <w:top w:val="none" w:sz="0" w:space="0" w:color="auto"/>
        <w:left w:val="none" w:sz="0" w:space="0" w:color="auto"/>
        <w:bottom w:val="none" w:sz="0" w:space="0" w:color="auto"/>
        <w:right w:val="none" w:sz="0" w:space="0" w:color="auto"/>
      </w:divBdr>
    </w:div>
    <w:div w:id="1240024844">
      <w:bodyDiv w:val="1"/>
      <w:marLeft w:val="0"/>
      <w:marRight w:val="0"/>
      <w:marTop w:val="0"/>
      <w:marBottom w:val="0"/>
      <w:divBdr>
        <w:top w:val="none" w:sz="0" w:space="0" w:color="auto"/>
        <w:left w:val="none" w:sz="0" w:space="0" w:color="auto"/>
        <w:bottom w:val="none" w:sz="0" w:space="0" w:color="auto"/>
        <w:right w:val="none" w:sz="0" w:space="0" w:color="auto"/>
      </w:divBdr>
    </w:div>
    <w:div w:id="1296908326">
      <w:bodyDiv w:val="1"/>
      <w:marLeft w:val="0"/>
      <w:marRight w:val="0"/>
      <w:marTop w:val="0"/>
      <w:marBottom w:val="0"/>
      <w:divBdr>
        <w:top w:val="none" w:sz="0" w:space="0" w:color="auto"/>
        <w:left w:val="none" w:sz="0" w:space="0" w:color="auto"/>
        <w:bottom w:val="none" w:sz="0" w:space="0" w:color="auto"/>
        <w:right w:val="none" w:sz="0" w:space="0" w:color="auto"/>
      </w:divBdr>
    </w:div>
    <w:div w:id="1313020124">
      <w:bodyDiv w:val="1"/>
      <w:marLeft w:val="0"/>
      <w:marRight w:val="0"/>
      <w:marTop w:val="0"/>
      <w:marBottom w:val="0"/>
      <w:divBdr>
        <w:top w:val="none" w:sz="0" w:space="0" w:color="auto"/>
        <w:left w:val="none" w:sz="0" w:space="0" w:color="auto"/>
        <w:bottom w:val="none" w:sz="0" w:space="0" w:color="auto"/>
        <w:right w:val="none" w:sz="0" w:space="0" w:color="auto"/>
      </w:divBdr>
    </w:div>
    <w:div w:id="1318417439">
      <w:bodyDiv w:val="1"/>
      <w:marLeft w:val="0"/>
      <w:marRight w:val="0"/>
      <w:marTop w:val="0"/>
      <w:marBottom w:val="0"/>
      <w:divBdr>
        <w:top w:val="none" w:sz="0" w:space="0" w:color="auto"/>
        <w:left w:val="none" w:sz="0" w:space="0" w:color="auto"/>
        <w:bottom w:val="none" w:sz="0" w:space="0" w:color="auto"/>
        <w:right w:val="none" w:sz="0" w:space="0" w:color="auto"/>
      </w:divBdr>
    </w:div>
    <w:div w:id="1414469563">
      <w:bodyDiv w:val="1"/>
      <w:marLeft w:val="0"/>
      <w:marRight w:val="0"/>
      <w:marTop w:val="0"/>
      <w:marBottom w:val="0"/>
      <w:divBdr>
        <w:top w:val="none" w:sz="0" w:space="0" w:color="auto"/>
        <w:left w:val="none" w:sz="0" w:space="0" w:color="auto"/>
        <w:bottom w:val="none" w:sz="0" w:space="0" w:color="auto"/>
        <w:right w:val="none" w:sz="0" w:space="0" w:color="auto"/>
      </w:divBdr>
    </w:div>
    <w:div w:id="1451515726">
      <w:bodyDiv w:val="1"/>
      <w:marLeft w:val="0"/>
      <w:marRight w:val="0"/>
      <w:marTop w:val="0"/>
      <w:marBottom w:val="0"/>
      <w:divBdr>
        <w:top w:val="none" w:sz="0" w:space="0" w:color="auto"/>
        <w:left w:val="none" w:sz="0" w:space="0" w:color="auto"/>
        <w:bottom w:val="none" w:sz="0" w:space="0" w:color="auto"/>
        <w:right w:val="none" w:sz="0" w:space="0" w:color="auto"/>
      </w:divBdr>
    </w:div>
    <w:div w:id="1452283683">
      <w:bodyDiv w:val="1"/>
      <w:marLeft w:val="0"/>
      <w:marRight w:val="0"/>
      <w:marTop w:val="0"/>
      <w:marBottom w:val="0"/>
      <w:divBdr>
        <w:top w:val="none" w:sz="0" w:space="0" w:color="auto"/>
        <w:left w:val="none" w:sz="0" w:space="0" w:color="auto"/>
        <w:bottom w:val="none" w:sz="0" w:space="0" w:color="auto"/>
        <w:right w:val="none" w:sz="0" w:space="0" w:color="auto"/>
      </w:divBdr>
    </w:div>
    <w:div w:id="1466389230">
      <w:bodyDiv w:val="1"/>
      <w:marLeft w:val="0"/>
      <w:marRight w:val="0"/>
      <w:marTop w:val="0"/>
      <w:marBottom w:val="0"/>
      <w:divBdr>
        <w:top w:val="none" w:sz="0" w:space="0" w:color="auto"/>
        <w:left w:val="none" w:sz="0" w:space="0" w:color="auto"/>
        <w:bottom w:val="none" w:sz="0" w:space="0" w:color="auto"/>
        <w:right w:val="none" w:sz="0" w:space="0" w:color="auto"/>
      </w:divBdr>
    </w:div>
    <w:div w:id="1475293110">
      <w:bodyDiv w:val="1"/>
      <w:marLeft w:val="0"/>
      <w:marRight w:val="0"/>
      <w:marTop w:val="0"/>
      <w:marBottom w:val="0"/>
      <w:divBdr>
        <w:top w:val="none" w:sz="0" w:space="0" w:color="auto"/>
        <w:left w:val="none" w:sz="0" w:space="0" w:color="auto"/>
        <w:bottom w:val="none" w:sz="0" w:space="0" w:color="auto"/>
        <w:right w:val="none" w:sz="0" w:space="0" w:color="auto"/>
      </w:divBdr>
    </w:div>
    <w:div w:id="1477338771">
      <w:bodyDiv w:val="1"/>
      <w:marLeft w:val="0"/>
      <w:marRight w:val="0"/>
      <w:marTop w:val="0"/>
      <w:marBottom w:val="0"/>
      <w:divBdr>
        <w:top w:val="none" w:sz="0" w:space="0" w:color="auto"/>
        <w:left w:val="none" w:sz="0" w:space="0" w:color="auto"/>
        <w:bottom w:val="none" w:sz="0" w:space="0" w:color="auto"/>
        <w:right w:val="none" w:sz="0" w:space="0" w:color="auto"/>
      </w:divBdr>
    </w:div>
    <w:div w:id="1493763902">
      <w:bodyDiv w:val="1"/>
      <w:marLeft w:val="0"/>
      <w:marRight w:val="0"/>
      <w:marTop w:val="0"/>
      <w:marBottom w:val="0"/>
      <w:divBdr>
        <w:top w:val="none" w:sz="0" w:space="0" w:color="auto"/>
        <w:left w:val="none" w:sz="0" w:space="0" w:color="auto"/>
        <w:bottom w:val="none" w:sz="0" w:space="0" w:color="auto"/>
        <w:right w:val="none" w:sz="0" w:space="0" w:color="auto"/>
      </w:divBdr>
    </w:div>
    <w:div w:id="1513686672">
      <w:bodyDiv w:val="1"/>
      <w:marLeft w:val="0"/>
      <w:marRight w:val="0"/>
      <w:marTop w:val="0"/>
      <w:marBottom w:val="0"/>
      <w:divBdr>
        <w:top w:val="none" w:sz="0" w:space="0" w:color="auto"/>
        <w:left w:val="none" w:sz="0" w:space="0" w:color="auto"/>
        <w:bottom w:val="none" w:sz="0" w:space="0" w:color="auto"/>
        <w:right w:val="none" w:sz="0" w:space="0" w:color="auto"/>
      </w:divBdr>
    </w:div>
    <w:div w:id="1523548075">
      <w:bodyDiv w:val="1"/>
      <w:marLeft w:val="0"/>
      <w:marRight w:val="0"/>
      <w:marTop w:val="0"/>
      <w:marBottom w:val="0"/>
      <w:divBdr>
        <w:top w:val="none" w:sz="0" w:space="0" w:color="auto"/>
        <w:left w:val="none" w:sz="0" w:space="0" w:color="auto"/>
        <w:bottom w:val="none" w:sz="0" w:space="0" w:color="auto"/>
        <w:right w:val="none" w:sz="0" w:space="0" w:color="auto"/>
      </w:divBdr>
    </w:div>
    <w:div w:id="1563176599">
      <w:bodyDiv w:val="1"/>
      <w:marLeft w:val="0"/>
      <w:marRight w:val="0"/>
      <w:marTop w:val="0"/>
      <w:marBottom w:val="0"/>
      <w:divBdr>
        <w:top w:val="none" w:sz="0" w:space="0" w:color="auto"/>
        <w:left w:val="none" w:sz="0" w:space="0" w:color="auto"/>
        <w:bottom w:val="none" w:sz="0" w:space="0" w:color="auto"/>
        <w:right w:val="none" w:sz="0" w:space="0" w:color="auto"/>
      </w:divBdr>
    </w:div>
    <w:div w:id="1565949319">
      <w:bodyDiv w:val="1"/>
      <w:marLeft w:val="0"/>
      <w:marRight w:val="0"/>
      <w:marTop w:val="0"/>
      <w:marBottom w:val="0"/>
      <w:divBdr>
        <w:top w:val="none" w:sz="0" w:space="0" w:color="auto"/>
        <w:left w:val="none" w:sz="0" w:space="0" w:color="auto"/>
        <w:bottom w:val="none" w:sz="0" w:space="0" w:color="auto"/>
        <w:right w:val="none" w:sz="0" w:space="0" w:color="auto"/>
      </w:divBdr>
    </w:div>
    <w:div w:id="1567446702">
      <w:bodyDiv w:val="1"/>
      <w:marLeft w:val="0"/>
      <w:marRight w:val="0"/>
      <w:marTop w:val="0"/>
      <w:marBottom w:val="0"/>
      <w:divBdr>
        <w:top w:val="none" w:sz="0" w:space="0" w:color="auto"/>
        <w:left w:val="none" w:sz="0" w:space="0" w:color="auto"/>
        <w:bottom w:val="none" w:sz="0" w:space="0" w:color="auto"/>
        <w:right w:val="none" w:sz="0" w:space="0" w:color="auto"/>
      </w:divBdr>
    </w:div>
    <w:div w:id="1578634844">
      <w:bodyDiv w:val="1"/>
      <w:marLeft w:val="0"/>
      <w:marRight w:val="0"/>
      <w:marTop w:val="0"/>
      <w:marBottom w:val="0"/>
      <w:divBdr>
        <w:top w:val="none" w:sz="0" w:space="0" w:color="auto"/>
        <w:left w:val="none" w:sz="0" w:space="0" w:color="auto"/>
        <w:bottom w:val="none" w:sz="0" w:space="0" w:color="auto"/>
        <w:right w:val="none" w:sz="0" w:space="0" w:color="auto"/>
      </w:divBdr>
    </w:div>
    <w:div w:id="1613706971">
      <w:bodyDiv w:val="1"/>
      <w:marLeft w:val="0"/>
      <w:marRight w:val="0"/>
      <w:marTop w:val="0"/>
      <w:marBottom w:val="0"/>
      <w:divBdr>
        <w:top w:val="none" w:sz="0" w:space="0" w:color="auto"/>
        <w:left w:val="none" w:sz="0" w:space="0" w:color="auto"/>
        <w:bottom w:val="none" w:sz="0" w:space="0" w:color="auto"/>
        <w:right w:val="none" w:sz="0" w:space="0" w:color="auto"/>
      </w:divBdr>
    </w:div>
    <w:div w:id="1619601937">
      <w:bodyDiv w:val="1"/>
      <w:marLeft w:val="0"/>
      <w:marRight w:val="0"/>
      <w:marTop w:val="0"/>
      <w:marBottom w:val="0"/>
      <w:divBdr>
        <w:top w:val="none" w:sz="0" w:space="0" w:color="auto"/>
        <w:left w:val="none" w:sz="0" w:space="0" w:color="auto"/>
        <w:bottom w:val="none" w:sz="0" w:space="0" w:color="auto"/>
        <w:right w:val="none" w:sz="0" w:space="0" w:color="auto"/>
      </w:divBdr>
    </w:div>
    <w:div w:id="1628313788">
      <w:bodyDiv w:val="1"/>
      <w:marLeft w:val="0"/>
      <w:marRight w:val="0"/>
      <w:marTop w:val="0"/>
      <w:marBottom w:val="0"/>
      <w:divBdr>
        <w:top w:val="none" w:sz="0" w:space="0" w:color="auto"/>
        <w:left w:val="none" w:sz="0" w:space="0" w:color="auto"/>
        <w:bottom w:val="none" w:sz="0" w:space="0" w:color="auto"/>
        <w:right w:val="none" w:sz="0" w:space="0" w:color="auto"/>
      </w:divBdr>
    </w:div>
    <w:div w:id="1637445804">
      <w:bodyDiv w:val="1"/>
      <w:marLeft w:val="0"/>
      <w:marRight w:val="0"/>
      <w:marTop w:val="0"/>
      <w:marBottom w:val="0"/>
      <w:divBdr>
        <w:top w:val="none" w:sz="0" w:space="0" w:color="auto"/>
        <w:left w:val="none" w:sz="0" w:space="0" w:color="auto"/>
        <w:bottom w:val="none" w:sz="0" w:space="0" w:color="auto"/>
        <w:right w:val="none" w:sz="0" w:space="0" w:color="auto"/>
      </w:divBdr>
    </w:div>
    <w:div w:id="1660301581">
      <w:bodyDiv w:val="1"/>
      <w:marLeft w:val="0"/>
      <w:marRight w:val="0"/>
      <w:marTop w:val="0"/>
      <w:marBottom w:val="0"/>
      <w:divBdr>
        <w:top w:val="none" w:sz="0" w:space="0" w:color="auto"/>
        <w:left w:val="none" w:sz="0" w:space="0" w:color="auto"/>
        <w:bottom w:val="none" w:sz="0" w:space="0" w:color="auto"/>
        <w:right w:val="none" w:sz="0" w:space="0" w:color="auto"/>
      </w:divBdr>
    </w:div>
    <w:div w:id="1698770674">
      <w:bodyDiv w:val="1"/>
      <w:marLeft w:val="0"/>
      <w:marRight w:val="0"/>
      <w:marTop w:val="0"/>
      <w:marBottom w:val="0"/>
      <w:divBdr>
        <w:top w:val="none" w:sz="0" w:space="0" w:color="auto"/>
        <w:left w:val="none" w:sz="0" w:space="0" w:color="auto"/>
        <w:bottom w:val="none" w:sz="0" w:space="0" w:color="auto"/>
        <w:right w:val="none" w:sz="0" w:space="0" w:color="auto"/>
      </w:divBdr>
    </w:div>
    <w:div w:id="1726760605">
      <w:bodyDiv w:val="1"/>
      <w:marLeft w:val="0"/>
      <w:marRight w:val="0"/>
      <w:marTop w:val="0"/>
      <w:marBottom w:val="0"/>
      <w:divBdr>
        <w:top w:val="none" w:sz="0" w:space="0" w:color="auto"/>
        <w:left w:val="none" w:sz="0" w:space="0" w:color="auto"/>
        <w:bottom w:val="none" w:sz="0" w:space="0" w:color="auto"/>
        <w:right w:val="none" w:sz="0" w:space="0" w:color="auto"/>
      </w:divBdr>
    </w:div>
    <w:div w:id="1728186750">
      <w:bodyDiv w:val="1"/>
      <w:marLeft w:val="0"/>
      <w:marRight w:val="0"/>
      <w:marTop w:val="0"/>
      <w:marBottom w:val="0"/>
      <w:divBdr>
        <w:top w:val="none" w:sz="0" w:space="0" w:color="auto"/>
        <w:left w:val="none" w:sz="0" w:space="0" w:color="auto"/>
        <w:bottom w:val="none" w:sz="0" w:space="0" w:color="auto"/>
        <w:right w:val="none" w:sz="0" w:space="0" w:color="auto"/>
      </w:divBdr>
    </w:div>
    <w:div w:id="1734623408">
      <w:bodyDiv w:val="1"/>
      <w:marLeft w:val="0"/>
      <w:marRight w:val="0"/>
      <w:marTop w:val="0"/>
      <w:marBottom w:val="0"/>
      <w:divBdr>
        <w:top w:val="none" w:sz="0" w:space="0" w:color="auto"/>
        <w:left w:val="none" w:sz="0" w:space="0" w:color="auto"/>
        <w:bottom w:val="none" w:sz="0" w:space="0" w:color="auto"/>
        <w:right w:val="none" w:sz="0" w:space="0" w:color="auto"/>
      </w:divBdr>
    </w:div>
    <w:div w:id="1756169329">
      <w:bodyDiv w:val="1"/>
      <w:marLeft w:val="0"/>
      <w:marRight w:val="0"/>
      <w:marTop w:val="0"/>
      <w:marBottom w:val="0"/>
      <w:divBdr>
        <w:top w:val="none" w:sz="0" w:space="0" w:color="auto"/>
        <w:left w:val="none" w:sz="0" w:space="0" w:color="auto"/>
        <w:bottom w:val="none" w:sz="0" w:space="0" w:color="auto"/>
        <w:right w:val="none" w:sz="0" w:space="0" w:color="auto"/>
      </w:divBdr>
    </w:div>
    <w:div w:id="1835215747">
      <w:bodyDiv w:val="1"/>
      <w:marLeft w:val="0"/>
      <w:marRight w:val="0"/>
      <w:marTop w:val="0"/>
      <w:marBottom w:val="0"/>
      <w:divBdr>
        <w:top w:val="none" w:sz="0" w:space="0" w:color="auto"/>
        <w:left w:val="none" w:sz="0" w:space="0" w:color="auto"/>
        <w:bottom w:val="none" w:sz="0" w:space="0" w:color="auto"/>
        <w:right w:val="none" w:sz="0" w:space="0" w:color="auto"/>
      </w:divBdr>
    </w:div>
    <w:div w:id="1858496093">
      <w:bodyDiv w:val="1"/>
      <w:marLeft w:val="0"/>
      <w:marRight w:val="0"/>
      <w:marTop w:val="0"/>
      <w:marBottom w:val="0"/>
      <w:divBdr>
        <w:top w:val="none" w:sz="0" w:space="0" w:color="auto"/>
        <w:left w:val="none" w:sz="0" w:space="0" w:color="auto"/>
        <w:bottom w:val="none" w:sz="0" w:space="0" w:color="auto"/>
        <w:right w:val="none" w:sz="0" w:space="0" w:color="auto"/>
      </w:divBdr>
    </w:div>
    <w:div w:id="1932228857">
      <w:bodyDiv w:val="1"/>
      <w:marLeft w:val="0"/>
      <w:marRight w:val="0"/>
      <w:marTop w:val="0"/>
      <w:marBottom w:val="0"/>
      <w:divBdr>
        <w:top w:val="none" w:sz="0" w:space="0" w:color="auto"/>
        <w:left w:val="none" w:sz="0" w:space="0" w:color="auto"/>
        <w:bottom w:val="none" w:sz="0" w:space="0" w:color="auto"/>
        <w:right w:val="none" w:sz="0" w:space="0" w:color="auto"/>
      </w:divBdr>
    </w:div>
    <w:div w:id="1977954056">
      <w:bodyDiv w:val="1"/>
      <w:marLeft w:val="0"/>
      <w:marRight w:val="0"/>
      <w:marTop w:val="0"/>
      <w:marBottom w:val="0"/>
      <w:divBdr>
        <w:top w:val="none" w:sz="0" w:space="0" w:color="auto"/>
        <w:left w:val="none" w:sz="0" w:space="0" w:color="auto"/>
        <w:bottom w:val="none" w:sz="0" w:space="0" w:color="auto"/>
        <w:right w:val="none" w:sz="0" w:space="0" w:color="auto"/>
      </w:divBdr>
    </w:div>
    <w:div w:id="1983651444">
      <w:bodyDiv w:val="1"/>
      <w:marLeft w:val="0"/>
      <w:marRight w:val="0"/>
      <w:marTop w:val="0"/>
      <w:marBottom w:val="0"/>
      <w:divBdr>
        <w:top w:val="none" w:sz="0" w:space="0" w:color="auto"/>
        <w:left w:val="none" w:sz="0" w:space="0" w:color="auto"/>
        <w:bottom w:val="none" w:sz="0" w:space="0" w:color="auto"/>
        <w:right w:val="none" w:sz="0" w:space="0" w:color="auto"/>
      </w:divBdr>
    </w:div>
    <w:div w:id="1991668522">
      <w:bodyDiv w:val="1"/>
      <w:marLeft w:val="0"/>
      <w:marRight w:val="0"/>
      <w:marTop w:val="0"/>
      <w:marBottom w:val="0"/>
      <w:divBdr>
        <w:top w:val="none" w:sz="0" w:space="0" w:color="auto"/>
        <w:left w:val="none" w:sz="0" w:space="0" w:color="auto"/>
        <w:bottom w:val="none" w:sz="0" w:space="0" w:color="auto"/>
        <w:right w:val="none" w:sz="0" w:space="0" w:color="auto"/>
      </w:divBdr>
    </w:div>
    <w:div w:id="2036274592">
      <w:bodyDiv w:val="1"/>
      <w:marLeft w:val="0"/>
      <w:marRight w:val="0"/>
      <w:marTop w:val="0"/>
      <w:marBottom w:val="0"/>
      <w:divBdr>
        <w:top w:val="none" w:sz="0" w:space="0" w:color="auto"/>
        <w:left w:val="none" w:sz="0" w:space="0" w:color="auto"/>
        <w:bottom w:val="none" w:sz="0" w:space="0" w:color="auto"/>
        <w:right w:val="none" w:sz="0" w:space="0" w:color="auto"/>
      </w:divBdr>
    </w:div>
    <w:div w:id="2057927350">
      <w:bodyDiv w:val="1"/>
      <w:marLeft w:val="0"/>
      <w:marRight w:val="0"/>
      <w:marTop w:val="0"/>
      <w:marBottom w:val="0"/>
      <w:divBdr>
        <w:top w:val="none" w:sz="0" w:space="0" w:color="auto"/>
        <w:left w:val="none" w:sz="0" w:space="0" w:color="auto"/>
        <w:bottom w:val="none" w:sz="0" w:space="0" w:color="auto"/>
        <w:right w:val="none" w:sz="0" w:space="0" w:color="auto"/>
      </w:divBdr>
    </w:div>
    <w:div w:id="2090154599">
      <w:bodyDiv w:val="1"/>
      <w:marLeft w:val="0"/>
      <w:marRight w:val="0"/>
      <w:marTop w:val="0"/>
      <w:marBottom w:val="0"/>
      <w:divBdr>
        <w:top w:val="none" w:sz="0" w:space="0" w:color="auto"/>
        <w:left w:val="none" w:sz="0" w:space="0" w:color="auto"/>
        <w:bottom w:val="none" w:sz="0" w:space="0" w:color="auto"/>
        <w:right w:val="none" w:sz="0" w:space="0" w:color="auto"/>
      </w:divBdr>
    </w:div>
    <w:div w:id="2091190076">
      <w:bodyDiv w:val="1"/>
      <w:marLeft w:val="0"/>
      <w:marRight w:val="0"/>
      <w:marTop w:val="0"/>
      <w:marBottom w:val="0"/>
      <w:divBdr>
        <w:top w:val="none" w:sz="0" w:space="0" w:color="auto"/>
        <w:left w:val="none" w:sz="0" w:space="0" w:color="auto"/>
        <w:bottom w:val="none" w:sz="0" w:space="0" w:color="auto"/>
        <w:right w:val="none" w:sz="0" w:space="0" w:color="auto"/>
      </w:divBdr>
    </w:div>
    <w:div w:id="2103182901">
      <w:bodyDiv w:val="1"/>
      <w:marLeft w:val="0"/>
      <w:marRight w:val="0"/>
      <w:marTop w:val="0"/>
      <w:marBottom w:val="0"/>
      <w:divBdr>
        <w:top w:val="none" w:sz="0" w:space="0" w:color="auto"/>
        <w:left w:val="none" w:sz="0" w:space="0" w:color="auto"/>
        <w:bottom w:val="none" w:sz="0" w:space="0" w:color="auto"/>
        <w:right w:val="none" w:sz="0" w:space="0" w:color="auto"/>
      </w:divBdr>
    </w:div>
    <w:div w:id="2108189129">
      <w:bodyDiv w:val="1"/>
      <w:marLeft w:val="0"/>
      <w:marRight w:val="0"/>
      <w:marTop w:val="0"/>
      <w:marBottom w:val="0"/>
      <w:divBdr>
        <w:top w:val="none" w:sz="0" w:space="0" w:color="auto"/>
        <w:left w:val="none" w:sz="0" w:space="0" w:color="auto"/>
        <w:bottom w:val="none" w:sz="0" w:space="0" w:color="auto"/>
        <w:right w:val="none" w:sz="0" w:space="0" w:color="auto"/>
      </w:divBdr>
    </w:div>
    <w:div w:id="2124762922">
      <w:bodyDiv w:val="1"/>
      <w:marLeft w:val="0"/>
      <w:marRight w:val="0"/>
      <w:marTop w:val="0"/>
      <w:marBottom w:val="0"/>
      <w:divBdr>
        <w:top w:val="none" w:sz="0" w:space="0" w:color="auto"/>
        <w:left w:val="none" w:sz="0" w:space="0" w:color="auto"/>
        <w:bottom w:val="none" w:sz="0" w:space="0" w:color="auto"/>
        <w:right w:val="none" w:sz="0" w:space="0" w:color="auto"/>
      </w:divBdr>
    </w:div>
    <w:div w:id="2126150607">
      <w:bodyDiv w:val="1"/>
      <w:marLeft w:val="0"/>
      <w:marRight w:val="0"/>
      <w:marTop w:val="0"/>
      <w:marBottom w:val="0"/>
      <w:divBdr>
        <w:top w:val="none" w:sz="0" w:space="0" w:color="auto"/>
        <w:left w:val="none" w:sz="0" w:space="0" w:color="auto"/>
        <w:bottom w:val="none" w:sz="0" w:space="0" w:color="auto"/>
        <w:right w:val="none" w:sz="0" w:space="0" w:color="auto"/>
      </w:divBdr>
    </w:div>
    <w:div w:id="212823137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chart" Target="charts/chart1.xml"/><Relationship Id="rId26" Type="http://schemas.openxmlformats.org/officeDocument/2006/relationships/hyperlink" Target="http://www.moorfields.nhs.uk/membership" TargetMode="External"/><Relationship Id="rId3" Type="http://schemas.openxmlformats.org/officeDocument/2006/relationships/styles" Target="styles.xml"/><Relationship Id="rId21" Type="http://schemas.openxmlformats.org/officeDocument/2006/relationships/hyperlink" Target="https://www.moorfields.nhs.uk/content/trust-board" TargetMode="External"/><Relationship Id="rId7" Type="http://schemas.openxmlformats.org/officeDocument/2006/relationships/endnotes" Target="endnotes.xml"/><Relationship Id="rId12" Type="http://schemas.openxmlformats.org/officeDocument/2006/relationships/hyperlink" Target="https://www.moorfields.nhs.uk/listing/services" TargetMode="External"/><Relationship Id="rId17" Type="http://schemas.openxmlformats.org/officeDocument/2006/relationships/hyperlink" Target="https://www.moorfields.nhs.uk/content/modern-slavery-and-human-trafficking-statement" TargetMode="External"/><Relationship Id="rId25" Type="http://schemas.openxmlformats.org/officeDocument/2006/relationships/hyperlink" Target="http://www.moorfields.nhs.uk/membership"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ww.moorfields.nhs.uk/content/trust-boar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mailto:foundation.moorfields@nhs.uk" TargetMode="External"/><Relationship Id="rId27"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gnyteDrive\greenkassab\Shared\PROJECTS\2494%20-%20Moorfields%20Eye%20Hospital%20NHS%20FT%20-%20REMS\2494.01%20-%20Working%20Docs\Annual%20Report\Emissions%20table.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36901043122705"/>
          <c:y val="0.12425460636515913"/>
          <c:w val="0.86318829446641754"/>
          <c:h val="0.6254131550139147"/>
        </c:manualLayout>
      </c:layout>
      <c:barChart>
        <c:barDir val="col"/>
        <c:grouping val="clustered"/>
        <c:varyColors val="0"/>
        <c:ser>
          <c:idx val="0"/>
          <c:order val="0"/>
          <c:tx>
            <c:v>Annual tonnes of CO2e emissions</c:v>
          </c:tx>
          <c:spPr>
            <a:solidFill>
              <a:schemeClr val="accent2"/>
            </a:solidFill>
            <a:ln>
              <a:noFill/>
            </a:ln>
            <a:effectLst/>
          </c:spPr>
          <c:invertIfNegative val="0"/>
          <c:dLbls>
            <c:dLbl>
              <c:idx val="2"/>
              <c:layout>
                <c:manualLayout>
                  <c:x val="3.5375048262637566E-17"/>
                  <c:y val="1.3400335008375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2C9-4A75-958E-0E21EB45421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Sheet1!$E$3:$M$3</c:f>
              <c:strCache>
                <c:ptCount val="9"/>
                <c:pt idx="0">
                  <c:v>2013-2014</c:v>
                </c:pt>
                <c:pt idx="1">
                  <c:v>2014/15</c:v>
                </c:pt>
                <c:pt idx="2">
                  <c:v>2015/16</c:v>
                </c:pt>
                <c:pt idx="3">
                  <c:v>2016/17</c:v>
                </c:pt>
                <c:pt idx="4">
                  <c:v>2017/18</c:v>
                </c:pt>
                <c:pt idx="5">
                  <c:v>2018/19</c:v>
                </c:pt>
                <c:pt idx="6">
                  <c:v>2019/20</c:v>
                </c:pt>
                <c:pt idx="7">
                  <c:v>2020/21</c:v>
                </c:pt>
                <c:pt idx="8">
                  <c:v>2021/22</c:v>
                </c:pt>
              </c:strCache>
            </c:strRef>
          </c:cat>
          <c:val>
            <c:numRef>
              <c:f>Sheet1!$E$12:$M$12</c:f>
              <c:numCache>
                <c:formatCode>#,##0</c:formatCode>
                <c:ptCount val="9"/>
                <c:pt idx="0" formatCode="General">
                  <c:v>5391</c:v>
                </c:pt>
                <c:pt idx="1">
                  <c:v>5896</c:v>
                </c:pt>
                <c:pt idx="2">
                  <c:v>4718</c:v>
                </c:pt>
                <c:pt idx="3">
                  <c:v>4255</c:v>
                </c:pt>
                <c:pt idx="4">
                  <c:v>3919</c:v>
                </c:pt>
                <c:pt idx="5">
                  <c:v>3511</c:v>
                </c:pt>
                <c:pt idx="6">
                  <c:v>3657</c:v>
                </c:pt>
                <c:pt idx="7">
                  <c:v>3296</c:v>
                </c:pt>
                <c:pt idx="8">
                  <c:v>3471.0754729064483</c:v>
                </c:pt>
              </c:numCache>
            </c:numRef>
          </c:val>
          <c:extLst>
            <c:ext xmlns:c16="http://schemas.microsoft.com/office/drawing/2014/chart" uri="{C3380CC4-5D6E-409C-BE32-E72D297353CC}">
              <c16:uniqueId val="{00000001-A2C9-4A75-958E-0E21EB454215}"/>
            </c:ext>
          </c:extLst>
        </c:ser>
        <c:dLbls>
          <c:showLegendKey val="0"/>
          <c:showVal val="1"/>
          <c:showCatName val="0"/>
          <c:showSerName val="0"/>
          <c:showPercent val="0"/>
          <c:showBubbleSize val="0"/>
        </c:dLbls>
        <c:gapWidth val="219"/>
        <c:axId val="1505503760"/>
        <c:axId val="1505501680"/>
      </c:barChart>
      <c:lineChart>
        <c:grouping val="standard"/>
        <c:varyColors val="0"/>
        <c:ser>
          <c:idx val="1"/>
          <c:order val="1"/>
          <c:tx>
            <c:v>2020 target</c:v>
          </c:tx>
          <c:spPr>
            <a:ln w="28575" cap="rnd">
              <a:solidFill>
                <a:schemeClr val="accent6"/>
              </a:solidFill>
              <a:round/>
            </a:ln>
            <a:effectLst/>
          </c:spPr>
          <c:marker>
            <c:symbol val="none"/>
          </c:marker>
          <c:dLbls>
            <c:delete val="1"/>
          </c:dLbls>
          <c:val>
            <c:numRef>
              <c:f>Sheet1!$E$13:$K$13</c:f>
              <c:numCache>
                <c:formatCode>0</c:formatCode>
                <c:ptCount val="7"/>
                <c:pt idx="0" formatCode="General">
                  <c:v>5391</c:v>
                </c:pt>
                <c:pt idx="1">
                  <c:v>5301.3872970157499</c:v>
                </c:pt>
                <c:pt idx="2">
                  <c:v>5211.5332750324324</c:v>
                </c:pt>
                <c:pt idx="3">
                  <c:v>5121.6792530491148</c:v>
                </c:pt>
                <c:pt idx="4">
                  <c:v>5031.8252310657972</c:v>
                </c:pt>
                <c:pt idx="5">
                  <c:v>4941.9712090824796</c:v>
                </c:pt>
                <c:pt idx="6">
                  <c:v>4852.1171870991611</c:v>
                </c:pt>
              </c:numCache>
            </c:numRef>
          </c:val>
          <c:smooth val="0"/>
          <c:extLst>
            <c:ext xmlns:c16="http://schemas.microsoft.com/office/drawing/2014/chart" uri="{C3380CC4-5D6E-409C-BE32-E72D297353CC}">
              <c16:uniqueId val="{00000002-A2C9-4A75-958E-0E21EB454215}"/>
            </c:ext>
          </c:extLst>
        </c:ser>
        <c:ser>
          <c:idx val="2"/>
          <c:order val="2"/>
          <c:tx>
            <c:v>2025 target</c:v>
          </c:tx>
          <c:spPr>
            <a:ln w="28575" cap="rnd">
              <a:solidFill>
                <a:schemeClr val="accent4">
                  <a:lumMod val="60000"/>
                  <a:lumOff val="40000"/>
                </a:schemeClr>
              </a:solidFill>
              <a:round/>
            </a:ln>
            <a:effectLst/>
          </c:spPr>
          <c:marker>
            <c:symbol val="none"/>
          </c:marker>
          <c:dLbls>
            <c:delete val="1"/>
          </c:dLbls>
          <c:val>
            <c:numRef>
              <c:f>Sheet1!$E$14:$M$14</c:f>
              <c:numCache>
                <c:formatCode>General</c:formatCode>
                <c:ptCount val="9"/>
                <c:pt idx="6" formatCode="#,##0">
                  <c:v>4852.1171870991611</c:v>
                </c:pt>
                <c:pt idx="7" formatCode="#,##0">
                  <c:v>4755.074843357178</c:v>
                </c:pt>
                <c:pt idx="8" formatCode="#,##0">
                  <c:v>4658.0324996151949</c:v>
                </c:pt>
              </c:numCache>
            </c:numRef>
          </c:val>
          <c:smooth val="0"/>
          <c:extLst>
            <c:ext xmlns:c16="http://schemas.microsoft.com/office/drawing/2014/chart" uri="{C3380CC4-5D6E-409C-BE32-E72D297353CC}">
              <c16:uniqueId val="{00000003-A2C9-4A75-958E-0E21EB454215}"/>
            </c:ext>
          </c:extLst>
        </c:ser>
        <c:dLbls>
          <c:showLegendKey val="0"/>
          <c:showVal val="1"/>
          <c:showCatName val="0"/>
          <c:showSerName val="0"/>
          <c:showPercent val="0"/>
          <c:showBubbleSize val="0"/>
        </c:dLbls>
        <c:marker val="1"/>
        <c:smooth val="0"/>
        <c:axId val="1505503760"/>
        <c:axId val="1505501680"/>
      </c:lineChart>
      <c:catAx>
        <c:axId val="150550376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5501680"/>
        <c:crosses val="autoZero"/>
        <c:auto val="1"/>
        <c:lblAlgn val="ctr"/>
        <c:lblOffset val="100"/>
        <c:noMultiLvlLbl val="0"/>
      </c:catAx>
      <c:valAx>
        <c:axId val="15055016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Tonnes of CO2</a:t>
                </a:r>
                <a:r>
                  <a:rPr lang="en-GB" baseline="0"/>
                  <a:t>e emissions</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5503760"/>
        <c:crosses val="autoZero"/>
        <c:crossBetween val="between"/>
      </c:valAx>
      <c:spPr>
        <a:noFill/>
        <a:ln>
          <a:noFill/>
        </a:ln>
        <a:effectLst/>
      </c:spPr>
    </c:plotArea>
    <c:legend>
      <c:legendPos val="r"/>
      <c:layout>
        <c:manualLayout>
          <c:xMode val="edge"/>
          <c:yMode val="edge"/>
          <c:x val="8.0238373350901032E-2"/>
          <c:y val="0.83272530632163444"/>
          <c:w val="0.72535543597958974"/>
          <c:h val="0.1438241074137089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038551795251167"/>
          <c:y val="0.10548388771249013"/>
          <c:w val="0.8246273049734596"/>
          <c:h val="0.70092920676582093"/>
        </c:manualLayout>
      </c:layout>
      <c:barChart>
        <c:barDir val="col"/>
        <c:grouping val="clustered"/>
        <c:varyColors val="0"/>
        <c:ser>
          <c:idx val="0"/>
          <c:order val="0"/>
          <c:tx>
            <c:v>Gas</c:v>
          </c:tx>
          <c:spPr>
            <a:solidFill>
              <a:schemeClr val="accent1"/>
            </a:solidFill>
            <a:ln>
              <a:noFill/>
            </a:ln>
            <a:effectLst/>
          </c:spPr>
          <c:invertIfNegative val="0"/>
          <c:cat>
            <c:strRef>
              <c:f>Sheet1!$E$3:$M$3</c:f>
              <c:strCache>
                <c:ptCount val="9"/>
                <c:pt idx="0">
                  <c:v>2013-2014</c:v>
                </c:pt>
                <c:pt idx="1">
                  <c:v>2014/15</c:v>
                </c:pt>
                <c:pt idx="2">
                  <c:v>2015/16</c:v>
                </c:pt>
                <c:pt idx="3">
                  <c:v>2016/17</c:v>
                </c:pt>
                <c:pt idx="4">
                  <c:v>2017/18</c:v>
                </c:pt>
                <c:pt idx="5">
                  <c:v>2018/19</c:v>
                </c:pt>
                <c:pt idx="6">
                  <c:v>2019/20</c:v>
                </c:pt>
                <c:pt idx="7">
                  <c:v>2020/21</c:v>
                </c:pt>
                <c:pt idx="8">
                  <c:v>2021/22</c:v>
                </c:pt>
              </c:strCache>
            </c:strRef>
          </c:cat>
          <c:val>
            <c:numRef>
              <c:f>Sheet1!$E$4:$M$4</c:f>
              <c:numCache>
                <c:formatCode>_-* #,##0_-;\-* #,##0_-;_-* "-"??_-;_-@_-</c:formatCode>
                <c:ptCount val="9"/>
                <c:pt idx="0">
                  <c:v>11301.890893284068</c:v>
                </c:pt>
                <c:pt idx="1">
                  <c:v>11017.824222994708</c:v>
                </c:pt>
                <c:pt idx="2">
                  <c:v>9476.8229872594202</c:v>
                </c:pt>
                <c:pt idx="3">
                  <c:v>12576.08695652174</c:v>
                </c:pt>
                <c:pt idx="4">
                  <c:v>12521.449017001685</c:v>
                </c:pt>
                <c:pt idx="5">
                  <c:v>11643.835616438355</c:v>
                </c:pt>
                <c:pt idx="6">
                  <c:v>13429.426162632581</c:v>
                </c:pt>
                <c:pt idx="7">
                  <c:v>11792.221920043512</c:v>
                </c:pt>
                <c:pt idx="8">
                  <c:v>12995.385972770562</c:v>
                </c:pt>
              </c:numCache>
            </c:numRef>
          </c:val>
          <c:extLst>
            <c:ext xmlns:c16="http://schemas.microsoft.com/office/drawing/2014/chart" uri="{C3380CC4-5D6E-409C-BE32-E72D297353CC}">
              <c16:uniqueId val="{00000000-4B59-42C2-8DA7-F8AA445FE9B8}"/>
            </c:ext>
          </c:extLst>
        </c:ser>
        <c:ser>
          <c:idx val="1"/>
          <c:order val="1"/>
          <c:tx>
            <c:v>Electricity</c:v>
          </c:tx>
          <c:spPr>
            <a:solidFill>
              <a:schemeClr val="accent2"/>
            </a:solidFill>
            <a:ln>
              <a:noFill/>
            </a:ln>
            <a:effectLst/>
          </c:spPr>
          <c:invertIfNegative val="0"/>
          <c:cat>
            <c:strRef>
              <c:f>Sheet1!$E$3:$M$3</c:f>
              <c:strCache>
                <c:ptCount val="9"/>
                <c:pt idx="0">
                  <c:v>2013-2014</c:v>
                </c:pt>
                <c:pt idx="1">
                  <c:v>2014/15</c:v>
                </c:pt>
                <c:pt idx="2">
                  <c:v>2015/16</c:v>
                </c:pt>
                <c:pt idx="3">
                  <c:v>2016/17</c:v>
                </c:pt>
                <c:pt idx="4">
                  <c:v>2017/18</c:v>
                </c:pt>
                <c:pt idx="5">
                  <c:v>2018/19</c:v>
                </c:pt>
                <c:pt idx="6">
                  <c:v>2019/20</c:v>
                </c:pt>
                <c:pt idx="7">
                  <c:v>2020/21</c:v>
                </c:pt>
                <c:pt idx="8">
                  <c:v>2021/22</c:v>
                </c:pt>
              </c:strCache>
            </c:strRef>
          </c:cat>
          <c:val>
            <c:numRef>
              <c:f>Sheet1!$E$8:$M$8</c:f>
              <c:numCache>
                <c:formatCode>_-* #,##0_-;\-* #,##0_-;_-* "-"??_-;_-@_-</c:formatCode>
                <c:ptCount val="9"/>
                <c:pt idx="0">
                  <c:v>6833.0789261021819</c:v>
                </c:pt>
                <c:pt idx="1">
                  <c:v>7154.1294055760127</c:v>
                </c:pt>
                <c:pt idx="2">
                  <c:v>5926.1342737835093</c:v>
                </c:pt>
                <c:pt idx="3">
                  <c:v>4317.4372042227878</c:v>
                </c:pt>
                <c:pt idx="4">
                  <c:v>4178.518602798953</c:v>
                </c:pt>
                <c:pt idx="5">
                  <c:v>4359.3457448687604</c:v>
                </c:pt>
                <c:pt idx="6">
                  <c:v>4284.0375586854461</c:v>
                </c:pt>
                <c:pt idx="7">
                  <c:v>4068.8575899843509</c:v>
                </c:pt>
                <c:pt idx="8">
                  <c:v>4719.8017399350647</c:v>
                </c:pt>
              </c:numCache>
            </c:numRef>
          </c:val>
          <c:extLst>
            <c:ext xmlns:c16="http://schemas.microsoft.com/office/drawing/2014/chart" uri="{C3380CC4-5D6E-409C-BE32-E72D297353CC}">
              <c16:uniqueId val="{00000001-4B59-42C2-8DA7-F8AA445FE9B8}"/>
            </c:ext>
          </c:extLst>
        </c:ser>
        <c:dLbls>
          <c:showLegendKey val="0"/>
          <c:showVal val="0"/>
          <c:showCatName val="0"/>
          <c:showSerName val="0"/>
          <c:showPercent val="0"/>
          <c:showBubbleSize val="0"/>
        </c:dLbls>
        <c:gapWidth val="219"/>
        <c:overlap val="-27"/>
        <c:axId val="596730863"/>
        <c:axId val="596729199"/>
      </c:barChart>
      <c:catAx>
        <c:axId val="5967308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6729199"/>
        <c:crosses val="autoZero"/>
        <c:auto val="1"/>
        <c:lblAlgn val="ctr"/>
        <c:lblOffset val="100"/>
        <c:noMultiLvlLbl val="0"/>
      </c:catAx>
      <c:valAx>
        <c:axId val="59672919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Energy consumption MWh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67308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withinLinearReversed" id="26">
  <a:schemeClr val="accent6"/>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B11E6-881F-4484-BDF2-BBDE19EC1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54</Pages>
  <Words>18776</Words>
  <Characters>102291</Characters>
  <Application>Microsoft Office Word</Application>
  <DocSecurity>0</DocSecurity>
  <Lines>852</Lines>
  <Paragraphs>241</Paragraphs>
  <ScaleCrop>false</ScaleCrop>
  <HeadingPairs>
    <vt:vector size="2" baseType="variant">
      <vt:variant>
        <vt:lpstr>Title</vt:lpstr>
      </vt:variant>
      <vt:variant>
        <vt:i4>1</vt:i4>
      </vt:variant>
    </vt:vector>
  </HeadingPairs>
  <TitlesOfParts>
    <vt:vector size="1" baseType="lpstr">
      <vt:lpstr/>
    </vt:vector>
  </TitlesOfParts>
  <Company>Genium Design</Company>
  <LinksUpToDate>false</LinksUpToDate>
  <CharactersWithSpaces>120826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Shimon Speigel</dc:creator>
  <cp:lastModifiedBy>O'CALLAGHAN, Jamie (MOORFIELDS EYE HOSPITAL NHS FOUNDATION TRUST)</cp:lastModifiedBy>
  <cp:revision>4</cp:revision>
  <cp:lastPrinted>2019-06-12T15:54:00Z</cp:lastPrinted>
  <dcterms:created xsi:type="dcterms:W3CDTF">2022-06-21T10:18:00Z</dcterms:created>
  <dcterms:modified xsi:type="dcterms:W3CDTF">2022-06-21T13:38:00Z</dcterms:modified>
</cp:coreProperties>
</file>