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5015" w14:textId="77777777" w:rsidR="007C628B" w:rsidRPr="00F46EE1" w:rsidRDefault="00E37EE4" w:rsidP="007C628B">
      <w:pPr>
        <w:rPr>
          <w:rFonts w:asciiTheme="minorHAnsi" w:hAnsiTheme="minorHAnsi"/>
        </w:rPr>
      </w:pPr>
      <w:r>
        <w:rPr>
          <w:noProof/>
          <w:lang w:eastAsia="en-GB"/>
        </w:rPr>
        <w:drawing>
          <wp:anchor distT="0" distB="0" distL="114300" distR="114300" simplePos="0" relativeHeight="251661312" behindDoc="0" locked="0" layoutInCell="1" allowOverlap="1" wp14:anchorId="32281CF9" wp14:editId="47EC381A">
            <wp:simplePos x="0" y="0"/>
            <wp:positionH relativeFrom="margin">
              <wp:posOffset>5759450</wp:posOffset>
            </wp:positionH>
            <wp:positionV relativeFrom="paragraph">
              <wp:posOffset>39370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4C310766" wp14:editId="0FF5B89D">
            <wp:simplePos x="0" y="0"/>
            <wp:positionH relativeFrom="margin">
              <wp:posOffset>152400</wp:posOffset>
            </wp:positionH>
            <wp:positionV relativeFrom="page">
              <wp:posOffset>764540</wp:posOffset>
            </wp:positionV>
            <wp:extent cx="2559600" cy="684000"/>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70DA086C" w14:textId="57ECE677" w:rsidR="007C628B" w:rsidRPr="00F46EE1" w:rsidRDefault="0063008F" w:rsidP="007C628B">
      <w:pPr>
        <w:rPr>
          <w:rFonts w:asciiTheme="minorHAnsi" w:hAnsiTheme="minorHAnsi"/>
        </w:rPr>
      </w:pPr>
      <w:r>
        <w:rPr>
          <w:noProof/>
          <w:lang w:eastAsia="en-GB"/>
        </w:rPr>
        <w:drawing>
          <wp:anchor distT="0" distB="0" distL="114300" distR="114300" simplePos="0" relativeHeight="251665408" behindDoc="0" locked="0" layoutInCell="1" allowOverlap="1" wp14:anchorId="60B8095E" wp14:editId="31FD2E83">
            <wp:simplePos x="0" y="0"/>
            <wp:positionH relativeFrom="margin">
              <wp:posOffset>4895850</wp:posOffset>
            </wp:positionH>
            <wp:positionV relativeFrom="page">
              <wp:posOffset>1241425</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820C6B" w14:textId="77777777" w:rsidR="007C628B" w:rsidRDefault="007C628B" w:rsidP="007C628B">
      <w:pPr>
        <w:rPr>
          <w:rFonts w:asciiTheme="minorHAnsi" w:hAnsiTheme="minorHAnsi"/>
        </w:rPr>
      </w:pPr>
    </w:p>
    <w:p w14:paraId="5323685F" w14:textId="77777777" w:rsidR="00E37EE4" w:rsidRDefault="00E37EE4" w:rsidP="007C628B">
      <w:pPr>
        <w:rPr>
          <w:rFonts w:asciiTheme="minorHAnsi" w:hAnsiTheme="minorHAnsi"/>
        </w:rPr>
      </w:pPr>
    </w:p>
    <w:p w14:paraId="1067D5F6" w14:textId="2B2F7D76" w:rsidR="00F46EE1" w:rsidRDefault="00E37EE4" w:rsidP="00E37EE4">
      <w:pPr>
        <w:rPr>
          <w:rFonts w:asciiTheme="minorHAnsi" w:hAnsiTheme="minorHAnsi"/>
          <w:b/>
        </w:rPr>
      </w:pPr>
      <w:r w:rsidRPr="00FE01D3">
        <w:rPr>
          <w:noProof/>
          <w:lang w:eastAsia="en-GB"/>
        </w:rPr>
        <mc:AlternateContent>
          <mc:Choice Requires="wps">
            <w:drawing>
              <wp:anchor distT="0" distB="0" distL="114300" distR="114300" simplePos="0" relativeHeight="251663360" behindDoc="0" locked="1" layoutInCell="1" allowOverlap="1" wp14:anchorId="7D345611" wp14:editId="5BD6B76B">
                <wp:simplePos x="0" y="0"/>
                <wp:positionH relativeFrom="margin">
                  <wp:posOffset>158750</wp:posOffset>
                </wp:positionH>
                <wp:positionV relativeFrom="margin">
                  <wp:posOffset>1251585</wp:posOffset>
                </wp:positionV>
                <wp:extent cx="6645275" cy="2483485"/>
                <wp:effectExtent l="0" t="0" r="3175" b="0"/>
                <wp:wrapSquare wrapText="bothSides"/>
                <wp:docPr id="2" name="Rectangle 2"/>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485D8" w14:textId="7D801636" w:rsidR="00E37EE4" w:rsidRPr="00DD5F75" w:rsidRDefault="00E37EE4" w:rsidP="00E37EE4">
                            <w:pPr>
                              <w:pStyle w:val="ReportTitle"/>
                              <w:rPr>
                                <w:sz w:val="44"/>
                                <w:szCs w:val="44"/>
                              </w:rPr>
                            </w:pPr>
                            <w:r w:rsidRPr="00DD5F75">
                              <w:rPr>
                                <w:sz w:val="44"/>
                                <w:szCs w:val="44"/>
                              </w:rPr>
                              <w:t xml:space="preserve">Agenda item </w:t>
                            </w:r>
                            <w:r w:rsidR="00193ACA">
                              <w:rPr>
                                <w:sz w:val="44"/>
                                <w:szCs w:val="44"/>
                              </w:rPr>
                              <w:t>1</w:t>
                            </w:r>
                            <w:r w:rsidR="00EF32DD">
                              <w:rPr>
                                <w:sz w:val="44"/>
                                <w:szCs w:val="44"/>
                              </w:rPr>
                              <w:t>3</w:t>
                            </w:r>
                            <w:r w:rsidR="00193ACA">
                              <w:rPr>
                                <w:sz w:val="44"/>
                                <w:szCs w:val="44"/>
                              </w:rPr>
                              <w:t>a</w:t>
                            </w:r>
                          </w:p>
                          <w:p w14:paraId="711F7201" w14:textId="2514E634" w:rsidR="00E37EE4" w:rsidRPr="00DD5F75" w:rsidRDefault="00CC43D1" w:rsidP="00E37EE4">
                            <w:pPr>
                              <w:pStyle w:val="ReportTitle"/>
                              <w:rPr>
                                <w:sz w:val="44"/>
                                <w:szCs w:val="44"/>
                              </w:rPr>
                            </w:pPr>
                            <w:r>
                              <w:rPr>
                                <w:sz w:val="44"/>
                                <w:szCs w:val="44"/>
                              </w:rPr>
                              <w:t xml:space="preserve">Audit </w:t>
                            </w:r>
                            <w:r w:rsidR="00264815">
                              <w:rPr>
                                <w:sz w:val="44"/>
                                <w:szCs w:val="44"/>
                              </w:rPr>
                              <w:t xml:space="preserve">&amp; </w:t>
                            </w:r>
                            <w:r w:rsidR="00193ACA">
                              <w:rPr>
                                <w:sz w:val="44"/>
                                <w:szCs w:val="44"/>
                              </w:rPr>
                              <w:t>R</w:t>
                            </w:r>
                            <w:r>
                              <w:rPr>
                                <w:sz w:val="44"/>
                                <w:szCs w:val="44"/>
                              </w:rPr>
                              <w:t>isk</w:t>
                            </w:r>
                            <w:r w:rsidR="00264815">
                              <w:rPr>
                                <w:sz w:val="44"/>
                                <w:szCs w:val="44"/>
                              </w:rPr>
                              <w:t xml:space="preserve"> </w:t>
                            </w:r>
                            <w:r w:rsidR="00193ACA">
                              <w:rPr>
                                <w:sz w:val="44"/>
                                <w:szCs w:val="44"/>
                              </w:rPr>
                              <w:t>C</w:t>
                            </w:r>
                            <w:r w:rsidR="00264815">
                              <w:rPr>
                                <w:sz w:val="44"/>
                                <w:szCs w:val="44"/>
                              </w:rPr>
                              <w:t xml:space="preserve">ommittee </w:t>
                            </w:r>
                            <w:r w:rsidR="00193ACA">
                              <w:rPr>
                                <w:sz w:val="44"/>
                                <w:szCs w:val="44"/>
                              </w:rPr>
                              <w:t>R</w:t>
                            </w:r>
                            <w:r w:rsidR="007170D0">
                              <w:rPr>
                                <w:sz w:val="44"/>
                                <w:szCs w:val="44"/>
                              </w:rPr>
                              <w:t>eport</w:t>
                            </w:r>
                          </w:p>
                          <w:p w14:paraId="755D0AFA" w14:textId="7C292565" w:rsidR="00E37EE4" w:rsidRPr="00DD5F75" w:rsidRDefault="00E37EE4" w:rsidP="009A2CD2">
                            <w:pPr>
                              <w:pStyle w:val="ReportTitle"/>
                              <w:ind w:right="1813"/>
                              <w:rPr>
                                <w:sz w:val="44"/>
                                <w:szCs w:val="44"/>
                              </w:rPr>
                            </w:pPr>
                            <w:r w:rsidRPr="00DD5F75">
                              <w:rPr>
                                <w:sz w:val="44"/>
                                <w:szCs w:val="44"/>
                              </w:rPr>
                              <w:t xml:space="preserve">Board of directors </w:t>
                            </w:r>
                            <w:r w:rsidR="00567C43">
                              <w:rPr>
                                <w:sz w:val="44"/>
                                <w:szCs w:val="44"/>
                              </w:rPr>
                              <w:t>2</w:t>
                            </w:r>
                            <w:r w:rsidR="00F960C2">
                              <w:rPr>
                                <w:sz w:val="44"/>
                                <w:szCs w:val="44"/>
                              </w:rPr>
                              <w:t>5 May</w:t>
                            </w:r>
                            <w:r w:rsidR="007170D0">
                              <w:rPr>
                                <w:sz w:val="44"/>
                                <w:szCs w:val="44"/>
                              </w:rPr>
                              <w:t xml:space="preserve"> 2023</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5611" id="Rectangle 2" o:spid="_x0000_s1026" style="position:absolute;left:0;text-align:left;margin-left:12.5pt;margin-top:98.55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" fillcolor="#4f81bd [3204]" stroked="f" strokeweight="2pt">
                <v:textbox inset="4mm,,3mm">
                  <w:txbxContent>
                    <w:p w14:paraId="21D485D8" w14:textId="7D801636" w:rsidR="00E37EE4" w:rsidRPr="00DD5F75" w:rsidRDefault="00E37EE4" w:rsidP="00E37EE4">
                      <w:pPr>
                        <w:pStyle w:val="ReportTitle"/>
                        <w:rPr>
                          <w:sz w:val="44"/>
                          <w:szCs w:val="44"/>
                        </w:rPr>
                      </w:pPr>
                      <w:r w:rsidRPr="00DD5F75">
                        <w:rPr>
                          <w:sz w:val="44"/>
                          <w:szCs w:val="44"/>
                        </w:rPr>
                        <w:t xml:space="preserve">Agenda item </w:t>
                      </w:r>
                      <w:r w:rsidR="00193ACA">
                        <w:rPr>
                          <w:sz w:val="44"/>
                          <w:szCs w:val="44"/>
                        </w:rPr>
                        <w:t>1</w:t>
                      </w:r>
                      <w:r w:rsidR="00EF32DD">
                        <w:rPr>
                          <w:sz w:val="44"/>
                          <w:szCs w:val="44"/>
                        </w:rPr>
                        <w:t>3</w:t>
                      </w:r>
                      <w:r w:rsidR="00193ACA">
                        <w:rPr>
                          <w:sz w:val="44"/>
                          <w:szCs w:val="44"/>
                        </w:rPr>
                        <w:t>a</w:t>
                      </w:r>
                    </w:p>
                    <w:p w14:paraId="711F7201" w14:textId="2514E634" w:rsidR="00E37EE4" w:rsidRPr="00DD5F75" w:rsidRDefault="00CC43D1" w:rsidP="00E37EE4">
                      <w:pPr>
                        <w:pStyle w:val="ReportTitle"/>
                        <w:rPr>
                          <w:sz w:val="44"/>
                          <w:szCs w:val="44"/>
                        </w:rPr>
                      </w:pPr>
                      <w:r>
                        <w:rPr>
                          <w:sz w:val="44"/>
                          <w:szCs w:val="44"/>
                        </w:rPr>
                        <w:t xml:space="preserve">Audit </w:t>
                      </w:r>
                      <w:r w:rsidR="00264815">
                        <w:rPr>
                          <w:sz w:val="44"/>
                          <w:szCs w:val="44"/>
                        </w:rPr>
                        <w:t xml:space="preserve">&amp; </w:t>
                      </w:r>
                      <w:r w:rsidR="00193ACA">
                        <w:rPr>
                          <w:sz w:val="44"/>
                          <w:szCs w:val="44"/>
                        </w:rPr>
                        <w:t>R</w:t>
                      </w:r>
                      <w:r>
                        <w:rPr>
                          <w:sz w:val="44"/>
                          <w:szCs w:val="44"/>
                        </w:rPr>
                        <w:t>isk</w:t>
                      </w:r>
                      <w:r w:rsidR="00264815">
                        <w:rPr>
                          <w:sz w:val="44"/>
                          <w:szCs w:val="44"/>
                        </w:rPr>
                        <w:t xml:space="preserve"> </w:t>
                      </w:r>
                      <w:r w:rsidR="00193ACA">
                        <w:rPr>
                          <w:sz w:val="44"/>
                          <w:szCs w:val="44"/>
                        </w:rPr>
                        <w:t>C</w:t>
                      </w:r>
                      <w:r w:rsidR="00264815">
                        <w:rPr>
                          <w:sz w:val="44"/>
                          <w:szCs w:val="44"/>
                        </w:rPr>
                        <w:t xml:space="preserve">ommittee </w:t>
                      </w:r>
                      <w:r w:rsidR="00193ACA">
                        <w:rPr>
                          <w:sz w:val="44"/>
                          <w:szCs w:val="44"/>
                        </w:rPr>
                        <w:t>R</w:t>
                      </w:r>
                      <w:r w:rsidR="007170D0">
                        <w:rPr>
                          <w:sz w:val="44"/>
                          <w:szCs w:val="44"/>
                        </w:rPr>
                        <w:t>eport</w:t>
                      </w:r>
                    </w:p>
                    <w:p w14:paraId="755D0AFA" w14:textId="7C292565" w:rsidR="00E37EE4" w:rsidRPr="00DD5F75" w:rsidRDefault="00E37EE4" w:rsidP="009A2CD2">
                      <w:pPr>
                        <w:pStyle w:val="ReportTitle"/>
                        <w:ind w:right="1813"/>
                        <w:rPr>
                          <w:sz w:val="44"/>
                          <w:szCs w:val="44"/>
                        </w:rPr>
                      </w:pPr>
                      <w:r w:rsidRPr="00DD5F75">
                        <w:rPr>
                          <w:sz w:val="44"/>
                          <w:szCs w:val="44"/>
                        </w:rPr>
                        <w:t xml:space="preserve">Board of directors </w:t>
                      </w:r>
                      <w:r w:rsidR="00567C43">
                        <w:rPr>
                          <w:sz w:val="44"/>
                          <w:szCs w:val="44"/>
                        </w:rPr>
                        <w:t>2</w:t>
                      </w:r>
                      <w:r w:rsidR="00F960C2">
                        <w:rPr>
                          <w:sz w:val="44"/>
                          <w:szCs w:val="44"/>
                        </w:rPr>
                        <w:t>5 May</w:t>
                      </w:r>
                      <w:r w:rsidR="007170D0">
                        <w:rPr>
                          <w:sz w:val="44"/>
                          <w:szCs w:val="44"/>
                        </w:rPr>
                        <w:t xml:space="preserve"> 2023</w:t>
                      </w:r>
                    </w:p>
                  </w:txbxContent>
                </v:textbox>
                <w10:wrap type="square" anchorx="margin" anchory="margin"/>
                <w10:anchorlock/>
              </v:rect>
            </w:pict>
          </mc:Fallback>
        </mc:AlternateContent>
      </w:r>
    </w:p>
    <w:p w14:paraId="7A8802D9" w14:textId="77777777" w:rsidR="00E37EE4" w:rsidRPr="00F46EE1" w:rsidRDefault="00E37EE4" w:rsidP="00E37EE4">
      <w:pPr>
        <w:rPr>
          <w:rFonts w:asciiTheme="minorHAnsi" w:hAnsiTheme="minorHAnsi"/>
          <w:b/>
        </w:rPr>
      </w:pPr>
    </w:p>
    <w:p w14:paraId="4EE23FC8" w14:textId="77777777" w:rsidR="00F46EE1" w:rsidRDefault="00F46EE1" w:rsidP="007C628B">
      <w:pPr>
        <w:rPr>
          <w:rFonts w:asciiTheme="minorHAnsi" w:hAnsiTheme="minorHAnsi"/>
        </w:rPr>
      </w:pPr>
    </w:p>
    <w:p w14:paraId="58B5CCB9" w14:textId="77777777" w:rsidR="00522C0A" w:rsidRDefault="00522C0A" w:rsidP="007C628B">
      <w:pPr>
        <w:rPr>
          <w:rFonts w:asciiTheme="minorHAnsi" w:hAnsiTheme="minorHAnsi"/>
        </w:rPr>
      </w:pPr>
    </w:p>
    <w:p w14:paraId="517BB2B8" w14:textId="77777777" w:rsidR="00522C0A" w:rsidRDefault="00522C0A" w:rsidP="007C628B">
      <w:pPr>
        <w:rPr>
          <w:rFonts w:asciiTheme="minorHAnsi" w:hAnsiTheme="minorHAnsi"/>
        </w:rPr>
      </w:pPr>
    </w:p>
    <w:p w14:paraId="11840AB3" w14:textId="77777777" w:rsidR="00522C0A" w:rsidRDefault="00522C0A" w:rsidP="007C628B">
      <w:pPr>
        <w:rPr>
          <w:rFonts w:asciiTheme="minorHAnsi" w:hAnsiTheme="minorHAnsi"/>
        </w:rPr>
      </w:pPr>
    </w:p>
    <w:p w14:paraId="119B1DF1" w14:textId="77777777" w:rsidR="00522C0A" w:rsidRDefault="00522C0A" w:rsidP="007C628B">
      <w:pPr>
        <w:rPr>
          <w:rFonts w:asciiTheme="minorHAnsi" w:hAnsiTheme="minorHAnsi"/>
        </w:rPr>
      </w:pPr>
    </w:p>
    <w:p w14:paraId="06D860C6" w14:textId="77777777" w:rsidR="00522C0A" w:rsidRDefault="00522C0A" w:rsidP="007C628B">
      <w:pPr>
        <w:rPr>
          <w:rFonts w:asciiTheme="minorHAnsi" w:hAnsiTheme="minorHAnsi"/>
        </w:rPr>
      </w:pPr>
    </w:p>
    <w:p w14:paraId="36054494" w14:textId="77777777" w:rsidR="00522C0A" w:rsidRDefault="00522C0A" w:rsidP="007C628B">
      <w:pPr>
        <w:rPr>
          <w:rFonts w:asciiTheme="minorHAnsi" w:hAnsiTheme="minorHAnsi"/>
        </w:rPr>
      </w:pPr>
    </w:p>
    <w:p w14:paraId="0324A189" w14:textId="77777777" w:rsidR="00522C0A" w:rsidRDefault="00522C0A" w:rsidP="007C628B">
      <w:pPr>
        <w:rPr>
          <w:rFonts w:asciiTheme="minorHAnsi" w:hAnsiTheme="minorHAnsi"/>
        </w:rPr>
      </w:pPr>
    </w:p>
    <w:p w14:paraId="2F55A7FD" w14:textId="77777777" w:rsidR="00522C0A" w:rsidRDefault="00522C0A" w:rsidP="007C628B">
      <w:pPr>
        <w:rPr>
          <w:rFonts w:asciiTheme="minorHAnsi" w:hAnsiTheme="minorHAnsi"/>
        </w:rPr>
      </w:pPr>
    </w:p>
    <w:p w14:paraId="041A56A1" w14:textId="77777777" w:rsidR="00522C0A" w:rsidRDefault="00522C0A" w:rsidP="007C628B">
      <w:pPr>
        <w:rPr>
          <w:rFonts w:asciiTheme="minorHAnsi" w:hAnsiTheme="minorHAnsi"/>
        </w:rPr>
      </w:pPr>
    </w:p>
    <w:p w14:paraId="017A0E12" w14:textId="77777777" w:rsidR="00522C0A" w:rsidRDefault="00522C0A" w:rsidP="007C628B">
      <w:pPr>
        <w:rPr>
          <w:rFonts w:asciiTheme="minorHAnsi" w:hAnsiTheme="minorHAnsi"/>
        </w:rPr>
      </w:pPr>
    </w:p>
    <w:p w14:paraId="427A8921" w14:textId="77777777" w:rsidR="00522C0A" w:rsidRDefault="00522C0A" w:rsidP="007C628B">
      <w:pPr>
        <w:rPr>
          <w:rFonts w:asciiTheme="minorHAnsi" w:hAnsiTheme="minorHAnsi"/>
        </w:rPr>
      </w:pPr>
    </w:p>
    <w:p w14:paraId="71EB807E" w14:textId="77777777" w:rsidR="00522C0A" w:rsidRDefault="00522C0A" w:rsidP="007C628B">
      <w:pPr>
        <w:rPr>
          <w:rFonts w:asciiTheme="minorHAnsi" w:hAnsiTheme="minorHAnsi"/>
        </w:rPr>
      </w:pPr>
    </w:p>
    <w:p w14:paraId="72AD4E57" w14:textId="77777777" w:rsidR="00522C0A" w:rsidRDefault="00522C0A" w:rsidP="007C628B">
      <w:pPr>
        <w:rPr>
          <w:rFonts w:asciiTheme="minorHAnsi" w:hAnsiTheme="minorHAnsi"/>
        </w:rPr>
      </w:pPr>
    </w:p>
    <w:p w14:paraId="7DA36772" w14:textId="77777777" w:rsidR="00522C0A" w:rsidRDefault="00522C0A" w:rsidP="007C628B">
      <w:pPr>
        <w:rPr>
          <w:rFonts w:asciiTheme="minorHAnsi" w:hAnsiTheme="minorHAnsi"/>
        </w:rPr>
      </w:pPr>
    </w:p>
    <w:p w14:paraId="00C48CC2" w14:textId="77777777" w:rsidR="00522C0A" w:rsidRDefault="00522C0A" w:rsidP="007C628B">
      <w:pPr>
        <w:rPr>
          <w:rFonts w:asciiTheme="minorHAnsi" w:hAnsiTheme="minorHAnsi"/>
        </w:rPr>
      </w:pPr>
    </w:p>
    <w:p w14:paraId="0F58AA33" w14:textId="77777777" w:rsidR="00522C0A" w:rsidRDefault="00522C0A" w:rsidP="007C628B">
      <w:pPr>
        <w:rPr>
          <w:rFonts w:asciiTheme="minorHAnsi" w:hAnsiTheme="minorHAnsi"/>
        </w:rPr>
      </w:pPr>
    </w:p>
    <w:p w14:paraId="57861116" w14:textId="77777777" w:rsidR="00522C0A" w:rsidRDefault="00522C0A" w:rsidP="007C628B">
      <w:pPr>
        <w:rPr>
          <w:rFonts w:asciiTheme="minorHAnsi" w:hAnsiTheme="minorHAnsi"/>
        </w:rPr>
      </w:pPr>
    </w:p>
    <w:p w14:paraId="4D4A64ED" w14:textId="14227D87" w:rsidR="00522C0A" w:rsidRDefault="00522C0A" w:rsidP="007C628B">
      <w:pPr>
        <w:rPr>
          <w:rFonts w:asciiTheme="minorHAnsi" w:hAnsiTheme="minorHAnsi"/>
        </w:rPr>
      </w:pPr>
    </w:p>
    <w:p w14:paraId="0A36727F" w14:textId="77777777" w:rsidR="00AC3B21" w:rsidRPr="00F46EE1" w:rsidRDefault="00AC3B21" w:rsidP="007C628B">
      <w:pPr>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E34EBF" w:rsidRPr="000210D9" w14:paraId="3E871FAD"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3A0EB7DB"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lastRenderedPageBreak/>
              <w:t xml:space="preserve">Report </w:t>
            </w:r>
            <w:r w:rsidR="007C628B" w:rsidRPr="000210D9">
              <w:rPr>
                <w:rFonts w:asciiTheme="minorHAnsi" w:hAnsiTheme="minorHAnsi"/>
                <w:b/>
                <w:sz w:val="22"/>
              </w:rPr>
              <w:t>t</w:t>
            </w:r>
            <w:r w:rsidRPr="000210D9">
              <w:rPr>
                <w:rFonts w:asciiTheme="minorHAnsi" w:hAnsiTheme="minorHAnsi"/>
                <w:b/>
                <w:sz w:val="22"/>
              </w:rPr>
              <w:t>itle</w:t>
            </w:r>
          </w:p>
        </w:tc>
        <w:tc>
          <w:tcPr>
            <w:tcW w:w="7229" w:type="dxa"/>
            <w:tcBorders>
              <w:top w:val="single" w:sz="4" w:space="0" w:color="auto"/>
              <w:left w:val="single" w:sz="4" w:space="0" w:color="auto"/>
              <w:bottom w:val="single" w:sz="4" w:space="0" w:color="auto"/>
              <w:right w:val="single" w:sz="4" w:space="0" w:color="auto"/>
            </w:tcBorders>
          </w:tcPr>
          <w:p w14:paraId="61B02BA4" w14:textId="6B3BB8EB" w:rsidR="00E34EBF" w:rsidRPr="000210D9" w:rsidRDefault="00F960C2" w:rsidP="00505696">
            <w:pPr>
              <w:spacing w:before="20" w:after="20"/>
              <w:ind w:left="0"/>
              <w:rPr>
                <w:rFonts w:asciiTheme="minorHAnsi" w:hAnsiTheme="minorHAnsi"/>
                <w:sz w:val="22"/>
              </w:rPr>
            </w:pPr>
            <w:r>
              <w:rPr>
                <w:rFonts w:asciiTheme="minorHAnsi" w:hAnsiTheme="minorHAnsi"/>
                <w:sz w:val="22"/>
              </w:rPr>
              <w:t xml:space="preserve">Audit &amp; </w:t>
            </w:r>
            <w:r w:rsidR="00193ACA">
              <w:rPr>
                <w:rFonts w:asciiTheme="minorHAnsi" w:hAnsiTheme="minorHAnsi"/>
                <w:sz w:val="22"/>
              </w:rPr>
              <w:t>R</w:t>
            </w:r>
            <w:r>
              <w:rPr>
                <w:rFonts w:asciiTheme="minorHAnsi" w:hAnsiTheme="minorHAnsi"/>
                <w:sz w:val="22"/>
              </w:rPr>
              <w:t>isk</w:t>
            </w:r>
            <w:r w:rsidR="00133171">
              <w:rPr>
                <w:rFonts w:asciiTheme="minorHAnsi" w:hAnsiTheme="minorHAnsi"/>
                <w:sz w:val="22"/>
              </w:rPr>
              <w:t xml:space="preserve"> </w:t>
            </w:r>
            <w:r w:rsidR="00193ACA">
              <w:rPr>
                <w:rFonts w:asciiTheme="minorHAnsi" w:hAnsiTheme="minorHAnsi"/>
                <w:sz w:val="22"/>
              </w:rPr>
              <w:t>C</w:t>
            </w:r>
            <w:r w:rsidR="00133171">
              <w:rPr>
                <w:rFonts w:asciiTheme="minorHAnsi" w:hAnsiTheme="minorHAnsi"/>
                <w:sz w:val="22"/>
              </w:rPr>
              <w:t xml:space="preserve">ommittee </w:t>
            </w:r>
            <w:r w:rsidR="005A584D">
              <w:rPr>
                <w:rFonts w:asciiTheme="minorHAnsi" w:hAnsiTheme="minorHAnsi"/>
                <w:sz w:val="22"/>
              </w:rPr>
              <w:t>r</w:t>
            </w:r>
            <w:r w:rsidR="00507F58" w:rsidRPr="000210D9">
              <w:rPr>
                <w:rFonts w:asciiTheme="minorHAnsi" w:hAnsiTheme="minorHAnsi"/>
                <w:sz w:val="22"/>
              </w:rPr>
              <w:t>eport</w:t>
            </w:r>
          </w:p>
        </w:tc>
      </w:tr>
      <w:tr w:rsidR="00E34EBF" w:rsidRPr="000210D9" w14:paraId="205195CE"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60D6F54E"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Report from</w:t>
            </w:r>
          </w:p>
        </w:tc>
        <w:tc>
          <w:tcPr>
            <w:tcW w:w="7229" w:type="dxa"/>
            <w:tcBorders>
              <w:top w:val="single" w:sz="4" w:space="0" w:color="auto"/>
              <w:left w:val="single" w:sz="4" w:space="0" w:color="auto"/>
              <w:bottom w:val="single" w:sz="4" w:space="0" w:color="auto"/>
              <w:right w:val="single" w:sz="4" w:space="0" w:color="auto"/>
            </w:tcBorders>
          </w:tcPr>
          <w:p w14:paraId="318D99CA" w14:textId="4387889A" w:rsidR="00E34EBF" w:rsidRPr="000210D9" w:rsidRDefault="00F960C2" w:rsidP="00782F0F">
            <w:pPr>
              <w:spacing w:before="20" w:after="20"/>
              <w:ind w:left="0"/>
              <w:rPr>
                <w:rFonts w:asciiTheme="minorHAnsi" w:hAnsiTheme="minorHAnsi"/>
                <w:sz w:val="22"/>
              </w:rPr>
            </w:pPr>
            <w:r>
              <w:rPr>
                <w:rFonts w:asciiTheme="minorHAnsi" w:hAnsiTheme="minorHAnsi"/>
                <w:sz w:val="22"/>
              </w:rPr>
              <w:t>Asif Bhatti</w:t>
            </w:r>
            <w:r w:rsidR="005A584D">
              <w:rPr>
                <w:rFonts w:asciiTheme="minorHAnsi" w:hAnsiTheme="minorHAnsi"/>
                <w:sz w:val="22"/>
              </w:rPr>
              <w:t>, Chair</w:t>
            </w:r>
          </w:p>
        </w:tc>
      </w:tr>
      <w:tr w:rsidR="00E34EBF" w:rsidRPr="000210D9" w14:paraId="48861677"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74ECB4E2"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 xml:space="preserve">Prepared by </w:t>
            </w:r>
          </w:p>
        </w:tc>
        <w:tc>
          <w:tcPr>
            <w:tcW w:w="7229" w:type="dxa"/>
            <w:tcBorders>
              <w:top w:val="single" w:sz="4" w:space="0" w:color="auto"/>
              <w:left w:val="single" w:sz="4" w:space="0" w:color="auto"/>
              <w:bottom w:val="single" w:sz="4" w:space="0" w:color="auto"/>
              <w:right w:val="single" w:sz="4" w:space="0" w:color="auto"/>
            </w:tcBorders>
          </w:tcPr>
          <w:p w14:paraId="37E43305" w14:textId="314D5D26" w:rsidR="00E34EBF" w:rsidRPr="000210D9" w:rsidRDefault="005A584D" w:rsidP="00B673D8">
            <w:pPr>
              <w:tabs>
                <w:tab w:val="left" w:pos="2329"/>
              </w:tabs>
              <w:spacing w:before="20" w:after="20"/>
              <w:ind w:left="0"/>
              <w:rPr>
                <w:rFonts w:asciiTheme="minorHAnsi" w:hAnsiTheme="minorHAnsi"/>
                <w:sz w:val="22"/>
              </w:rPr>
            </w:pPr>
            <w:r>
              <w:rPr>
                <w:rFonts w:asciiTheme="minorHAnsi" w:hAnsiTheme="minorHAnsi"/>
                <w:sz w:val="22"/>
              </w:rPr>
              <w:t>Truda Scriven, Interim Company Secretary</w:t>
            </w:r>
          </w:p>
        </w:tc>
      </w:tr>
      <w:tr w:rsidR="00C15875" w:rsidRPr="000210D9" w14:paraId="538DCD5B" w14:textId="77777777" w:rsidTr="002F12AA">
        <w:trPr>
          <w:trHeight w:val="896"/>
        </w:trPr>
        <w:tc>
          <w:tcPr>
            <w:tcW w:w="2977" w:type="dxa"/>
            <w:tcBorders>
              <w:top w:val="single" w:sz="4" w:space="0" w:color="auto"/>
              <w:left w:val="single" w:sz="4" w:space="0" w:color="auto"/>
              <w:bottom w:val="single" w:sz="4" w:space="0" w:color="auto"/>
              <w:right w:val="single" w:sz="4" w:space="0" w:color="auto"/>
            </w:tcBorders>
          </w:tcPr>
          <w:p w14:paraId="65600542" w14:textId="77777777" w:rsidR="00C15875" w:rsidRPr="000210D9" w:rsidRDefault="00C15875" w:rsidP="00B673D8">
            <w:pPr>
              <w:spacing w:before="20" w:after="20"/>
              <w:ind w:left="0"/>
              <w:rPr>
                <w:rFonts w:asciiTheme="minorHAnsi" w:hAnsiTheme="minorHAnsi"/>
                <w:b/>
                <w:sz w:val="22"/>
              </w:rPr>
            </w:pPr>
            <w:r w:rsidRPr="000210D9">
              <w:rPr>
                <w:rFonts w:asciiTheme="minorHAnsi" w:hAnsiTheme="minorHAnsi"/>
                <w:b/>
                <w:sz w:val="22"/>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0CB69564" w14:textId="618EF8BC" w:rsidR="00C15875" w:rsidRPr="000210D9" w:rsidRDefault="002F12AA" w:rsidP="000118D8">
            <w:pPr>
              <w:spacing w:before="20" w:after="20"/>
              <w:ind w:left="0"/>
              <w:rPr>
                <w:rFonts w:asciiTheme="minorHAnsi" w:hAnsiTheme="minorHAnsi"/>
                <w:sz w:val="22"/>
              </w:rPr>
            </w:pPr>
            <w:r>
              <w:rPr>
                <w:rFonts w:asciiTheme="minorHAnsi" w:hAnsiTheme="minorHAnsi" w:cstheme="minorHAnsi"/>
                <w:sz w:val="22"/>
              </w:rPr>
              <w:t>Sustainability at scale</w:t>
            </w:r>
            <w:r w:rsidR="000118D8">
              <w:rPr>
                <w:rFonts w:asciiTheme="minorHAnsi" w:hAnsiTheme="minorHAnsi" w:cstheme="minorHAnsi"/>
                <w:sz w:val="22"/>
              </w:rPr>
              <w:t xml:space="preserve"> - </w:t>
            </w:r>
            <w:r w:rsidR="000118D8" w:rsidRPr="00B703BD">
              <w:rPr>
                <w:rFonts w:asciiTheme="minorHAnsi" w:hAnsiTheme="minorHAnsi" w:cstheme="minorHAnsi"/>
                <w:sz w:val="22"/>
              </w:rPr>
              <w:t>We will</w:t>
            </w:r>
            <w:r>
              <w:rPr>
                <w:rFonts w:asciiTheme="minorHAnsi" w:hAnsiTheme="minorHAnsi" w:cstheme="minorHAnsi"/>
                <w:sz w:val="22"/>
              </w:rPr>
              <w:t xml:space="preserve"> use our resources responsibly, safeguarding what we have for the next generation; and we will design our services so that more people can access excellent care.</w:t>
            </w:r>
          </w:p>
        </w:tc>
      </w:tr>
    </w:tbl>
    <w:p w14:paraId="020C0676" w14:textId="77777777" w:rsidR="007C628B" w:rsidRPr="00F46EE1" w:rsidRDefault="007C628B" w:rsidP="006406CC">
      <w:pPr>
        <w:spacing w:after="0"/>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04"/>
        <w:gridCol w:w="2037"/>
        <w:gridCol w:w="336"/>
        <w:gridCol w:w="1991"/>
        <w:gridCol w:w="336"/>
        <w:gridCol w:w="2232"/>
        <w:gridCol w:w="633"/>
      </w:tblGrid>
      <w:tr w:rsidR="00E34EBF" w:rsidRPr="000210D9" w14:paraId="1813FE52"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22608DA6"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Brief</w:t>
            </w:r>
            <w:r w:rsidRPr="000210D9">
              <w:rPr>
                <w:rFonts w:asciiTheme="minorHAnsi" w:hAnsiTheme="minorHAnsi"/>
                <w:sz w:val="22"/>
              </w:rPr>
              <w:t xml:space="preserve"> </w:t>
            </w:r>
            <w:r w:rsidR="007C628B" w:rsidRPr="000210D9">
              <w:rPr>
                <w:rFonts w:asciiTheme="minorHAnsi" w:hAnsiTheme="minorHAnsi"/>
                <w:b/>
                <w:sz w:val="22"/>
              </w:rPr>
              <w:t>summary of r</w:t>
            </w:r>
            <w:r w:rsidRPr="000210D9">
              <w:rPr>
                <w:rFonts w:asciiTheme="minorHAnsi" w:hAnsiTheme="minorHAnsi"/>
                <w:b/>
                <w:sz w:val="22"/>
              </w:rPr>
              <w:t xml:space="preserve">eport  </w:t>
            </w:r>
          </w:p>
          <w:p w14:paraId="6D26D64C" w14:textId="6B1C46BB" w:rsidR="00D81ECB" w:rsidRPr="000210D9" w:rsidRDefault="00507F58" w:rsidP="007C4282">
            <w:pPr>
              <w:ind w:left="0"/>
              <w:rPr>
                <w:rFonts w:asciiTheme="minorHAnsi" w:hAnsiTheme="minorHAnsi"/>
                <w:sz w:val="22"/>
              </w:rPr>
            </w:pPr>
            <w:r w:rsidRPr="000210D9">
              <w:rPr>
                <w:rFonts w:asciiTheme="minorHAnsi" w:hAnsiTheme="minorHAnsi"/>
                <w:sz w:val="22"/>
              </w:rPr>
              <w:t xml:space="preserve">Attached is a summary of the </w:t>
            </w:r>
            <w:r w:rsidR="00F960C2">
              <w:rPr>
                <w:rFonts w:asciiTheme="minorHAnsi" w:hAnsiTheme="minorHAnsi"/>
                <w:sz w:val="22"/>
              </w:rPr>
              <w:t xml:space="preserve">Audit </w:t>
            </w:r>
            <w:r w:rsidR="00133171">
              <w:rPr>
                <w:rFonts w:asciiTheme="minorHAnsi" w:hAnsiTheme="minorHAnsi"/>
                <w:sz w:val="22"/>
              </w:rPr>
              <w:t xml:space="preserve">&amp; </w:t>
            </w:r>
            <w:r w:rsidR="00193ACA">
              <w:rPr>
                <w:rFonts w:asciiTheme="minorHAnsi" w:hAnsiTheme="minorHAnsi"/>
                <w:sz w:val="22"/>
              </w:rPr>
              <w:t>R</w:t>
            </w:r>
            <w:r w:rsidR="0048655E">
              <w:rPr>
                <w:rFonts w:asciiTheme="minorHAnsi" w:hAnsiTheme="minorHAnsi"/>
                <w:sz w:val="22"/>
              </w:rPr>
              <w:t>isk</w:t>
            </w:r>
            <w:r w:rsidR="00133171">
              <w:rPr>
                <w:rFonts w:asciiTheme="minorHAnsi" w:hAnsiTheme="minorHAnsi"/>
                <w:sz w:val="22"/>
              </w:rPr>
              <w:t xml:space="preserve"> </w:t>
            </w:r>
            <w:r w:rsidR="00193ACA">
              <w:rPr>
                <w:rFonts w:asciiTheme="minorHAnsi" w:hAnsiTheme="minorHAnsi"/>
                <w:sz w:val="22"/>
              </w:rPr>
              <w:t>C</w:t>
            </w:r>
            <w:r w:rsidR="00133171">
              <w:rPr>
                <w:rFonts w:asciiTheme="minorHAnsi" w:hAnsiTheme="minorHAnsi"/>
                <w:sz w:val="22"/>
              </w:rPr>
              <w:t>ommittee</w:t>
            </w:r>
            <w:r w:rsidR="000118D8">
              <w:rPr>
                <w:rFonts w:asciiTheme="minorHAnsi" w:hAnsiTheme="minorHAnsi"/>
                <w:sz w:val="22"/>
              </w:rPr>
              <w:t xml:space="preserve"> meeting t</w:t>
            </w:r>
            <w:r w:rsidRPr="000210D9">
              <w:rPr>
                <w:rFonts w:asciiTheme="minorHAnsi" w:hAnsiTheme="minorHAnsi"/>
                <w:sz w:val="22"/>
              </w:rPr>
              <w:t>hat took place on</w:t>
            </w:r>
            <w:r w:rsidR="004617FE">
              <w:rPr>
                <w:rFonts w:asciiTheme="minorHAnsi" w:hAnsiTheme="minorHAnsi"/>
                <w:sz w:val="22"/>
              </w:rPr>
              <w:t xml:space="preserve"> </w:t>
            </w:r>
            <w:r w:rsidR="00567C43">
              <w:rPr>
                <w:rFonts w:asciiTheme="minorHAnsi" w:hAnsiTheme="minorHAnsi"/>
                <w:sz w:val="22"/>
              </w:rPr>
              <w:t>1</w:t>
            </w:r>
            <w:r w:rsidR="0048655E">
              <w:rPr>
                <w:rFonts w:asciiTheme="minorHAnsi" w:hAnsiTheme="minorHAnsi"/>
                <w:sz w:val="22"/>
              </w:rPr>
              <w:t>1 April</w:t>
            </w:r>
            <w:r w:rsidR="000118D8">
              <w:rPr>
                <w:rFonts w:asciiTheme="minorHAnsi" w:hAnsiTheme="minorHAnsi"/>
                <w:sz w:val="22"/>
              </w:rPr>
              <w:t xml:space="preserve"> 2023</w:t>
            </w:r>
            <w:r w:rsidRPr="000210D9">
              <w:rPr>
                <w:rFonts w:asciiTheme="minorHAnsi" w:hAnsiTheme="minorHAnsi"/>
                <w:sz w:val="22"/>
              </w:rPr>
              <w:t>.</w:t>
            </w:r>
          </w:p>
          <w:p w14:paraId="05F80CE9" w14:textId="77777777" w:rsidR="007C4282" w:rsidRPr="000210D9" w:rsidRDefault="007C4282" w:rsidP="007C4282">
            <w:pPr>
              <w:ind w:left="0"/>
              <w:rPr>
                <w:rFonts w:asciiTheme="minorHAnsi" w:hAnsiTheme="minorHAnsi"/>
                <w:sz w:val="22"/>
              </w:rPr>
            </w:pPr>
          </w:p>
        </w:tc>
      </w:tr>
      <w:tr w:rsidR="00E34EBF" w:rsidRPr="000210D9" w14:paraId="53A4ADEC"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521041B1"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Action Required/Recommendation</w:t>
            </w:r>
            <w:r w:rsidR="00AE4054" w:rsidRPr="000210D9">
              <w:rPr>
                <w:rFonts w:asciiTheme="minorHAnsi" w:hAnsiTheme="minorHAnsi"/>
                <w:b/>
                <w:sz w:val="22"/>
              </w:rPr>
              <w:t xml:space="preserve">. </w:t>
            </w:r>
          </w:p>
          <w:p w14:paraId="3E37E190" w14:textId="11AE61C9" w:rsidR="007C628B" w:rsidRPr="009A2CD2" w:rsidRDefault="009A2CD2" w:rsidP="009A2CD2">
            <w:pPr>
              <w:ind w:left="0"/>
              <w:rPr>
                <w:rFonts w:asciiTheme="minorHAnsi" w:hAnsiTheme="minorHAnsi"/>
                <w:sz w:val="22"/>
              </w:rPr>
            </w:pPr>
            <w:r>
              <w:rPr>
                <w:rFonts w:asciiTheme="minorHAnsi" w:hAnsiTheme="minorHAnsi"/>
                <w:sz w:val="22"/>
              </w:rPr>
              <w:t>The board is asked to n</w:t>
            </w:r>
            <w:r w:rsidR="00226C39" w:rsidRPr="009A2CD2">
              <w:rPr>
                <w:rFonts w:asciiTheme="minorHAnsi" w:hAnsiTheme="minorHAnsi"/>
                <w:sz w:val="22"/>
              </w:rPr>
              <w:t>ote</w:t>
            </w:r>
            <w:r w:rsidR="00507F58" w:rsidRPr="009A2CD2">
              <w:rPr>
                <w:rFonts w:asciiTheme="minorHAnsi" w:hAnsiTheme="minorHAnsi"/>
                <w:sz w:val="22"/>
              </w:rPr>
              <w:t xml:space="preserve"> the report of the </w:t>
            </w:r>
            <w:r w:rsidR="00193ACA">
              <w:rPr>
                <w:rFonts w:asciiTheme="minorHAnsi" w:hAnsiTheme="minorHAnsi"/>
                <w:sz w:val="22"/>
              </w:rPr>
              <w:t>A</w:t>
            </w:r>
            <w:r w:rsidR="0048655E">
              <w:rPr>
                <w:rFonts w:asciiTheme="minorHAnsi" w:hAnsiTheme="minorHAnsi"/>
                <w:sz w:val="22"/>
              </w:rPr>
              <w:t>udit</w:t>
            </w:r>
            <w:r w:rsidR="00F4353D">
              <w:rPr>
                <w:rFonts w:asciiTheme="minorHAnsi" w:hAnsiTheme="minorHAnsi"/>
                <w:sz w:val="22"/>
              </w:rPr>
              <w:t xml:space="preserve"> &amp; </w:t>
            </w:r>
            <w:r w:rsidR="00193ACA">
              <w:rPr>
                <w:rFonts w:asciiTheme="minorHAnsi" w:hAnsiTheme="minorHAnsi"/>
                <w:sz w:val="22"/>
              </w:rPr>
              <w:t>R</w:t>
            </w:r>
            <w:r w:rsidR="0048655E">
              <w:rPr>
                <w:rFonts w:asciiTheme="minorHAnsi" w:hAnsiTheme="minorHAnsi"/>
                <w:sz w:val="22"/>
              </w:rPr>
              <w:t>isk</w:t>
            </w:r>
            <w:r w:rsidR="00F4353D">
              <w:rPr>
                <w:rFonts w:asciiTheme="minorHAnsi" w:hAnsiTheme="minorHAnsi"/>
                <w:sz w:val="22"/>
              </w:rPr>
              <w:t xml:space="preserve"> </w:t>
            </w:r>
            <w:r w:rsidR="00193ACA">
              <w:rPr>
                <w:rFonts w:asciiTheme="minorHAnsi" w:hAnsiTheme="minorHAnsi"/>
                <w:sz w:val="22"/>
              </w:rPr>
              <w:t>C</w:t>
            </w:r>
            <w:r w:rsidR="00F4353D">
              <w:rPr>
                <w:rFonts w:asciiTheme="minorHAnsi" w:hAnsiTheme="minorHAnsi"/>
                <w:sz w:val="22"/>
              </w:rPr>
              <w:t>ommittee</w:t>
            </w:r>
            <w:r w:rsidR="000118D8">
              <w:rPr>
                <w:rFonts w:asciiTheme="minorHAnsi" w:hAnsiTheme="minorHAnsi"/>
                <w:sz w:val="22"/>
              </w:rPr>
              <w:t xml:space="preserve"> </w:t>
            </w:r>
            <w:r w:rsidR="00507F58" w:rsidRPr="009A2CD2">
              <w:rPr>
                <w:rFonts w:asciiTheme="minorHAnsi" w:hAnsiTheme="minorHAnsi"/>
                <w:sz w:val="22"/>
              </w:rPr>
              <w:t>and gain assurance from it.</w:t>
            </w:r>
          </w:p>
          <w:p w14:paraId="09F9EA78" w14:textId="77777777" w:rsidR="00226C39" w:rsidRPr="000210D9" w:rsidRDefault="00226C39" w:rsidP="00F544B2">
            <w:pPr>
              <w:pStyle w:val="ListParagraph"/>
              <w:rPr>
                <w:rFonts w:asciiTheme="minorHAnsi" w:hAnsiTheme="minorHAnsi"/>
                <w:sz w:val="22"/>
              </w:rPr>
            </w:pPr>
          </w:p>
        </w:tc>
      </w:tr>
      <w:tr w:rsidR="00CC2587" w:rsidRPr="000210D9" w14:paraId="4885E472" w14:textId="77777777" w:rsidTr="00F46EE1">
        <w:tc>
          <w:tcPr>
            <w:tcW w:w="2126" w:type="dxa"/>
            <w:tcBorders>
              <w:top w:val="single" w:sz="4" w:space="0" w:color="auto"/>
              <w:left w:val="single" w:sz="4" w:space="0" w:color="auto"/>
              <w:bottom w:val="single" w:sz="4" w:space="0" w:color="auto"/>
              <w:right w:val="single" w:sz="4" w:space="0" w:color="auto"/>
            </w:tcBorders>
            <w:vAlign w:val="center"/>
          </w:tcPr>
          <w:p w14:paraId="6FB12224"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Assurance</w:t>
            </w:r>
          </w:p>
        </w:tc>
        <w:tc>
          <w:tcPr>
            <w:tcW w:w="405" w:type="dxa"/>
            <w:tcBorders>
              <w:top w:val="single" w:sz="4" w:space="0" w:color="auto"/>
              <w:left w:val="single" w:sz="4" w:space="0" w:color="auto"/>
              <w:bottom w:val="single" w:sz="4" w:space="0" w:color="auto"/>
              <w:right w:val="single" w:sz="4" w:space="0" w:color="auto"/>
            </w:tcBorders>
            <w:vAlign w:val="center"/>
          </w:tcPr>
          <w:p w14:paraId="7977BAB5" w14:textId="77777777" w:rsidR="00CC2587" w:rsidRPr="000210D9" w:rsidRDefault="00507F58" w:rsidP="001C3007">
            <w:pPr>
              <w:spacing w:before="120"/>
              <w:ind w:left="0"/>
              <w:jc w:val="right"/>
              <w:rPr>
                <w:rFonts w:asciiTheme="minorHAnsi" w:hAnsiTheme="minorHAnsi"/>
                <w:b/>
                <w:sz w:val="22"/>
              </w:rPr>
            </w:pPr>
            <w:r w:rsidRPr="000210D9">
              <w:rPr>
                <w:rFonts w:asciiTheme="minorHAnsi" w:hAnsi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0142A6DF"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750868E3" w14:textId="500FFD6C" w:rsidR="00CC2587" w:rsidRPr="000210D9" w:rsidRDefault="00CC2587" w:rsidP="001C3007">
            <w:pPr>
              <w:spacing w:before="120"/>
              <w:ind w:left="0"/>
              <w:jc w:val="right"/>
              <w:rPr>
                <w:rFonts w:asciiTheme="minorHAnsi" w:hAnsi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5EACCF4A"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269934CF" w14:textId="77777777" w:rsidR="00CC2587" w:rsidRPr="000210D9" w:rsidRDefault="00CC2587" w:rsidP="001C3007">
            <w:pPr>
              <w:spacing w:before="120"/>
              <w:ind w:left="0"/>
              <w:jc w:val="right"/>
              <w:rPr>
                <w:rFonts w:asciiTheme="minorHAnsi" w:hAnsiTheme="minorHAnsi"/>
                <w:b/>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5E8BA464" w14:textId="77777777" w:rsidR="00CC2587" w:rsidRPr="000210D9" w:rsidRDefault="00CC2587" w:rsidP="00CC2587">
            <w:pPr>
              <w:spacing w:before="120"/>
              <w:jc w:val="right"/>
              <w:rPr>
                <w:rFonts w:asciiTheme="minorHAnsi" w:hAnsiTheme="minorHAnsi"/>
                <w:b/>
                <w:sz w:val="22"/>
              </w:rPr>
            </w:pPr>
            <w:r w:rsidRPr="000210D9">
              <w:rPr>
                <w:rFonts w:asciiTheme="minorHAnsi" w:hAnsiTheme="minorHAnsi"/>
                <w:b/>
                <w:sz w:val="22"/>
              </w:rPr>
              <w:t>To note</w:t>
            </w:r>
          </w:p>
        </w:tc>
        <w:tc>
          <w:tcPr>
            <w:tcW w:w="641" w:type="dxa"/>
            <w:tcBorders>
              <w:top w:val="single" w:sz="4" w:space="0" w:color="auto"/>
              <w:left w:val="single" w:sz="4" w:space="0" w:color="auto"/>
              <w:bottom w:val="single" w:sz="4" w:space="0" w:color="auto"/>
              <w:right w:val="single" w:sz="4" w:space="0" w:color="auto"/>
            </w:tcBorders>
            <w:vAlign w:val="center"/>
          </w:tcPr>
          <w:p w14:paraId="2E2E7D33" w14:textId="2103F1BF" w:rsidR="00CC2587" w:rsidRPr="000210D9" w:rsidRDefault="0004425D" w:rsidP="001C3007">
            <w:pPr>
              <w:spacing w:before="120"/>
              <w:ind w:left="0"/>
              <w:rPr>
                <w:rFonts w:asciiTheme="minorHAnsi" w:hAnsiTheme="minorHAnsi"/>
                <w:b/>
                <w:sz w:val="22"/>
              </w:rPr>
            </w:pPr>
            <w:r w:rsidRPr="000210D9">
              <w:rPr>
                <w:rFonts w:asciiTheme="minorHAnsi" w:hAnsiTheme="minorHAnsi"/>
                <w:b/>
                <w:sz w:val="22"/>
              </w:rPr>
              <w:sym w:font="Wingdings" w:char="F0FC"/>
            </w:r>
          </w:p>
        </w:tc>
      </w:tr>
    </w:tbl>
    <w:p w14:paraId="5399B7DD" w14:textId="77777777" w:rsidR="00E34EBF" w:rsidRPr="00F46EE1" w:rsidRDefault="00E34EBF" w:rsidP="000F5D7C">
      <w:pPr>
        <w:rPr>
          <w:rFonts w:asciiTheme="minorHAnsi" w:hAnsiTheme="minorHAnsi"/>
        </w:rPr>
      </w:pPr>
    </w:p>
    <w:p w14:paraId="4B2F79F1" w14:textId="77777777" w:rsidR="00671116" w:rsidRPr="00F46EE1" w:rsidRDefault="00671116" w:rsidP="00210566">
      <w:pPr>
        <w:jc w:val="center"/>
        <w:rPr>
          <w:rFonts w:asciiTheme="minorHAnsi" w:hAnsiTheme="minorHAnsi"/>
          <w:b/>
          <w:sz w:val="20"/>
          <w:szCs w:val="20"/>
        </w:rPr>
        <w:sectPr w:rsidR="00671116" w:rsidRPr="00F46EE1" w:rsidSect="00C67C22">
          <w:headerReference w:type="default" r:id="rId11"/>
          <w:footerReference w:type="default" r:id="rId12"/>
          <w:footerReference w:type="first" r:id="rId13"/>
          <w:pgSz w:w="11906" w:h="16838"/>
          <w:pgMar w:top="1135" w:right="720" w:bottom="720" w:left="720" w:header="708" w:footer="708" w:gutter="0"/>
          <w:cols w:space="708"/>
          <w:titlePg/>
          <w:docGrid w:linePitch="360"/>
        </w:sectPr>
      </w:pPr>
    </w:p>
    <w:tbl>
      <w:tblPr>
        <w:tblStyle w:val="TableGrid"/>
        <w:tblW w:w="10490" w:type="dxa"/>
        <w:tblInd w:w="-743" w:type="dxa"/>
        <w:tblLook w:val="04A0" w:firstRow="1" w:lastRow="0" w:firstColumn="1" w:lastColumn="0" w:noHBand="0" w:noVBand="1"/>
      </w:tblPr>
      <w:tblGrid>
        <w:gridCol w:w="2127"/>
        <w:gridCol w:w="8363"/>
      </w:tblGrid>
      <w:tr w:rsidR="00F3759F" w:rsidRPr="00F46EE1" w14:paraId="1DFC350D" w14:textId="77777777" w:rsidTr="00827C3B">
        <w:tc>
          <w:tcPr>
            <w:tcW w:w="10490" w:type="dxa"/>
            <w:gridSpan w:val="2"/>
          </w:tcPr>
          <w:p w14:paraId="6762DBF5" w14:textId="0F28C75E" w:rsidR="00F3759F" w:rsidRDefault="00F37065" w:rsidP="009A2CD2">
            <w:pPr>
              <w:spacing w:after="0"/>
              <w:ind w:left="0"/>
              <w:jc w:val="center"/>
              <w:rPr>
                <w:rFonts w:asciiTheme="minorHAnsi" w:hAnsiTheme="minorHAnsi" w:cstheme="minorBidi"/>
                <w:b/>
                <w:sz w:val="28"/>
                <w:szCs w:val="28"/>
              </w:rPr>
            </w:pPr>
            <w:r>
              <w:rPr>
                <w:rFonts w:asciiTheme="minorHAnsi" w:hAnsiTheme="minorHAnsi" w:cstheme="minorBidi"/>
                <w:b/>
                <w:sz w:val="28"/>
                <w:szCs w:val="28"/>
              </w:rPr>
              <w:lastRenderedPageBreak/>
              <w:t>AUDIT</w:t>
            </w:r>
            <w:r w:rsidR="009C6426">
              <w:rPr>
                <w:rFonts w:asciiTheme="minorHAnsi" w:hAnsiTheme="minorHAnsi" w:cstheme="minorBidi"/>
                <w:b/>
                <w:sz w:val="28"/>
                <w:szCs w:val="28"/>
              </w:rPr>
              <w:t xml:space="preserve"> </w:t>
            </w:r>
            <w:r w:rsidR="00576DA7">
              <w:rPr>
                <w:rFonts w:asciiTheme="minorHAnsi" w:hAnsiTheme="minorHAnsi" w:cstheme="minorBidi"/>
                <w:b/>
                <w:sz w:val="28"/>
                <w:szCs w:val="28"/>
              </w:rPr>
              <w:t xml:space="preserve">&amp; </w:t>
            </w:r>
            <w:r>
              <w:rPr>
                <w:rFonts w:asciiTheme="minorHAnsi" w:hAnsiTheme="minorHAnsi" w:cstheme="minorBidi"/>
                <w:b/>
                <w:sz w:val="28"/>
                <w:szCs w:val="28"/>
              </w:rPr>
              <w:t>RISK</w:t>
            </w:r>
            <w:r w:rsidR="00576DA7">
              <w:rPr>
                <w:rFonts w:asciiTheme="minorHAnsi" w:hAnsiTheme="minorHAnsi" w:cstheme="minorBidi"/>
                <w:b/>
                <w:sz w:val="28"/>
                <w:szCs w:val="28"/>
              </w:rPr>
              <w:t xml:space="preserve"> COMMITTEE SUMM</w:t>
            </w:r>
            <w:r w:rsidR="00F3759F" w:rsidRPr="00F46EE1">
              <w:rPr>
                <w:rFonts w:asciiTheme="minorHAnsi" w:hAnsiTheme="minorHAnsi" w:cstheme="minorBidi"/>
                <w:b/>
                <w:sz w:val="28"/>
                <w:szCs w:val="28"/>
              </w:rPr>
              <w:t xml:space="preserve">ARY REPORT – </w:t>
            </w:r>
            <w:r w:rsidR="0069251E">
              <w:rPr>
                <w:rFonts w:asciiTheme="minorHAnsi" w:hAnsiTheme="minorHAnsi" w:cstheme="minorBidi"/>
                <w:b/>
                <w:sz w:val="28"/>
                <w:szCs w:val="28"/>
              </w:rPr>
              <w:t>1</w:t>
            </w:r>
            <w:r>
              <w:rPr>
                <w:rFonts w:asciiTheme="minorHAnsi" w:hAnsiTheme="minorHAnsi" w:cstheme="minorBidi"/>
                <w:b/>
                <w:sz w:val="28"/>
                <w:szCs w:val="28"/>
              </w:rPr>
              <w:t>1 APRIL</w:t>
            </w:r>
            <w:r w:rsidR="00576DA7">
              <w:rPr>
                <w:rFonts w:asciiTheme="minorHAnsi" w:hAnsiTheme="minorHAnsi" w:cstheme="minorBidi"/>
                <w:b/>
                <w:sz w:val="28"/>
                <w:szCs w:val="28"/>
              </w:rPr>
              <w:t xml:space="preserve"> </w:t>
            </w:r>
            <w:r w:rsidR="00567C43">
              <w:rPr>
                <w:rFonts w:asciiTheme="minorHAnsi" w:hAnsiTheme="minorHAnsi" w:cstheme="minorBidi"/>
                <w:b/>
                <w:sz w:val="28"/>
                <w:szCs w:val="28"/>
              </w:rPr>
              <w:t>2023</w:t>
            </w:r>
          </w:p>
          <w:p w14:paraId="7765F886" w14:textId="6F59E995" w:rsidR="00B05DF9" w:rsidRPr="00CA0F92" w:rsidRDefault="00B05DF9" w:rsidP="009A2CD2">
            <w:pPr>
              <w:spacing w:after="0"/>
              <w:ind w:left="0"/>
              <w:jc w:val="center"/>
              <w:rPr>
                <w:rFonts w:asciiTheme="minorHAnsi" w:hAnsiTheme="minorHAnsi" w:cstheme="minorBidi"/>
                <w:b/>
                <w:sz w:val="28"/>
                <w:szCs w:val="28"/>
              </w:rPr>
            </w:pPr>
          </w:p>
        </w:tc>
      </w:tr>
      <w:tr w:rsidR="0054478E" w:rsidRPr="00F46EE1" w14:paraId="647ACAF6" w14:textId="77777777" w:rsidTr="003A7AF7">
        <w:tc>
          <w:tcPr>
            <w:tcW w:w="2127" w:type="dxa"/>
            <w:shd w:val="clear" w:color="auto" w:fill="548DD4" w:themeFill="text2" w:themeFillTint="99"/>
            <w:vAlign w:val="center"/>
          </w:tcPr>
          <w:p w14:paraId="6F8BFDAD" w14:textId="77777777" w:rsidR="0054478E" w:rsidRPr="00F46EE1" w:rsidRDefault="0054478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Governance</w:t>
            </w:r>
          </w:p>
          <w:p w14:paraId="688FBA66"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6CEED243" w14:textId="77777777" w:rsidR="0054478E" w:rsidRPr="00C63DC0" w:rsidRDefault="0054478E" w:rsidP="006F60B1">
            <w:pPr>
              <w:numPr>
                <w:ilvl w:val="0"/>
                <w:numId w:val="2"/>
              </w:numPr>
              <w:spacing w:after="0"/>
              <w:contextualSpacing/>
              <w:rPr>
                <w:rFonts w:asciiTheme="minorHAnsi" w:hAnsiTheme="minorHAnsi" w:cstheme="minorBidi"/>
                <w:b/>
                <w:bCs/>
                <w:sz w:val="22"/>
              </w:rPr>
            </w:pPr>
            <w:r w:rsidRPr="00C63DC0">
              <w:rPr>
                <w:rFonts w:asciiTheme="minorHAnsi" w:hAnsiTheme="minorHAnsi" w:cstheme="minorBidi"/>
                <w:b/>
                <w:bCs/>
                <w:sz w:val="22"/>
              </w:rPr>
              <w:t>Quorate – Yes</w:t>
            </w:r>
          </w:p>
          <w:p w14:paraId="2105542B" w14:textId="5E6D46C6" w:rsidR="00B05DF9" w:rsidRPr="00E23D64" w:rsidRDefault="0054478E" w:rsidP="00E23D64">
            <w:pPr>
              <w:numPr>
                <w:ilvl w:val="0"/>
                <w:numId w:val="2"/>
              </w:numPr>
              <w:spacing w:after="0"/>
              <w:contextualSpacing/>
              <w:rPr>
                <w:rFonts w:asciiTheme="minorHAnsi" w:hAnsiTheme="minorHAnsi" w:cstheme="minorBidi"/>
                <w:sz w:val="22"/>
              </w:rPr>
            </w:pPr>
            <w:r w:rsidRPr="00C63DC0">
              <w:rPr>
                <w:rFonts w:asciiTheme="minorHAnsi" w:hAnsiTheme="minorHAnsi" w:cstheme="minorBidi"/>
                <w:b/>
                <w:bCs/>
                <w:sz w:val="22"/>
              </w:rPr>
              <w:t xml:space="preserve">Attendance - </w:t>
            </w:r>
            <w:r w:rsidR="00193ACA">
              <w:rPr>
                <w:rFonts w:asciiTheme="minorHAnsi" w:hAnsiTheme="minorHAnsi" w:cstheme="minorBidi"/>
                <w:b/>
                <w:bCs/>
                <w:sz w:val="22"/>
              </w:rPr>
              <w:t>75</w:t>
            </w:r>
            <w:r w:rsidRPr="00C63DC0">
              <w:rPr>
                <w:rFonts w:asciiTheme="minorHAnsi" w:hAnsiTheme="minorHAnsi" w:cstheme="minorBidi"/>
                <w:b/>
                <w:bCs/>
                <w:sz w:val="22"/>
              </w:rPr>
              <w:t>%</w:t>
            </w:r>
          </w:p>
        </w:tc>
      </w:tr>
      <w:tr w:rsidR="00AC3B21" w:rsidRPr="00F46EE1" w14:paraId="3B9187DC" w14:textId="77777777" w:rsidTr="003A7AF7">
        <w:tc>
          <w:tcPr>
            <w:tcW w:w="2127" w:type="dxa"/>
            <w:shd w:val="clear" w:color="auto" w:fill="548DD4" w:themeFill="text2" w:themeFillTint="99"/>
            <w:vAlign w:val="center"/>
          </w:tcPr>
          <w:p w14:paraId="55C93B4C" w14:textId="77777777" w:rsidR="00AC3B21" w:rsidRPr="00F46EE1" w:rsidRDefault="00AC3B21" w:rsidP="00AC3B21">
            <w:pPr>
              <w:spacing w:after="0"/>
              <w:ind w:left="0"/>
              <w:rPr>
                <w:rFonts w:asciiTheme="minorHAnsi" w:hAnsiTheme="minorHAnsi" w:cstheme="minorBidi"/>
                <w:b/>
                <w:color w:val="FFFFFF" w:themeColor="background1"/>
                <w:szCs w:val="24"/>
              </w:rPr>
            </w:pPr>
            <w:bookmarkStart w:id="0" w:name="_Hlk109721242"/>
            <w:r w:rsidRPr="00F46EE1">
              <w:rPr>
                <w:rFonts w:asciiTheme="minorHAnsi" w:hAnsiTheme="minorHAnsi" w:cstheme="minorBidi"/>
                <w:b/>
                <w:color w:val="FFFFFF" w:themeColor="background1"/>
                <w:szCs w:val="24"/>
              </w:rPr>
              <w:t xml:space="preserve">Current activity </w:t>
            </w:r>
          </w:p>
          <w:p w14:paraId="23F4BD16" w14:textId="77777777"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(as at date of meeting)</w:t>
            </w:r>
          </w:p>
        </w:tc>
        <w:tc>
          <w:tcPr>
            <w:tcW w:w="8363" w:type="dxa"/>
          </w:tcPr>
          <w:p w14:paraId="5621DB9A" w14:textId="77777777" w:rsidR="00AE4A06" w:rsidRDefault="00AE4A06" w:rsidP="00684618">
            <w:pPr>
              <w:pStyle w:val="NoSpacing"/>
              <w:jc w:val="both"/>
              <w:rPr>
                <w:b/>
                <w:i/>
                <w:u w:val="single"/>
              </w:rPr>
            </w:pPr>
          </w:p>
          <w:p w14:paraId="04DFFE8A" w14:textId="6BF3D2AC" w:rsidR="00684618" w:rsidRDefault="00812355" w:rsidP="00684618">
            <w:pPr>
              <w:pStyle w:val="NoSpacing"/>
              <w:jc w:val="both"/>
              <w:rPr>
                <w:b/>
                <w:i/>
                <w:u w:val="single"/>
              </w:rPr>
            </w:pPr>
            <w:r>
              <w:rPr>
                <w:b/>
                <w:i/>
                <w:u w:val="single"/>
              </w:rPr>
              <w:t>Salary Overpayments (Matters arising from minutes of previous meeting)</w:t>
            </w:r>
          </w:p>
          <w:p w14:paraId="2D107E3A" w14:textId="77777777" w:rsidR="00432EF7" w:rsidRPr="008C766D" w:rsidRDefault="00432EF7" w:rsidP="00684618">
            <w:pPr>
              <w:pStyle w:val="NoSpacing"/>
              <w:jc w:val="both"/>
              <w:rPr>
                <w:b/>
                <w:i/>
                <w:u w:val="single"/>
              </w:rPr>
            </w:pPr>
          </w:p>
          <w:p w14:paraId="5B7CF106" w14:textId="4505E96F" w:rsidR="00812355" w:rsidRPr="00193ACA" w:rsidRDefault="00790E63" w:rsidP="001455CA">
            <w:pPr>
              <w:pStyle w:val="ListParagraph"/>
              <w:numPr>
                <w:ilvl w:val="0"/>
                <w:numId w:val="3"/>
              </w:numPr>
              <w:ind w:left="343"/>
              <w:jc w:val="both"/>
              <w:rPr>
                <w:rFonts w:ascii="Calibri" w:hAnsi="Calibri"/>
                <w:bCs/>
                <w:sz w:val="22"/>
              </w:rPr>
            </w:pPr>
            <w:bookmarkStart w:id="1" w:name="_Hlk109721180"/>
            <w:r>
              <w:rPr>
                <w:rFonts w:ascii="Calibri" w:hAnsi="Calibri"/>
                <w:bCs/>
                <w:sz w:val="22"/>
              </w:rPr>
              <w:t>S</w:t>
            </w:r>
            <w:r w:rsidR="00812355" w:rsidRPr="00193ACA">
              <w:rPr>
                <w:rFonts w:ascii="Calibri" w:hAnsi="Calibri"/>
                <w:bCs/>
                <w:sz w:val="22"/>
              </w:rPr>
              <w:t xml:space="preserve">ignificant progress had been made </w:t>
            </w:r>
            <w:r>
              <w:rPr>
                <w:rFonts w:ascii="Calibri" w:hAnsi="Calibri"/>
                <w:bCs/>
                <w:sz w:val="22"/>
              </w:rPr>
              <w:t>with the m</w:t>
            </w:r>
            <w:r w:rsidRPr="00790E63">
              <w:rPr>
                <w:rFonts w:ascii="Calibri" w:hAnsi="Calibri"/>
                <w:bCs/>
                <w:sz w:val="22"/>
              </w:rPr>
              <w:t xml:space="preserve">anagement of salary overpayments </w:t>
            </w:r>
            <w:r w:rsidR="00812355" w:rsidRPr="00193ACA">
              <w:rPr>
                <w:rFonts w:ascii="Calibri" w:hAnsi="Calibri"/>
                <w:bCs/>
                <w:sz w:val="22"/>
              </w:rPr>
              <w:t>since the appointment of a payroll liaison officer</w:t>
            </w:r>
            <w:r>
              <w:rPr>
                <w:rFonts w:ascii="Calibri" w:hAnsi="Calibri"/>
                <w:bCs/>
                <w:sz w:val="22"/>
              </w:rPr>
              <w:t>. L</w:t>
            </w:r>
            <w:r w:rsidR="00812355" w:rsidRPr="00193ACA">
              <w:rPr>
                <w:rFonts w:ascii="Calibri" w:hAnsi="Calibri"/>
                <w:bCs/>
                <w:sz w:val="22"/>
              </w:rPr>
              <w:t xml:space="preserve">egacy cases had been followed up systematically through collaboration with the finance department. </w:t>
            </w:r>
            <w:r w:rsidR="001455CA">
              <w:rPr>
                <w:rFonts w:ascii="Calibri" w:hAnsi="Calibri"/>
                <w:bCs/>
                <w:sz w:val="22"/>
              </w:rPr>
              <w:t>A</w:t>
            </w:r>
            <w:r w:rsidR="00812355" w:rsidRPr="00193ACA">
              <w:rPr>
                <w:rFonts w:ascii="Calibri" w:hAnsi="Calibri"/>
                <w:bCs/>
                <w:sz w:val="22"/>
              </w:rPr>
              <w:t xml:space="preserve"> payroll improvement steering group had been set up to monitor cases</w:t>
            </w:r>
            <w:r w:rsidR="00812355" w:rsidRPr="00193ACA">
              <w:rPr>
                <w:rFonts w:ascii="Calibri" w:hAnsi="Calibri"/>
                <w:b/>
                <w:sz w:val="22"/>
              </w:rPr>
              <w:t xml:space="preserve"> </w:t>
            </w:r>
            <w:r w:rsidR="00812355" w:rsidRPr="00193ACA">
              <w:rPr>
                <w:rFonts w:ascii="Calibri" w:hAnsi="Calibri"/>
                <w:bCs/>
                <w:sz w:val="22"/>
              </w:rPr>
              <w:t>closely.</w:t>
            </w:r>
          </w:p>
          <w:p w14:paraId="36E99D58" w14:textId="77777777" w:rsidR="00F57574" w:rsidRPr="00F57574" w:rsidRDefault="00F57574" w:rsidP="00F57574">
            <w:pPr>
              <w:ind w:left="0" w:right="176"/>
              <w:jc w:val="both"/>
              <w:rPr>
                <w:rFonts w:ascii="Calibri" w:hAnsi="Calibri"/>
                <w:b/>
                <w:bCs/>
                <w:i/>
                <w:iCs/>
                <w:sz w:val="22"/>
                <w:u w:val="single"/>
              </w:rPr>
            </w:pPr>
            <w:r w:rsidRPr="00F57574">
              <w:rPr>
                <w:rFonts w:ascii="Calibri" w:hAnsi="Calibri"/>
                <w:b/>
                <w:bCs/>
                <w:i/>
                <w:iCs/>
                <w:sz w:val="22"/>
                <w:u w:val="single"/>
              </w:rPr>
              <w:t>Internal audit progress report</w:t>
            </w:r>
          </w:p>
          <w:p w14:paraId="3B461C79" w14:textId="02E6ED9A" w:rsidR="00F57574" w:rsidRPr="00F57574" w:rsidRDefault="00F57574" w:rsidP="001455CA">
            <w:pPr>
              <w:pStyle w:val="ListParagraph"/>
              <w:numPr>
                <w:ilvl w:val="0"/>
                <w:numId w:val="4"/>
              </w:numPr>
              <w:ind w:left="343"/>
              <w:jc w:val="both"/>
              <w:rPr>
                <w:rFonts w:ascii="Calibri" w:hAnsi="Calibri"/>
                <w:sz w:val="22"/>
              </w:rPr>
            </w:pPr>
            <w:r>
              <w:rPr>
                <w:rFonts w:ascii="Calibri" w:hAnsi="Calibri"/>
                <w:sz w:val="22"/>
              </w:rPr>
              <w:t>P</w:t>
            </w:r>
            <w:r w:rsidRPr="00F57574">
              <w:rPr>
                <w:rFonts w:ascii="Calibri" w:hAnsi="Calibri"/>
                <w:sz w:val="22"/>
              </w:rPr>
              <w:t>rogress against the 2022/23 Internal Audit Plan</w:t>
            </w:r>
            <w:r>
              <w:rPr>
                <w:rFonts w:ascii="Calibri" w:hAnsi="Calibri"/>
                <w:sz w:val="22"/>
              </w:rPr>
              <w:t xml:space="preserve"> was outlined</w:t>
            </w:r>
            <w:r w:rsidRPr="00F57574">
              <w:rPr>
                <w:rFonts w:ascii="Calibri" w:hAnsi="Calibri"/>
                <w:sz w:val="22"/>
              </w:rPr>
              <w:t>. The following four reports had been finalised since the last meeting</w:t>
            </w:r>
            <w:r>
              <w:rPr>
                <w:rFonts w:ascii="Calibri" w:hAnsi="Calibri"/>
                <w:sz w:val="22"/>
              </w:rPr>
              <w:t>:</w:t>
            </w:r>
          </w:p>
          <w:p w14:paraId="40A8804C" w14:textId="77777777" w:rsidR="00F57574" w:rsidRPr="005A7E47" w:rsidRDefault="00F57574" w:rsidP="00F57574">
            <w:pPr>
              <w:spacing w:after="0"/>
              <w:ind w:left="343"/>
              <w:contextualSpacing/>
              <w:jc w:val="both"/>
              <w:rPr>
                <w:rFonts w:ascii="Calibri" w:hAnsi="Calibri"/>
                <w:i/>
                <w:iCs/>
                <w:sz w:val="22"/>
              </w:rPr>
            </w:pPr>
            <w:r w:rsidRPr="005A7E47">
              <w:rPr>
                <w:rFonts w:ascii="Calibri" w:hAnsi="Calibri"/>
                <w:i/>
                <w:iCs/>
                <w:sz w:val="22"/>
              </w:rPr>
              <w:t>Complaints – (Reasonable Assurance)</w:t>
            </w:r>
          </w:p>
          <w:p w14:paraId="7BE02683" w14:textId="77777777" w:rsidR="000744EC" w:rsidRDefault="00F57574" w:rsidP="001455CA">
            <w:pPr>
              <w:pStyle w:val="ListParagraph"/>
              <w:numPr>
                <w:ilvl w:val="0"/>
                <w:numId w:val="4"/>
              </w:numPr>
              <w:spacing w:after="0"/>
              <w:ind w:left="343"/>
              <w:jc w:val="both"/>
              <w:rPr>
                <w:rFonts w:ascii="Calibri" w:hAnsi="Calibri"/>
                <w:sz w:val="22"/>
              </w:rPr>
            </w:pPr>
            <w:r w:rsidRPr="00F57574">
              <w:rPr>
                <w:rFonts w:ascii="Calibri" w:hAnsi="Calibri"/>
                <w:sz w:val="22"/>
              </w:rPr>
              <w:t>NA stated that complaints were being actioned well compared to peer group organisations.</w:t>
            </w:r>
          </w:p>
          <w:p w14:paraId="36C20C87" w14:textId="3412F930" w:rsidR="00F57574" w:rsidRPr="000744EC" w:rsidRDefault="00F57574" w:rsidP="001455CA">
            <w:pPr>
              <w:pStyle w:val="ListParagraph"/>
              <w:numPr>
                <w:ilvl w:val="0"/>
                <w:numId w:val="4"/>
              </w:numPr>
              <w:spacing w:after="0"/>
              <w:ind w:left="343"/>
              <w:jc w:val="both"/>
              <w:rPr>
                <w:rFonts w:ascii="Calibri" w:hAnsi="Calibri"/>
                <w:b/>
                <w:bCs/>
                <w:sz w:val="22"/>
              </w:rPr>
            </w:pPr>
            <w:r w:rsidRPr="000744EC">
              <w:rPr>
                <w:rFonts w:ascii="Calibri" w:hAnsi="Calibri"/>
                <w:sz w:val="22"/>
              </w:rPr>
              <w:t xml:space="preserve">It was confirmed that regular reports were presented to the Quality &amp; Safety Committee (including an annual report) and that triangulation of complaints was taking place in divisions though the local groups. </w:t>
            </w:r>
          </w:p>
          <w:p w14:paraId="39515BC4" w14:textId="77777777" w:rsidR="000744EC" w:rsidRDefault="000744EC" w:rsidP="000744EC">
            <w:pPr>
              <w:ind w:left="343"/>
              <w:contextualSpacing/>
              <w:jc w:val="both"/>
              <w:rPr>
                <w:rFonts w:ascii="Calibri" w:hAnsi="Calibri"/>
                <w:i/>
                <w:iCs/>
                <w:sz w:val="22"/>
              </w:rPr>
            </w:pPr>
          </w:p>
          <w:p w14:paraId="4D677514" w14:textId="0D560D85" w:rsidR="00F57574" w:rsidRPr="00CC2D45" w:rsidRDefault="00F57574" w:rsidP="000744EC">
            <w:pPr>
              <w:spacing w:after="0"/>
              <w:ind w:left="343"/>
              <w:contextualSpacing/>
              <w:jc w:val="both"/>
              <w:rPr>
                <w:rFonts w:ascii="Calibri" w:hAnsi="Calibri"/>
                <w:i/>
                <w:iCs/>
                <w:sz w:val="22"/>
              </w:rPr>
            </w:pPr>
            <w:r w:rsidRPr="00CC2D45">
              <w:rPr>
                <w:rFonts w:ascii="Calibri" w:hAnsi="Calibri"/>
                <w:i/>
                <w:iCs/>
                <w:sz w:val="22"/>
              </w:rPr>
              <w:t>Cyber Security – (Reasonable Assurance)</w:t>
            </w:r>
          </w:p>
          <w:p w14:paraId="382AF538" w14:textId="4EFA7423" w:rsidR="000744EC" w:rsidRDefault="000744EC" w:rsidP="001455CA">
            <w:pPr>
              <w:pStyle w:val="ListParagraph"/>
              <w:numPr>
                <w:ilvl w:val="0"/>
                <w:numId w:val="4"/>
              </w:numPr>
              <w:spacing w:after="0"/>
              <w:ind w:left="343"/>
              <w:jc w:val="both"/>
              <w:rPr>
                <w:rFonts w:ascii="Calibri" w:hAnsi="Calibri"/>
                <w:sz w:val="22"/>
              </w:rPr>
            </w:pPr>
            <w:r>
              <w:rPr>
                <w:rFonts w:ascii="Calibri" w:hAnsi="Calibri"/>
                <w:sz w:val="22"/>
              </w:rPr>
              <w:t>O</w:t>
            </w:r>
            <w:r w:rsidR="00F57574" w:rsidRPr="000744EC">
              <w:rPr>
                <w:rFonts w:ascii="Calibri" w:hAnsi="Calibri"/>
                <w:sz w:val="22"/>
              </w:rPr>
              <w:t>ne priority action need</w:t>
            </w:r>
            <w:r w:rsidR="001455CA">
              <w:rPr>
                <w:rFonts w:ascii="Calibri" w:hAnsi="Calibri"/>
                <w:sz w:val="22"/>
              </w:rPr>
              <w:t>ed</w:t>
            </w:r>
            <w:r w:rsidR="00F57574" w:rsidRPr="000744EC">
              <w:rPr>
                <w:rFonts w:ascii="Calibri" w:hAnsi="Calibri"/>
                <w:sz w:val="22"/>
              </w:rPr>
              <w:t xml:space="preserve"> attention</w:t>
            </w:r>
            <w:r w:rsidR="001455CA">
              <w:rPr>
                <w:rFonts w:ascii="Calibri" w:hAnsi="Calibri"/>
                <w:sz w:val="22"/>
              </w:rPr>
              <w:t xml:space="preserve">. </w:t>
            </w:r>
            <w:r w:rsidR="00AA6D16">
              <w:rPr>
                <w:rFonts w:ascii="Calibri" w:hAnsi="Calibri"/>
                <w:sz w:val="22"/>
              </w:rPr>
              <w:t>G</w:t>
            </w:r>
            <w:r w:rsidR="00F57574" w:rsidRPr="000744EC">
              <w:rPr>
                <w:rFonts w:ascii="Calibri" w:hAnsi="Calibri"/>
                <w:sz w:val="22"/>
              </w:rPr>
              <w:t xml:space="preserve">reater consistency </w:t>
            </w:r>
            <w:r w:rsidR="00AA6D16">
              <w:rPr>
                <w:rFonts w:ascii="Calibri" w:hAnsi="Calibri"/>
                <w:sz w:val="22"/>
              </w:rPr>
              <w:t xml:space="preserve">was required </w:t>
            </w:r>
            <w:r w:rsidR="00F57574" w:rsidRPr="000744EC">
              <w:rPr>
                <w:rFonts w:ascii="Calibri" w:hAnsi="Calibri"/>
                <w:sz w:val="22"/>
              </w:rPr>
              <w:t xml:space="preserve">over the guidance for how risk assessments concerning IT and cyber security were conducted. </w:t>
            </w:r>
            <w:r w:rsidR="001455CA">
              <w:rPr>
                <w:rFonts w:ascii="Calibri" w:hAnsi="Calibri"/>
                <w:sz w:val="22"/>
              </w:rPr>
              <w:t>The</w:t>
            </w:r>
            <w:r w:rsidR="00F57574" w:rsidRPr="000744EC">
              <w:rPr>
                <w:rFonts w:ascii="Calibri" w:hAnsi="Calibri"/>
                <w:sz w:val="22"/>
              </w:rPr>
              <w:t xml:space="preserve"> IT incident management policy, data recovery and business continuity plan last reviewed in 2021, </w:t>
            </w:r>
            <w:r>
              <w:rPr>
                <w:rFonts w:ascii="Calibri" w:hAnsi="Calibri"/>
                <w:sz w:val="22"/>
              </w:rPr>
              <w:t>needed to</w:t>
            </w:r>
            <w:r w:rsidR="00F57574" w:rsidRPr="000744EC">
              <w:rPr>
                <w:rFonts w:ascii="Calibri" w:hAnsi="Calibri"/>
                <w:sz w:val="22"/>
              </w:rPr>
              <w:t xml:space="preserve"> be </w:t>
            </w:r>
            <w:r w:rsidR="00F52CBA">
              <w:rPr>
                <w:rFonts w:ascii="Calibri" w:hAnsi="Calibri"/>
                <w:sz w:val="22"/>
              </w:rPr>
              <w:t>refreshed</w:t>
            </w:r>
            <w:r w:rsidR="00F57574" w:rsidRPr="000744EC">
              <w:rPr>
                <w:rFonts w:ascii="Calibri" w:hAnsi="Calibri"/>
                <w:sz w:val="22"/>
              </w:rPr>
              <w:t>.</w:t>
            </w:r>
          </w:p>
          <w:p w14:paraId="14CD7970" w14:textId="77777777" w:rsidR="00F52CBA" w:rsidRDefault="00F52CBA" w:rsidP="00870D88">
            <w:pPr>
              <w:spacing w:after="0"/>
              <w:ind w:left="343"/>
              <w:contextualSpacing/>
              <w:jc w:val="both"/>
              <w:rPr>
                <w:rFonts w:ascii="Calibri" w:hAnsi="Calibri"/>
                <w:i/>
                <w:iCs/>
                <w:sz w:val="22"/>
              </w:rPr>
            </w:pPr>
          </w:p>
          <w:p w14:paraId="063982C3" w14:textId="794630DD" w:rsidR="00A866C2" w:rsidRPr="00CC2D45" w:rsidRDefault="00A866C2" w:rsidP="00870D88">
            <w:pPr>
              <w:spacing w:after="0"/>
              <w:ind w:left="343"/>
              <w:contextualSpacing/>
              <w:jc w:val="both"/>
              <w:rPr>
                <w:rFonts w:ascii="Calibri" w:hAnsi="Calibri"/>
                <w:i/>
                <w:iCs/>
                <w:sz w:val="22"/>
              </w:rPr>
            </w:pPr>
            <w:r w:rsidRPr="00CC2D45">
              <w:rPr>
                <w:rFonts w:ascii="Calibri" w:hAnsi="Calibri"/>
                <w:i/>
                <w:iCs/>
                <w:sz w:val="22"/>
              </w:rPr>
              <w:t>Risk Management &amp; Board Assurance Framework – (Reasonable Assurance)</w:t>
            </w:r>
          </w:p>
          <w:p w14:paraId="4938056F" w14:textId="77777777" w:rsidR="00870D88" w:rsidRDefault="00870D88" w:rsidP="001455CA">
            <w:pPr>
              <w:pStyle w:val="ListParagraph"/>
              <w:numPr>
                <w:ilvl w:val="0"/>
                <w:numId w:val="5"/>
              </w:numPr>
              <w:spacing w:after="0"/>
              <w:ind w:left="343"/>
              <w:jc w:val="both"/>
              <w:rPr>
                <w:rFonts w:ascii="Calibri" w:hAnsi="Calibri"/>
                <w:sz w:val="22"/>
              </w:rPr>
            </w:pPr>
            <w:r>
              <w:rPr>
                <w:rFonts w:ascii="Calibri" w:hAnsi="Calibri"/>
                <w:sz w:val="22"/>
              </w:rPr>
              <w:t xml:space="preserve">Greater </w:t>
            </w:r>
            <w:r w:rsidR="00A866C2" w:rsidRPr="00A866C2">
              <w:rPr>
                <w:rFonts w:ascii="Calibri" w:hAnsi="Calibri"/>
                <w:sz w:val="22"/>
              </w:rPr>
              <w:t xml:space="preserve">precision </w:t>
            </w:r>
            <w:r>
              <w:rPr>
                <w:rFonts w:ascii="Calibri" w:hAnsi="Calibri"/>
                <w:sz w:val="22"/>
              </w:rPr>
              <w:t xml:space="preserve">was </w:t>
            </w:r>
            <w:r w:rsidR="00A866C2" w:rsidRPr="00A866C2">
              <w:rPr>
                <w:rFonts w:ascii="Calibri" w:hAnsi="Calibri"/>
                <w:sz w:val="22"/>
              </w:rPr>
              <w:t>required in terms of risk ownership and deadlines for action</w:t>
            </w:r>
            <w:r>
              <w:rPr>
                <w:rFonts w:ascii="Calibri" w:hAnsi="Calibri"/>
                <w:sz w:val="22"/>
              </w:rPr>
              <w:t>.</w:t>
            </w:r>
          </w:p>
          <w:p w14:paraId="518B1D19" w14:textId="77777777" w:rsidR="00870D88" w:rsidRDefault="00870D88" w:rsidP="001455CA">
            <w:pPr>
              <w:pStyle w:val="ListParagraph"/>
              <w:numPr>
                <w:ilvl w:val="0"/>
                <w:numId w:val="5"/>
              </w:numPr>
              <w:ind w:left="343"/>
              <w:jc w:val="both"/>
              <w:rPr>
                <w:rFonts w:ascii="Calibri" w:hAnsi="Calibri"/>
                <w:sz w:val="22"/>
              </w:rPr>
            </w:pPr>
            <w:r>
              <w:rPr>
                <w:rFonts w:ascii="Calibri" w:hAnsi="Calibri"/>
                <w:sz w:val="22"/>
              </w:rPr>
              <w:t xml:space="preserve">Clear differentiation needed to be made </w:t>
            </w:r>
            <w:r w:rsidR="00A866C2" w:rsidRPr="00A866C2">
              <w:rPr>
                <w:rFonts w:ascii="Calibri" w:hAnsi="Calibri"/>
                <w:sz w:val="22"/>
              </w:rPr>
              <w:t>between the corporate risk register and how divisional risks were being actioned.</w:t>
            </w:r>
          </w:p>
          <w:p w14:paraId="082194B9" w14:textId="6EF154CC" w:rsidR="00A866C2" w:rsidRPr="00870D88" w:rsidRDefault="00870D88" w:rsidP="001455CA">
            <w:pPr>
              <w:pStyle w:val="ListParagraph"/>
              <w:numPr>
                <w:ilvl w:val="0"/>
                <w:numId w:val="5"/>
              </w:numPr>
              <w:ind w:left="343"/>
              <w:jc w:val="both"/>
              <w:rPr>
                <w:rFonts w:ascii="Calibri" w:hAnsi="Calibri"/>
                <w:sz w:val="22"/>
              </w:rPr>
            </w:pPr>
            <w:r>
              <w:rPr>
                <w:rFonts w:ascii="Calibri" w:hAnsi="Calibri"/>
                <w:sz w:val="22"/>
              </w:rPr>
              <w:t>A</w:t>
            </w:r>
            <w:r w:rsidR="00A866C2" w:rsidRPr="00870D88">
              <w:rPr>
                <w:rFonts w:ascii="Calibri" w:hAnsi="Calibri"/>
                <w:sz w:val="22"/>
              </w:rPr>
              <w:t xml:space="preserve"> proposal had been made to devote time at the next Board Awayday to analyse </w:t>
            </w:r>
            <w:r>
              <w:rPr>
                <w:rFonts w:ascii="Calibri" w:hAnsi="Calibri"/>
                <w:sz w:val="22"/>
              </w:rPr>
              <w:t xml:space="preserve">proactively </w:t>
            </w:r>
            <w:r w:rsidR="00A866C2" w:rsidRPr="00870D88">
              <w:rPr>
                <w:rFonts w:ascii="Calibri" w:hAnsi="Calibri"/>
                <w:sz w:val="22"/>
              </w:rPr>
              <w:t>risk and its management (including cyber risk).</w:t>
            </w:r>
          </w:p>
          <w:p w14:paraId="12CFCC1E" w14:textId="77777777" w:rsidR="00A866C2" w:rsidRPr="00D03955" w:rsidRDefault="00A866C2" w:rsidP="00E0548D">
            <w:pPr>
              <w:spacing w:after="0"/>
              <w:ind w:left="343"/>
              <w:contextualSpacing/>
              <w:jc w:val="both"/>
              <w:rPr>
                <w:rFonts w:ascii="Calibri" w:hAnsi="Calibri"/>
                <w:i/>
                <w:iCs/>
                <w:sz w:val="22"/>
              </w:rPr>
            </w:pPr>
            <w:r w:rsidRPr="00D03955">
              <w:rPr>
                <w:rFonts w:ascii="Calibri" w:hAnsi="Calibri"/>
                <w:i/>
                <w:iCs/>
                <w:sz w:val="22"/>
              </w:rPr>
              <w:t>Equality and Diversity – (Reasonable Assurance)</w:t>
            </w:r>
          </w:p>
          <w:p w14:paraId="421DA04B" w14:textId="150D7D5E" w:rsidR="00870D88" w:rsidRPr="00870D88" w:rsidRDefault="00F52CBA" w:rsidP="00F52CBA">
            <w:pPr>
              <w:pStyle w:val="ListParagraph"/>
              <w:numPr>
                <w:ilvl w:val="0"/>
                <w:numId w:val="5"/>
              </w:numPr>
              <w:spacing w:after="0"/>
              <w:ind w:left="344" w:hanging="283"/>
              <w:jc w:val="both"/>
              <w:rPr>
                <w:rFonts w:ascii="Calibri" w:hAnsi="Calibri"/>
                <w:b/>
                <w:bCs/>
                <w:sz w:val="22"/>
              </w:rPr>
            </w:pPr>
            <w:r>
              <w:rPr>
                <w:rFonts w:ascii="Calibri" w:hAnsi="Calibri"/>
                <w:sz w:val="22"/>
              </w:rPr>
              <w:t>Documentation</w:t>
            </w:r>
            <w:r w:rsidR="00A866C2" w:rsidRPr="00870D88">
              <w:rPr>
                <w:rFonts w:ascii="Calibri" w:hAnsi="Calibri"/>
                <w:sz w:val="22"/>
              </w:rPr>
              <w:t xml:space="preserve"> and processes were now in place. However, the framework required further embedding for people to feel fully engaged.</w:t>
            </w:r>
          </w:p>
          <w:p w14:paraId="0DCF1F13" w14:textId="786655EC" w:rsidR="00A866C2" w:rsidRPr="00870D88" w:rsidRDefault="00870D88" w:rsidP="00F52CBA">
            <w:pPr>
              <w:pStyle w:val="ListParagraph"/>
              <w:numPr>
                <w:ilvl w:val="0"/>
                <w:numId w:val="5"/>
              </w:numPr>
              <w:ind w:left="344" w:hanging="283"/>
              <w:jc w:val="both"/>
              <w:rPr>
                <w:rFonts w:ascii="Calibri" w:hAnsi="Calibri"/>
                <w:sz w:val="22"/>
              </w:rPr>
            </w:pPr>
            <w:r w:rsidRPr="00870D88">
              <w:rPr>
                <w:rFonts w:ascii="Calibri" w:hAnsi="Calibri"/>
                <w:sz w:val="22"/>
              </w:rPr>
              <w:t>T</w:t>
            </w:r>
            <w:r w:rsidR="00A866C2" w:rsidRPr="00870D88">
              <w:rPr>
                <w:rFonts w:ascii="Calibri" w:hAnsi="Calibri"/>
                <w:sz w:val="22"/>
              </w:rPr>
              <w:t xml:space="preserve">he organisation appeared to have an appropriate level of diversity when measured numerically, but staff survey feedback indicated that internal career progression was a concern. </w:t>
            </w:r>
          </w:p>
          <w:p w14:paraId="312AEC8B" w14:textId="77777777" w:rsidR="00F52CBA" w:rsidRDefault="00F52CBA" w:rsidP="00F52CBA">
            <w:pPr>
              <w:pStyle w:val="ListParagraph"/>
              <w:ind w:left="344"/>
              <w:jc w:val="both"/>
              <w:rPr>
                <w:rFonts w:ascii="Calibri" w:hAnsi="Calibri"/>
                <w:sz w:val="22"/>
              </w:rPr>
            </w:pPr>
          </w:p>
          <w:p w14:paraId="0FDE75C0" w14:textId="418F4A87" w:rsidR="00A866C2" w:rsidRPr="00870D88" w:rsidRDefault="00A866C2" w:rsidP="00F52CBA">
            <w:pPr>
              <w:pStyle w:val="ListParagraph"/>
              <w:numPr>
                <w:ilvl w:val="0"/>
                <w:numId w:val="5"/>
              </w:numPr>
              <w:ind w:left="344" w:hanging="283"/>
              <w:jc w:val="both"/>
              <w:rPr>
                <w:rFonts w:ascii="Calibri" w:hAnsi="Calibri"/>
                <w:sz w:val="22"/>
              </w:rPr>
            </w:pPr>
            <w:r w:rsidRPr="00870D88">
              <w:rPr>
                <w:rFonts w:ascii="Calibri" w:hAnsi="Calibri"/>
                <w:sz w:val="22"/>
              </w:rPr>
              <w:t>The following reviews were still in progress and would conclude the 2022/23 plan and be reported to the next meeting:</w:t>
            </w:r>
            <w:r w:rsidR="00870D88" w:rsidRPr="00870D88">
              <w:rPr>
                <w:rFonts w:ascii="Calibri" w:hAnsi="Calibri"/>
                <w:sz w:val="22"/>
              </w:rPr>
              <w:t xml:space="preserve"> </w:t>
            </w:r>
            <w:r w:rsidRPr="00870D88">
              <w:rPr>
                <w:rFonts w:ascii="Calibri" w:hAnsi="Calibri"/>
                <w:sz w:val="22"/>
              </w:rPr>
              <w:t>Estates/Capital Projects - fieldwork nearing completion</w:t>
            </w:r>
            <w:r w:rsidR="00870D88" w:rsidRPr="00870D88">
              <w:rPr>
                <w:rFonts w:ascii="Calibri" w:hAnsi="Calibri"/>
                <w:sz w:val="22"/>
              </w:rPr>
              <w:t xml:space="preserve"> -</w:t>
            </w:r>
            <w:r w:rsidRPr="00870D88">
              <w:rPr>
                <w:rFonts w:ascii="Calibri" w:hAnsi="Calibri"/>
                <w:sz w:val="22"/>
              </w:rPr>
              <w:t xml:space="preserve"> Medical Job planning - fieldwork nearing completion</w:t>
            </w:r>
            <w:r w:rsidR="00870D88" w:rsidRPr="00870D88">
              <w:rPr>
                <w:rFonts w:ascii="Calibri" w:hAnsi="Calibri"/>
                <w:sz w:val="22"/>
              </w:rPr>
              <w:t xml:space="preserve"> -</w:t>
            </w:r>
            <w:r w:rsidRPr="00870D88">
              <w:rPr>
                <w:rFonts w:ascii="Calibri" w:hAnsi="Calibri"/>
                <w:sz w:val="22"/>
              </w:rPr>
              <w:t xml:space="preserve"> Transformational Plans/CIPs – early fieldwork stage</w:t>
            </w:r>
            <w:r w:rsidR="00A82954">
              <w:rPr>
                <w:rFonts w:ascii="Calibri" w:hAnsi="Calibri"/>
                <w:sz w:val="22"/>
              </w:rPr>
              <w:t>.</w:t>
            </w:r>
          </w:p>
          <w:p w14:paraId="5973E007" w14:textId="77777777" w:rsidR="00BF2224" w:rsidRPr="00BF2224" w:rsidRDefault="00BF2224" w:rsidP="00BF2224">
            <w:pPr>
              <w:ind w:left="0" w:right="176"/>
              <w:jc w:val="both"/>
              <w:rPr>
                <w:rFonts w:ascii="Calibri" w:hAnsi="Calibri"/>
                <w:b/>
                <w:i/>
                <w:iCs/>
                <w:sz w:val="22"/>
                <w:u w:val="single"/>
              </w:rPr>
            </w:pPr>
            <w:r w:rsidRPr="00BF2224">
              <w:rPr>
                <w:rFonts w:ascii="Calibri" w:hAnsi="Calibri"/>
                <w:b/>
                <w:i/>
                <w:iCs/>
                <w:sz w:val="22"/>
                <w:u w:val="single"/>
              </w:rPr>
              <w:t>2022/23 Draft Head of Internal Audit Opinion</w:t>
            </w:r>
          </w:p>
          <w:p w14:paraId="5E69DF59" w14:textId="07DAD807" w:rsidR="00BF2224" w:rsidRDefault="00BF2224" w:rsidP="001455CA">
            <w:pPr>
              <w:pStyle w:val="ListParagraph"/>
              <w:numPr>
                <w:ilvl w:val="0"/>
                <w:numId w:val="6"/>
              </w:numPr>
              <w:ind w:right="176"/>
              <w:jc w:val="both"/>
              <w:rPr>
                <w:rFonts w:ascii="Calibri" w:hAnsi="Calibri"/>
                <w:bCs/>
                <w:sz w:val="22"/>
              </w:rPr>
            </w:pPr>
            <w:r w:rsidRPr="00BF2224">
              <w:rPr>
                <w:rFonts w:ascii="Calibri" w:hAnsi="Calibri"/>
                <w:bCs/>
                <w:sz w:val="22"/>
              </w:rPr>
              <w:t xml:space="preserve">In accordance with Public Sector Internal Audit Standards, the head of internal audit was required to provide an annual opinion, based on and limited to the work performed, on the overall adequacy and effectiveness of the organisation’s risk management, control and governance processes. The opinion contributed to the Moorfields’ annual governance statement. </w:t>
            </w:r>
          </w:p>
          <w:p w14:paraId="719E3638" w14:textId="77777777" w:rsidR="00790E63" w:rsidRDefault="00790E63" w:rsidP="00790E63">
            <w:pPr>
              <w:pStyle w:val="ListParagraph"/>
              <w:ind w:right="176"/>
              <w:jc w:val="both"/>
              <w:rPr>
                <w:rFonts w:ascii="Calibri" w:hAnsi="Calibri"/>
                <w:bCs/>
                <w:sz w:val="22"/>
              </w:rPr>
            </w:pPr>
          </w:p>
          <w:p w14:paraId="04212468" w14:textId="67C20385" w:rsidR="00BF2224" w:rsidRDefault="00BF2224" w:rsidP="001455CA">
            <w:pPr>
              <w:pStyle w:val="ListParagraph"/>
              <w:numPr>
                <w:ilvl w:val="0"/>
                <w:numId w:val="6"/>
              </w:numPr>
              <w:ind w:right="176"/>
              <w:jc w:val="both"/>
              <w:rPr>
                <w:rFonts w:ascii="Calibri" w:hAnsi="Calibri"/>
                <w:bCs/>
                <w:sz w:val="22"/>
              </w:rPr>
            </w:pPr>
            <w:r w:rsidRPr="00BF2224">
              <w:rPr>
                <w:rFonts w:ascii="Calibri" w:hAnsi="Calibri"/>
                <w:bCs/>
                <w:sz w:val="22"/>
              </w:rPr>
              <w:t xml:space="preserve">A positive </w:t>
            </w:r>
            <w:r w:rsidR="00790E63">
              <w:rPr>
                <w:rFonts w:ascii="Calibri" w:hAnsi="Calibri"/>
                <w:bCs/>
                <w:sz w:val="22"/>
              </w:rPr>
              <w:t>draft a</w:t>
            </w:r>
            <w:r w:rsidRPr="00BF2224">
              <w:rPr>
                <w:rFonts w:ascii="Calibri" w:hAnsi="Calibri"/>
                <w:bCs/>
                <w:sz w:val="22"/>
              </w:rPr>
              <w:t xml:space="preserve">nnual internal audit opinion for 2022/23 as at 28 March 2023 </w:t>
            </w:r>
            <w:r w:rsidR="00F52CBA">
              <w:rPr>
                <w:rFonts w:ascii="Calibri" w:hAnsi="Calibri"/>
                <w:bCs/>
                <w:sz w:val="22"/>
              </w:rPr>
              <w:t>was presented.</w:t>
            </w:r>
          </w:p>
          <w:p w14:paraId="1395EEF5" w14:textId="1B8F50F7" w:rsidR="00F57574" w:rsidRPr="00BF2224" w:rsidRDefault="00BF2224" w:rsidP="001455CA">
            <w:pPr>
              <w:pStyle w:val="ListParagraph"/>
              <w:numPr>
                <w:ilvl w:val="0"/>
                <w:numId w:val="6"/>
              </w:numPr>
              <w:ind w:right="176"/>
              <w:jc w:val="both"/>
              <w:rPr>
                <w:rFonts w:ascii="Calibri" w:hAnsi="Calibri"/>
                <w:bCs/>
                <w:sz w:val="22"/>
              </w:rPr>
            </w:pPr>
            <w:r w:rsidRPr="00BF2224">
              <w:rPr>
                <w:rFonts w:ascii="Calibri" w:hAnsi="Calibri"/>
                <w:bCs/>
                <w:sz w:val="22"/>
              </w:rPr>
              <w:t>The final opinion would be set out in the annual internal audit report after year-end.</w:t>
            </w:r>
          </w:p>
          <w:p w14:paraId="1F912431" w14:textId="77777777" w:rsidR="006D79C5" w:rsidRPr="006D79C5" w:rsidRDefault="006D79C5" w:rsidP="006D79C5">
            <w:pPr>
              <w:ind w:left="0" w:right="176"/>
              <w:jc w:val="both"/>
              <w:rPr>
                <w:rFonts w:ascii="Calibri" w:hAnsi="Calibri"/>
                <w:bCs/>
                <w:i/>
                <w:iCs/>
                <w:sz w:val="22"/>
                <w:u w:val="single"/>
              </w:rPr>
            </w:pPr>
            <w:r w:rsidRPr="006D79C5">
              <w:rPr>
                <w:rFonts w:ascii="Calibri" w:hAnsi="Calibri"/>
                <w:b/>
                <w:i/>
                <w:iCs/>
                <w:sz w:val="22"/>
                <w:u w:val="single"/>
              </w:rPr>
              <w:t xml:space="preserve">2023/24 Draft Internal Audit Plan </w:t>
            </w:r>
          </w:p>
          <w:p w14:paraId="048EC59E" w14:textId="77777777" w:rsidR="006D79C5" w:rsidRDefault="006D79C5" w:rsidP="001455CA">
            <w:pPr>
              <w:pStyle w:val="ListParagraph"/>
              <w:numPr>
                <w:ilvl w:val="0"/>
                <w:numId w:val="7"/>
              </w:numPr>
              <w:ind w:right="176"/>
              <w:jc w:val="both"/>
              <w:rPr>
                <w:rFonts w:ascii="Calibri" w:hAnsi="Calibri"/>
                <w:bCs/>
                <w:sz w:val="22"/>
              </w:rPr>
            </w:pPr>
            <w:r w:rsidRPr="006D79C5">
              <w:rPr>
                <w:rFonts w:ascii="Calibri" w:hAnsi="Calibri"/>
                <w:bCs/>
                <w:sz w:val="22"/>
              </w:rPr>
              <w:t>The 2023/24 internal audit priorities were based on: analysing corporate objectives, risk profile, assurance framework, rolling internal audit strategy, as well as other factors affecting Moorfields in the year ahead, including changes within the sector.</w:t>
            </w:r>
          </w:p>
          <w:p w14:paraId="05978E23" w14:textId="66D7EC3D" w:rsidR="006D79C5" w:rsidRPr="006D79C5" w:rsidRDefault="006D79C5" w:rsidP="001455CA">
            <w:pPr>
              <w:pStyle w:val="ListParagraph"/>
              <w:numPr>
                <w:ilvl w:val="0"/>
                <w:numId w:val="7"/>
              </w:numPr>
              <w:ind w:right="176"/>
              <w:jc w:val="both"/>
              <w:rPr>
                <w:rFonts w:ascii="Calibri" w:hAnsi="Calibri"/>
                <w:bCs/>
                <w:sz w:val="22"/>
              </w:rPr>
            </w:pPr>
            <w:r w:rsidRPr="006D79C5">
              <w:rPr>
                <w:rFonts w:ascii="Calibri" w:hAnsi="Calibri"/>
                <w:bCs/>
                <w:sz w:val="22"/>
              </w:rPr>
              <w:t xml:space="preserve">The detailed internal audit plan for 2023/24 was </w:t>
            </w:r>
            <w:r w:rsidRPr="006D79C5">
              <w:rPr>
                <w:rFonts w:ascii="Calibri" w:hAnsi="Calibri"/>
                <w:b/>
                <w:sz w:val="22"/>
              </w:rPr>
              <w:t>approved</w:t>
            </w:r>
          </w:p>
          <w:p w14:paraId="306767C6" w14:textId="77777777" w:rsidR="00816363" w:rsidRPr="00816363" w:rsidRDefault="00816363" w:rsidP="00816363">
            <w:pPr>
              <w:ind w:left="0" w:right="176"/>
              <w:jc w:val="both"/>
              <w:rPr>
                <w:rFonts w:ascii="Calibri" w:hAnsi="Calibri"/>
                <w:b/>
                <w:bCs/>
                <w:i/>
                <w:iCs/>
                <w:sz w:val="22"/>
                <w:u w:val="single"/>
              </w:rPr>
            </w:pPr>
            <w:r w:rsidRPr="00816363">
              <w:rPr>
                <w:rFonts w:ascii="Calibri" w:hAnsi="Calibri"/>
                <w:b/>
                <w:bCs/>
                <w:i/>
                <w:iCs/>
                <w:sz w:val="22"/>
                <w:u w:val="single"/>
              </w:rPr>
              <w:t>External audit – progress report and sector update</w:t>
            </w:r>
          </w:p>
          <w:p w14:paraId="1BCD88AD" w14:textId="77777777" w:rsidR="00127E96" w:rsidRDefault="00816363" w:rsidP="001455CA">
            <w:pPr>
              <w:pStyle w:val="ListParagraph"/>
              <w:numPr>
                <w:ilvl w:val="0"/>
                <w:numId w:val="8"/>
              </w:numPr>
              <w:ind w:left="768" w:right="176"/>
              <w:jc w:val="both"/>
              <w:rPr>
                <w:rFonts w:ascii="Calibri" w:hAnsi="Calibri"/>
                <w:sz w:val="22"/>
              </w:rPr>
            </w:pPr>
            <w:bookmarkStart w:id="2" w:name="Slide_5:_Introduction_and_headlines"/>
            <w:bookmarkEnd w:id="2"/>
            <w:r w:rsidRPr="00816363">
              <w:rPr>
                <w:rFonts w:ascii="Calibri" w:hAnsi="Calibri"/>
                <w:sz w:val="22"/>
              </w:rPr>
              <w:t>The interim audit was underway and due to complete by end of April. The audit findings report, annual report and audit opinion would be brought to meeting of the committee on 15 June 2023.</w:t>
            </w:r>
            <w:bookmarkStart w:id="3" w:name="Slide_4:_Key_matters_"/>
            <w:bookmarkEnd w:id="3"/>
          </w:p>
          <w:p w14:paraId="24AF52B1" w14:textId="5F214E81" w:rsidR="00816363" w:rsidRPr="00127E96" w:rsidRDefault="00816363" w:rsidP="001455CA">
            <w:pPr>
              <w:pStyle w:val="ListParagraph"/>
              <w:numPr>
                <w:ilvl w:val="0"/>
                <w:numId w:val="8"/>
              </w:numPr>
              <w:ind w:left="768" w:right="176"/>
              <w:jc w:val="both"/>
              <w:rPr>
                <w:rFonts w:ascii="Calibri" w:hAnsi="Calibri"/>
                <w:sz w:val="22"/>
              </w:rPr>
            </w:pPr>
            <w:r w:rsidRPr="00127E96">
              <w:rPr>
                <w:rFonts w:ascii="Calibri" w:hAnsi="Calibri" w:cs="Calibri"/>
                <w:sz w:val="22"/>
              </w:rPr>
              <w:t xml:space="preserve">The external audit progress report and sector update were </w:t>
            </w:r>
            <w:r w:rsidRPr="00127E96">
              <w:rPr>
                <w:rFonts w:ascii="Calibri" w:hAnsi="Calibri" w:cs="Calibri"/>
                <w:b/>
                <w:bCs/>
                <w:sz w:val="22"/>
              </w:rPr>
              <w:t>noted</w:t>
            </w:r>
            <w:r w:rsidRPr="00127E96">
              <w:rPr>
                <w:rFonts w:ascii="Calibri" w:hAnsi="Calibri" w:cs="Calibri"/>
                <w:sz w:val="22"/>
              </w:rPr>
              <w:t>.</w:t>
            </w:r>
          </w:p>
          <w:p w14:paraId="01132762" w14:textId="77777777" w:rsidR="008D0BBE" w:rsidRPr="008D0BBE" w:rsidRDefault="008D0BBE" w:rsidP="008D0BBE">
            <w:pPr>
              <w:ind w:left="0" w:right="176"/>
              <w:jc w:val="both"/>
              <w:rPr>
                <w:rFonts w:ascii="Calibri" w:hAnsi="Calibri"/>
                <w:b/>
                <w:bCs/>
                <w:i/>
                <w:iCs/>
                <w:sz w:val="22"/>
                <w:u w:val="single"/>
              </w:rPr>
            </w:pPr>
            <w:r w:rsidRPr="008D0BBE">
              <w:rPr>
                <w:rFonts w:ascii="Calibri" w:hAnsi="Calibri"/>
                <w:b/>
                <w:bCs/>
                <w:i/>
                <w:iCs/>
                <w:sz w:val="22"/>
                <w:u w:val="single"/>
              </w:rPr>
              <w:t>Local Counter Fraud – progress report</w:t>
            </w:r>
          </w:p>
          <w:p w14:paraId="3789DC8C" w14:textId="0DC9AEE2" w:rsidR="008D0BBE" w:rsidRDefault="008D0BBE" w:rsidP="001455CA">
            <w:pPr>
              <w:pStyle w:val="ListParagraph"/>
              <w:numPr>
                <w:ilvl w:val="0"/>
                <w:numId w:val="9"/>
              </w:numPr>
              <w:jc w:val="both"/>
              <w:rPr>
                <w:rFonts w:ascii="Calibri" w:hAnsi="Calibri"/>
                <w:sz w:val="22"/>
              </w:rPr>
            </w:pPr>
            <w:r>
              <w:rPr>
                <w:rFonts w:ascii="Calibri" w:hAnsi="Calibri"/>
                <w:sz w:val="22"/>
              </w:rPr>
              <w:t>T</w:t>
            </w:r>
            <w:r w:rsidRPr="008D0BBE">
              <w:rPr>
                <w:rFonts w:ascii="Calibri" w:hAnsi="Calibri"/>
                <w:sz w:val="22"/>
              </w:rPr>
              <w:t xml:space="preserve">he progress report provided details of the status of the referrals that had been received since 1 April 2022 including </w:t>
            </w:r>
            <w:r w:rsidR="00D5613B">
              <w:rPr>
                <w:rFonts w:ascii="Calibri" w:hAnsi="Calibri"/>
                <w:sz w:val="22"/>
              </w:rPr>
              <w:t>those</w:t>
            </w:r>
            <w:r w:rsidRPr="008D0BBE">
              <w:rPr>
                <w:rFonts w:ascii="Calibri" w:hAnsi="Calibri"/>
                <w:sz w:val="22"/>
              </w:rPr>
              <w:t xml:space="preserve"> since the previous meeting.</w:t>
            </w:r>
          </w:p>
          <w:p w14:paraId="3ED3AC28" w14:textId="74F147F8" w:rsidR="008D0BBE" w:rsidRDefault="008D0BBE" w:rsidP="001455CA">
            <w:pPr>
              <w:pStyle w:val="ListParagraph"/>
              <w:numPr>
                <w:ilvl w:val="0"/>
                <w:numId w:val="9"/>
              </w:numPr>
              <w:jc w:val="both"/>
              <w:rPr>
                <w:rFonts w:ascii="Calibri" w:hAnsi="Calibri"/>
                <w:sz w:val="22"/>
              </w:rPr>
            </w:pPr>
            <w:r w:rsidRPr="008D0BBE">
              <w:rPr>
                <w:rFonts w:ascii="Calibri" w:hAnsi="Calibri"/>
                <w:sz w:val="22"/>
              </w:rPr>
              <w:t xml:space="preserve">A number of alerts had been issued during the reporting period. This included all NHSCFA Fraud Prevention Notices (FPNs) issued. All relevant alerts had been shared with the appropriate Trust staff and the Audit &amp; Risk Committee chair. </w:t>
            </w:r>
          </w:p>
          <w:p w14:paraId="1E778F91" w14:textId="108E515A" w:rsidR="008D0BBE" w:rsidRPr="008D0BBE" w:rsidRDefault="008D0BBE" w:rsidP="001455CA">
            <w:pPr>
              <w:pStyle w:val="ListParagraph"/>
              <w:numPr>
                <w:ilvl w:val="0"/>
                <w:numId w:val="9"/>
              </w:numPr>
              <w:jc w:val="both"/>
              <w:rPr>
                <w:rFonts w:ascii="Calibri" w:hAnsi="Calibri"/>
                <w:sz w:val="22"/>
              </w:rPr>
            </w:pPr>
            <w:r w:rsidRPr="008D0BBE">
              <w:rPr>
                <w:rFonts w:ascii="Calibri" w:hAnsi="Calibri"/>
                <w:sz w:val="22"/>
              </w:rPr>
              <w:t xml:space="preserve">The Local Counter Fraud progress report was </w:t>
            </w:r>
            <w:r w:rsidRPr="008D0BBE">
              <w:rPr>
                <w:rFonts w:ascii="Calibri" w:hAnsi="Calibri"/>
                <w:b/>
                <w:bCs/>
                <w:sz w:val="22"/>
              </w:rPr>
              <w:t>noted</w:t>
            </w:r>
            <w:r w:rsidRPr="008D0BBE">
              <w:rPr>
                <w:rFonts w:ascii="Calibri" w:hAnsi="Calibri"/>
                <w:sz w:val="22"/>
              </w:rPr>
              <w:t>.</w:t>
            </w:r>
          </w:p>
          <w:p w14:paraId="08F3C7C8" w14:textId="77777777" w:rsidR="006E4B36" w:rsidRPr="006E4B36" w:rsidRDefault="006E4B36" w:rsidP="006E4B36">
            <w:pPr>
              <w:ind w:left="0" w:right="176"/>
              <w:jc w:val="both"/>
              <w:rPr>
                <w:rFonts w:ascii="Calibri" w:hAnsi="Calibri"/>
                <w:b/>
                <w:bCs/>
                <w:i/>
                <w:iCs/>
                <w:sz w:val="22"/>
                <w:u w:val="single"/>
              </w:rPr>
            </w:pPr>
            <w:r w:rsidRPr="006E4B36">
              <w:rPr>
                <w:rFonts w:ascii="Calibri" w:hAnsi="Calibri"/>
                <w:b/>
                <w:bCs/>
                <w:i/>
                <w:iCs/>
                <w:sz w:val="22"/>
                <w:u w:val="single"/>
              </w:rPr>
              <w:t>Counter Fraud - draft annual report</w:t>
            </w:r>
          </w:p>
          <w:p w14:paraId="1F7FCF5D" w14:textId="77777777" w:rsidR="006E4B36" w:rsidRDefault="006E4B36" w:rsidP="001455CA">
            <w:pPr>
              <w:pStyle w:val="ListParagraph"/>
              <w:numPr>
                <w:ilvl w:val="0"/>
                <w:numId w:val="10"/>
              </w:numPr>
              <w:ind w:right="176"/>
              <w:jc w:val="both"/>
              <w:rPr>
                <w:rFonts w:ascii="Calibri" w:hAnsi="Calibri"/>
                <w:sz w:val="22"/>
              </w:rPr>
            </w:pPr>
            <w:r>
              <w:rPr>
                <w:rFonts w:ascii="Calibri" w:hAnsi="Calibri"/>
                <w:sz w:val="22"/>
              </w:rPr>
              <w:t>T</w:t>
            </w:r>
            <w:r w:rsidRPr="006E4B36">
              <w:rPr>
                <w:rFonts w:ascii="Calibri" w:hAnsi="Calibri"/>
                <w:sz w:val="22"/>
              </w:rPr>
              <w:t xml:space="preserve">he draft annual report provided a summary of the fraud prevention, detection and investigation work undertaken by the local counter fraud team. The report showed the work that had been completed in 2022/23 against the agreed work plan. This was in line with the NHS requirements to meet Government Functional Standard 013: Counter Fraud, and in alignment with the NHS Counter Fraud Authority’s (the NHSCFA) counter fraud, bribery and corruption strategy. </w:t>
            </w:r>
          </w:p>
          <w:p w14:paraId="2EA4E877" w14:textId="77777777" w:rsidR="006E4B36" w:rsidRDefault="006E4B36" w:rsidP="001455CA">
            <w:pPr>
              <w:pStyle w:val="ListParagraph"/>
              <w:numPr>
                <w:ilvl w:val="0"/>
                <w:numId w:val="10"/>
              </w:numPr>
              <w:ind w:right="176"/>
              <w:jc w:val="both"/>
              <w:rPr>
                <w:rFonts w:ascii="Calibri" w:hAnsi="Calibri"/>
                <w:sz w:val="22"/>
              </w:rPr>
            </w:pPr>
            <w:r w:rsidRPr="006E4B36">
              <w:rPr>
                <w:rFonts w:ascii="Calibri" w:hAnsi="Calibri"/>
                <w:sz w:val="22"/>
              </w:rPr>
              <w:t>The committee was satisfied that there was an effective fraud risk management programme in place to identify and manage the risk of fraud.</w:t>
            </w:r>
          </w:p>
          <w:p w14:paraId="6150823D" w14:textId="427C1E58" w:rsidR="006E4B36" w:rsidRPr="006E4B36" w:rsidRDefault="006E4B36" w:rsidP="001455CA">
            <w:pPr>
              <w:pStyle w:val="ListParagraph"/>
              <w:numPr>
                <w:ilvl w:val="0"/>
                <w:numId w:val="10"/>
              </w:numPr>
              <w:ind w:right="176"/>
              <w:jc w:val="both"/>
              <w:rPr>
                <w:rFonts w:ascii="Calibri" w:hAnsi="Calibri"/>
                <w:sz w:val="22"/>
              </w:rPr>
            </w:pPr>
            <w:r w:rsidRPr="006E4B36">
              <w:rPr>
                <w:rFonts w:ascii="Calibri" w:hAnsi="Calibri"/>
                <w:sz w:val="22"/>
              </w:rPr>
              <w:t xml:space="preserve">The counter fraud draft annual report was </w:t>
            </w:r>
            <w:r w:rsidRPr="006E4B36">
              <w:rPr>
                <w:rFonts w:ascii="Calibri" w:hAnsi="Calibri"/>
                <w:b/>
                <w:bCs/>
                <w:sz w:val="22"/>
              </w:rPr>
              <w:t>noted</w:t>
            </w:r>
            <w:r w:rsidRPr="006E4B36">
              <w:rPr>
                <w:rFonts w:ascii="Calibri" w:hAnsi="Calibri"/>
                <w:sz w:val="22"/>
              </w:rPr>
              <w:t xml:space="preserve">. </w:t>
            </w:r>
          </w:p>
          <w:p w14:paraId="3FBF7CDE" w14:textId="77777777" w:rsidR="007E01A1" w:rsidRPr="007E01A1" w:rsidRDefault="007E01A1" w:rsidP="007E01A1">
            <w:pPr>
              <w:ind w:left="0" w:right="176"/>
              <w:jc w:val="both"/>
              <w:rPr>
                <w:rFonts w:ascii="Calibri" w:hAnsi="Calibri"/>
                <w:b/>
                <w:bCs/>
                <w:i/>
                <w:iCs/>
                <w:sz w:val="22"/>
                <w:u w:val="single"/>
              </w:rPr>
            </w:pPr>
            <w:r w:rsidRPr="007E01A1">
              <w:rPr>
                <w:rFonts w:ascii="Calibri" w:hAnsi="Calibri"/>
                <w:b/>
                <w:bCs/>
                <w:i/>
                <w:iCs/>
                <w:sz w:val="22"/>
                <w:u w:val="single"/>
              </w:rPr>
              <w:t xml:space="preserve">Board assurance framework and corporate risk register </w:t>
            </w:r>
          </w:p>
          <w:p w14:paraId="002B6603" w14:textId="49F49E19" w:rsidR="007E01A1" w:rsidRDefault="007E01A1" w:rsidP="001455CA">
            <w:pPr>
              <w:pStyle w:val="ListParagraph"/>
              <w:numPr>
                <w:ilvl w:val="0"/>
                <w:numId w:val="11"/>
              </w:numPr>
              <w:jc w:val="both"/>
              <w:rPr>
                <w:rFonts w:ascii="Calibri" w:hAnsi="Calibri"/>
                <w:sz w:val="22"/>
              </w:rPr>
            </w:pPr>
            <w:r w:rsidRPr="007E01A1">
              <w:rPr>
                <w:rFonts w:ascii="Calibri" w:hAnsi="Calibri"/>
                <w:sz w:val="22"/>
              </w:rPr>
              <w:t xml:space="preserve">A fully updated board assurance framework and corporate risk register were presented for Q4 2022/23. </w:t>
            </w:r>
          </w:p>
          <w:p w14:paraId="77A7D608" w14:textId="77777777" w:rsidR="007E01A1" w:rsidRDefault="007E01A1" w:rsidP="001455CA">
            <w:pPr>
              <w:pStyle w:val="ListParagraph"/>
              <w:numPr>
                <w:ilvl w:val="0"/>
                <w:numId w:val="11"/>
              </w:numPr>
              <w:jc w:val="both"/>
              <w:rPr>
                <w:rFonts w:ascii="Calibri" w:hAnsi="Calibri"/>
                <w:sz w:val="22"/>
              </w:rPr>
            </w:pPr>
            <w:r w:rsidRPr="007E01A1">
              <w:rPr>
                <w:rFonts w:ascii="Calibri" w:hAnsi="Calibri"/>
                <w:sz w:val="22"/>
              </w:rPr>
              <w:t xml:space="preserve">All risks had been reviewed and updated by executive directors. There were no risks removed or added to the BAF for Q4 and there were no changes to risk scores. It was noted that the impact of Covid-19 remained on the BAF at a risk score of 9 following an outbreak of Covid that had occurred at St Ann’s Hospital on 6 March 2023. It was anticipated that for Q1 FY24 this risk would be reassigned as </w:t>
            </w:r>
            <w:r w:rsidRPr="007E01A1">
              <w:rPr>
                <w:rFonts w:ascii="Calibri" w:hAnsi="Calibri"/>
                <w:i/>
                <w:iCs/>
                <w:sz w:val="22"/>
              </w:rPr>
              <w:t>infectious disease</w:t>
            </w:r>
            <w:r w:rsidRPr="007E01A1">
              <w:rPr>
                <w:rFonts w:ascii="Calibri" w:hAnsi="Calibri"/>
                <w:sz w:val="22"/>
              </w:rPr>
              <w:t xml:space="preserve"> and be owned by the Chief Nurse.</w:t>
            </w:r>
          </w:p>
          <w:p w14:paraId="46CED554" w14:textId="77777777" w:rsidR="00790E63" w:rsidRDefault="00D5613B" w:rsidP="001455CA">
            <w:pPr>
              <w:pStyle w:val="ListParagraph"/>
              <w:numPr>
                <w:ilvl w:val="0"/>
                <w:numId w:val="11"/>
              </w:numPr>
              <w:jc w:val="both"/>
              <w:rPr>
                <w:rFonts w:ascii="Calibri" w:hAnsi="Calibri"/>
                <w:sz w:val="22"/>
              </w:rPr>
            </w:pPr>
            <w:r>
              <w:rPr>
                <w:rFonts w:ascii="Calibri" w:hAnsi="Calibri"/>
                <w:sz w:val="22"/>
              </w:rPr>
              <w:t>An</w:t>
            </w:r>
            <w:r w:rsidR="007E01A1" w:rsidRPr="007E01A1">
              <w:rPr>
                <w:rFonts w:ascii="Calibri" w:hAnsi="Calibri"/>
                <w:sz w:val="22"/>
              </w:rPr>
              <w:t xml:space="preserve"> overall view of current risks was proposed for the Board strategy day on 22 June 2023.  </w:t>
            </w:r>
          </w:p>
          <w:p w14:paraId="1207ABF5" w14:textId="190DF077" w:rsidR="007E01A1" w:rsidRDefault="007E01A1" w:rsidP="001455CA">
            <w:pPr>
              <w:pStyle w:val="ListParagraph"/>
              <w:numPr>
                <w:ilvl w:val="0"/>
                <w:numId w:val="11"/>
              </w:numPr>
              <w:jc w:val="both"/>
              <w:rPr>
                <w:rFonts w:ascii="Calibri" w:hAnsi="Calibri"/>
                <w:sz w:val="22"/>
              </w:rPr>
            </w:pPr>
            <w:r w:rsidRPr="007E01A1">
              <w:rPr>
                <w:rFonts w:ascii="Calibri" w:hAnsi="Calibri"/>
                <w:sz w:val="22"/>
              </w:rPr>
              <w:t xml:space="preserve">The BAF, CRR and supporting report were </w:t>
            </w:r>
            <w:r w:rsidRPr="007E01A1">
              <w:rPr>
                <w:rFonts w:ascii="Calibri" w:hAnsi="Calibri"/>
                <w:b/>
                <w:bCs/>
                <w:sz w:val="22"/>
              </w:rPr>
              <w:t>noted</w:t>
            </w:r>
            <w:r w:rsidRPr="007E01A1">
              <w:rPr>
                <w:rFonts w:ascii="Calibri" w:hAnsi="Calibri"/>
                <w:sz w:val="22"/>
              </w:rPr>
              <w:t>.</w:t>
            </w:r>
          </w:p>
          <w:p w14:paraId="13E422E7" w14:textId="77777777" w:rsidR="00E43BC7" w:rsidRPr="00E43BC7" w:rsidRDefault="00E43BC7" w:rsidP="00E43BC7">
            <w:pPr>
              <w:ind w:left="0" w:right="176"/>
              <w:jc w:val="both"/>
              <w:rPr>
                <w:rFonts w:ascii="Calibri" w:hAnsi="Calibri"/>
                <w:b/>
                <w:bCs/>
                <w:i/>
                <w:iCs/>
                <w:sz w:val="22"/>
                <w:u w:val="single"/>
              </w:rPr>
            </w:pPr>
            <w:r w:rsidRPr="00E43BC7">
              <w:rPr>
                <w:rFonts w:ascii="Calibri" w:hAnsi="Calibri"/>
                <w:b/>
                <w:bCs/>
                <w:i/>
                <w:iCs/>
                <w:sz w:val="22"/>
                <w:u w:val="single"/>
              </w:rPr>
              <w:t>Waivers to standing financial instructions</w:t>
            </w:r>
          </w:p>
          <w:p w14:paraId="66C38101" w14:textId="77777777" w:rsidR="00E43BC7" w:rsidRDefault="00E43BC7" w:rsidP="001455CA">
            <w:pPr>
              <w:pStyle w:val="ListParagraph"/>
              <w:numPr>
                <w:ilvl w:val="0"/>
                <w:numId w:val="12"/>
              </w:numPr>
              <w:jc w:val="both"/>
              <w:rPr>
                <w:rFonts w:ascii="Calibri" w:hAnsi="Calibri"/>
                <w:sz w:val="22"/>
              </w:rPr>
            </w:pPr>
            <w:r w:rsidRPr="00E43BC7">
              <w:rPr>
                <w:rFonts w:ascii="Calibri" w:hAnsi="Calibri"/>
                <w:sz w:val="22"/>
              </w:rPr>
              <w:t xml:space="preserve">The report provided an update on the use of SFI tender waivers for the period April 2022 to February 2023. The following had been set out in the report: In-year waivers </w:t>
            </w:r>
            <w:r w:rsidRPr="00E43BC7">
              <w:rPr>
                <w:rFonts w:ascii="Calibri" w:hAnsi="Calibri"/>
                <w:sz w:val="22"/>
              </w:rPr>
              <w:lastRenderedPageBreak/>
              <w:t>by department, volume and value; Historical waiver trends over 12 months; and Details of the waivers raised since last reported to the committee.</w:t>
            </w:r>
          </w:p>
          <w:p w14:paraId="67C9F0B6" w14:textId="6DCD651A" w:rsidR="00E43BC7" w:rsidRDefault="00E43BC7" w:rsidP="001455CA">
            <w:pPr>
              <w:pStyle w:val="ListParagraph"/>
              <w:numPr>
                <w:ilvl w:val="0"/>
                <w:numId w:val="12"/>
              </w:numPr>
              <w:jc w:val="both"/>
              <w:rPr>
                <w:rFonts w:ascii="Calibri" w:hAnsi="Calibri"/>
                <w:sz w:val="22"/>
              </w:rPr>
            </w:pPr>
            <w:r w:rsidRPr="00E43BC7">
              <w:rPr>
                <w:rFonts w:ascii="Calibri" w:hAnsi="Calibri"/>
                <w:sz w:val="22"/>
              </w:rPr>
              <w:t xml:space="preserve">The report on waivers to the standing financial instructions was </w:t>
            </w:r>
            <w:r w:rsidRPr="00E43BC7">
              <w:rPr>
                <w:rFonts w:ascii="Calibri" w:hAnsi="Calibri"/>
                <w:b/>
                <w:bCs/>
                <w:sz w:val="22"/>
              </w:rPr>
              <w:t>noted</w:t>
            </w:r>
            <w:r w:rsidRPr="00E43BC7">
              <w:rPr>
                <w:rFonts w:ascii="Calibri" w:hAnsi="Calibri"/>
                <w:sz w:val="22"/>
              </w:rPr>
              <w:t>.</w:t>
            </w:r>
          </w:p>
          <w:p w14:paraId="7BAC9718" w14:textId="77777777" w:rsidR="00950377" w:rsidRPr="00E43BC7" w:rsidRDefault="00950377" w:rsidP="00950377">
            <w:pPr>
              <w:pStyle w:val="ListParagraph"/>
              <w:jc w:val="both"/>
              <w:rPr>
                <w:rFonts w:ascii="Calibri" w:hAnsi="Calibri"/>
                <w:sz w:val="22"/>
              </w:rPr>
            </w:pPr>
          </w:p>
          <w:p w14:paraId="2C99C9D6" w14:textId="77777777" w:rsidR="00494E60" w:rsidRDefault="00494E60" w:rsidP="00494E60">
            <w:pPr>
              <w:ind w:left="0" w:right="176"/>
              <w:jc w:val="both"/>
              <w:rPr>
                <w:rFonts w:ascii="Calibri" w:hAnsi="Calibri"/>
                <w:b/>
                <w:bCs/>
                <w:i/>
                <w:iCs/>
                <w:sz w:val="22"/>
                <w:u w:val="single"/>
              </w:rPr>
            </w:pPr>
            <w:r w:rsidRPr="00494E60">
              <w:rPr>
                <w:rFonts w:ascii="Calibri" w:hAnsi="Calibri"/>
                <w:b/>
                <w:bCs/>
                <w:i/>
                <w:iCs/>
                <w:sz w:val="22"/>
                <w:u w:val="single"/>
              </w:rPr>
              <w:t>Losses and special payments</w:t>
            </w:r>
          </w:p>
          <w:p w14:paraId="6D2607B8" w14:textId="272D6F47" w:rsidR="00494E60" w:rsidRDefault="00494E60" w:rsidP="001455CA">
            <w:pPr>
              <w:pStyle w:val="ListParagraph"/>
              <w:numPr>
                <w:ilvl w:val="0"/>
                <w:numId w:val="13"/>
              </w:numPr>
              <w:ind w:right="176"/>
              <w:jc w:val="both"/>
              <w:rPr>
                <w:rFonts w:ascii="Calibri" w:hAnsi="Calibri"/>
                <w:sz w:val="22"/>
              </w:rPr>
            </w:pPr>
            <w:r w:rsidRPr="00494E60">
              <w:rPr>
                <w:rFonts w:ascii="Calibri" w:hAnsi="Calibri"/>
                <w:sz w:val="22"/>
              </w:rPr>
              <w:t>The report updat</w:t>
            </w:r>
            <w:r>
              <w:rPr>
                <w:rFonts w:ascii="Calibri" w:hAnsi="Calibri"/>
                <w:sz w:val="22"/>
              </w:rPr>
              <w:t>ed</w:t>
            </w:r>
            <w:r w:rsidRPr="00494E60">
              <w:rPr>
                <w:rFonts w:ascii="Calibri" w:hAnsi="Calibri"/>
                <w:sz w:val="22"/>
              </w:rPr>
              <w:t xml:space="preserve"> the committee on losses and special payments for the period April 2022 to February 2023</w:t>
            </w:r>
            <w:r w:rsidR="00790E63">
              <w:rPr>
                <w:rFonts w:ascii="Calibri" w:hAnsi="Calibri"/>
                <w:sz w:val="22"/>
              </w:rPr>
              <w:t>.</w:t>
            </w:r>
            <w:r w:rsidRPr="00494E60">
              <w:rPr>
                <w:rFonts w:ascii="Calibri" w:hAnsi="Calibri"/>
                <w:sz w:val="22"/>
              </w:rPr>
              <w:t xml:space="preserve"> There were no Losses </w:t>
            </w:r>
            <w:r w:rsidR="00790E63">
              <w:rPr>
                <w:rFonts w:ascii="Calibri" w:hAnsi="Calibri"/>
                <w:sz w:val="22"/>
              </w:rPr>
              <w:t>or</w:t>
            </w:r>
            <w:r w:rsidRPr="00494E60">
              <w:rPr>
                <w:rFonts w:ascii="Calibri" w:hAnsi="Calibri"/>
                <w:sz w:val="22"/>
              </w:rPr>
              <w:t xml:space="preserve"> </w:t>
            </w:r>
            <w:r w:rsidR="00790E63">
              <w:rPr>
                <w:rFonts w:ascii="Calibri" w:hAnsi="Calibri"/>
                <w:sz w:val="22"/>
              </w:rPr>
              <w:t>s</w:t>
            </w:r>
            <w:r w:rsidRPr="00494E60">
              <w:rPr>
                <w:rFonts w:ascii="Calibri" w:hAnsi="Calibri"/>
                <w:sz w:val="22"/>
              </w:rPr>
              <w:t xml:space="preserve">pecial </w:t>
            </w:r>
            <w:r w:rsidR="00790E63">
              <w:rPr>
                <w:rFonts w:ascii="Calibri" w:hAnsi="Calibri"/>
                <w:sz w:val="22"/>
              </w:rPr>
              <w:t>p</w:t>
            </w:r>
            <w:r w:rsidRPr="00494E60">
              <w:rPr>
                <w:rFonts w:ascii="Calibri" w:hAnsi="Calibri"/>
                <w:sz w:val="22"/>
              </w:rPr>
              <w:t>ayments for Dubai.</w:t>
            </w:r>
          </w:p>
          <w:p w14:paraId="1512BE81" w14:textId="77777777" w:rsidR="00950377" w:rsidRDefault="00950377" w:rsidP="00950377">
            <w:pPr>
              <w:pStyle w:val="ListParagraph"/>
              <w:ind w:right="176"/>
              <w:jc w:val="both"/>
              <w:rPr>
                <w:rFonts w:ascii="Calibri" w:hAnsi="Calibri"/>
                <w:sz w:val="22"/>
              </w:rPr>
            </w:pPr>
          </w:p>
          <w:p w14:paraId="0E51A753" w14:textId="77777777" w:rsidR="00806BF5" w:rsidRDefault="00806BF5" w:rsidP="00806BF5">
            <w:pPr>
              <w:ind w:left="0" w:right="176"/>
              <w:jc w:val="both"/>
              <w:rPr>
                <w:rFonts w:ascii="Calibri" w:hAnsi="Calibri"/>
                <w:b/>
                <w:bCs/>
                <w:i/>
                <w:iCs/>
                <w:sz w:val="22"/>
                <w:u w:val="single"/>
              </w:rPr>
            </w:pPr>
            <w:r w:rsidRPr="00806BF5">
              <w:rPr>
                <w:rFonts w:ascii="Calibri" w:hAnsi="Calibri"/>
                <w:b/>
                <w:bCs/>
                <w:i/>
                <w:iCs/>
                <w:sz w:val="22"/>
                <w:u w:val="single"/>
              </w:rPr>
              <w:t>Standing Financial Instructions Update 2023/24</w:t>
            </w:r>
          </w:p>
          <w:p w14:paraId="50821927" w14:textId="0B2307D3" w:rsidR="00806BF5" w:rsidRDefault="00806BF5" w:rsidP="001455CA">
            <w:pPr>
              <w:pStyle w:val="ListParagraph"/>
              <w:numPr>
                <w:ilvl w:val="0"/>
                <w:numId w:val="13"/>
              </w:numPr>
              <w:ind w:right="176"/>
              <w:jc w:val="both"/>
              <w:rPr>
                <w:rFonts w:ascii="Calibri" w:hAnsi="Calibri"/>
                <w:sz w:val="22"/>
              </w:rPr>
            </w:pPr>
            <w:r w:rsidRPr="00806BF5">
              <w:rPr>
                <w:rFonts w:ascii="Calibri" w:hAnsi="Calibri"/>
                <w:sz w:val="22"/>
              </w:rPr>
              <w:t xml:space="preserve">The annual review of the Trust’s Standing Financial Instructions (SFIs) was presented. Subject to ratification by the Board on 25 May 2023, it was </w:t>
            </w:r>
            <w:r w:rsidRPr="00806BF5">
              <w:rPr>
                <w:rFonts w:ascii="Calibri" w:hAnsi="Calibri"/>
                <w:b/>
                <w:bCs/>
                <w:sz w:val="22"/>
              </w:rPr>
              <w:t>agreed</w:t>
            </w:r>
            <w:r w:rsidRPr="00806BF5">
              <w:rPr>
                <w:rFonts w:ascii="Calibri" w:hAnsi="Calibri"/>
                <w:sz w:val="22"/>
              </w:rPr>
              <w:t xml:space="preserve"> to make the proposed amendment to Table 1 of the Scheme of Delegation for approval of research and development contracts to include CFO approval to £500,000. </w:t>
            </w:r>
          </w:p>
          <w:p w14:paraId="59EFDC87" w14:textId="77777777" w:rsidR="00950377" w:rsidRPr="00806BF5" w:rsidRDefault="00950377" w:rsidP="00950377">
            <w:pPr>
              <w:pStyle w:val="ListParagraph"/>
              <w:ind w:right="176"/>
              <w:jc w:val="both"/>
              <w:rPr>
                <w:rFonts w:ascii="Calibri" w:hAnsi="Calibri"/>
                <w:sz w:val="22"/>
              </w:rPr>
            </w:pPr>
          </w:p>
          <w:p w14:paraId="3FA253D8" w14:textId="77777777" w:rsidR="00D40DED" w:rsidRPr="00D40DED" w:rsidRDefault="00D40DED" w:rsidP="00D40DED">
            <w:pPr>
              <w:ind w:left="0" w:right="176"/>
              <w:jc w:val="both"/>
              <w:rPr>
                <w:rFonts w:ascii="Calibri" w:hAnsi="Calibri"/>
                <w:b/>
                <w:bCs/>
                <w:i/>
                <w:iCs/>
                <w:sz w:val="22"/>
                <w:u w:val="single"/>
              </w:rPr>
            </w:pPr>
            <w:r w:rsidRPr="00D40DED">
              <w:rPr>
                <w:rFonts w:ascii="Calibri" w:hAnsi="Calibri"/>
                <w:b/>
                <w:bCs/>
                <w:i/>
                <w:iCs/>
                <w:sz w:val="22"/>
                <w:u w:val="single"/>
              </w:rPr>
              <w:t>Annual report of Fit and Proper Persons</w:t>
            </w:r>
          </w:p>
          <w:p w14:paraId="517766BA" w14:textId="61EC0DB1" w:rsidR="00D40DED" w:rsidRDefault="00D40DED" w:rsidP="001455CA">
            <w:pPr>
              <w:pStyle w:val="ListParagraph"/>
              <w:numPr>
                <w:ilvl w:val="0"/>
                <w:numId w:val="14"/>
              </w:numPr>
              <w:ind w:right="176"/>
              <w:jc w:val="both"/>
              <w:rPr>
                <w:rFonts w:ascii="Calibri" w:hAnsi="Calibri"/>
                <w:sz w:val="22"/>
              </w:rPr>
            </w:pPr>
            <w:r w:rsidRPr="00D40DED">
              <w:rPr>
                <w:rFonts w:ascii="Calibri" w:hAnsi="Calibri"/>
                <w:sz w:val="22"/>
              </w:rPr>
              <w:t xml:space="preserve">The committee confirmed that the Trust had discharged its obligations to meet the Fit and Proper Persons Regulation (FPPR) requirements. The approval would be reflected in the self-certifications of compliance going to Board on 25 May 2023 (FT4 and governor training – </w:t>
            </w:r>
            <w:r w:rsidRPr="00D40DED">
              <w:rPr>
                <w:rFonts w:ascii="Calibri" w:hAnsi="Calibri"/>
                <w:i/>
                <w:iCs/>
                <w:sz w:val="22"/>
              </w:rPr>
              <w:t>compliance with governance arrangements</w:t>
            </w:r>
            <w:r w:rsidRPr="00D40DED">
              <w:rPr>
                <w:rFonts w:ascii="Calibri" w:hAnsi="Calibri"/>
                <w:sz w:val="22"/>
              </w:rPr>
              <w:t xml:space="preserve"> and G6 and CoS7 – </w:t>
            </w:r>
            <w:r w:rsidRPr="00D40DED">
              <w:rPr>
                <w:rFonts w:ascii="Calibri" w:hAnsi="Calibri"/>
                <w:i/>
                <w:iCs/>
                <w:sz w:val="22"/>
              </w:rPr>
              <w:t>satisfactory</w:t>
            </w:r>
            <w:r w:rsidRPr="00D40DED">
              <w:rPr>
                <w:rFonts w:ascii="Calibri" w:hAnsi="Calibri"/>
                <w:sz w:val="22"/>
              </w:rPr>
              <w:t xml:space="preserve"> </w:t>
            </w:r>
            <w:r w:rsidRPr="00D40DED">
              <w:rPr>
                <w:rFonts w:ascii="Calibri" w:hAnsi="Calibri"/>
                <w:i/>
                <w:iCs/>
                <w:sz w:val="22"/>
              </w:rPr>
              <w:t>systems and processes</w:t>
            </w:r>
            <w:r w:rsidRPr="00D40DED">
              <w:rPr>
                <w:rFonts w:ascii="Calibri" w:hAnsi="Calibri"/>
                <w:sz w:val="22"/>
              </w:rPr>
              <w:t>).</w:t>
            </w:r>
          </w:p>
          <w:p w14:paraId="37D639A9" w14:textId="77777777" w:rsidR="00950377" w:rsidRPr="00D40DED" w:rsidRDefault="00950377" w:rsidP="00950377">
            <w:pPr>
              <w:pStyle w:val="ListParagraph"/>
              <w:ind w:right="176"/>
              <w:jc w:val="both"/>
              <w:rPr>
                <w:rFonts w:ascii="Calibri" w:hAnsi="Calibri"/>
                <w:sz w:val="22"/>
              </w:rPr>
            </w:pPr>
          </w:p>
          <w:p w14:paraId="4B4CC332" w14:textId="77110FE0" w:rsidR="00A82954" w:rsidRDefault="00D40DED" w:rsidP="00500259">
            <w:pPr>
              <w:pStyle w:val="BodyText"/>
              <w:ind w:left="0"/>
              <w:outlineLvl w:val="0"/>
              <w:rPr>
                <w:rFonts w:ascii="Calibri" w:hAnsi="Calibri"/>
                <w:sz w:val="22"/>
                <w:szCs w:val="22"/>
              </w:rPr>
            </w:pPr>
            <w:r w:rsidRPr="00D40DED">
              <w:rPr>
                <w:rFonts w:ascii="Calibri" w:hAnsi="Calibri"/>
                <w:b/>
                <w:bCs/>
                <w:i/>
                <w:iCs/>
                <w:sz w:val="22"/>
                <w:szCs w:val="22"/>
                <w:u w:val="single"/>
              </w:rPr>
              <w:t>The annual report of the use of the Seal</w:t>
            </w:r>
            <w:r>
              <w:rPr>
                <w:rFonts w:ascii="Calibri" w:hAnsi="Calibri"/>
                <w:b/>
                <w:bCs/>
                <w:sz w:val="22"/>
                <w:szCs w:val="22"/>
              </w:rPr>
              <w:t xml:space="preserve"> </w:t>
            </w:r>
            <w:r w:rsidRPr="00D40DED">
              <w:rPr>
                <w:rFonts w:ascii="Calibri" w:hAnsi="Calibri"/>
                <w:sz w:val="22"/>
                <w:szCs w:val="22"/>
              </w:rPr>
              <w:t xml:space="preserve">- </w:t>
            </w:r>
            <w:r>
              <w:rPr>
                <w:rFonts w:ascii="Calibri" w:hAnsi="Calibri"/>
                <w:sz w:val="22"/>
                <w:szCs w:val="22"/>
              </w:rPr>
              <w:t>was noted.</w:t>
            </w:r>
          </w:p>
          <w:p w14:paraId="649B0E8A" w14:textId="77777777" w:rsidR="00950377" w:rsidRDefault="00950377" w:rsidP="00500259">
            <w:pPr>
              <w:pStyle w:val="BodyText"/>
              <w:ind w:left="0"/>
              <w:outlineLvl w:val="0"/>
              <w:rPr>
                <w:rFonts w:ascii="Calibri" w:eastAsiaTheme="minorEastAsia" w:hAnsi="Calibri" w:cs="Calibri"/>
                <w:b/>
                <w:bCs/>
                <w:i/>
                <w:iCs/>
                <w:color w:val="auto"/>
                <w:sz w:val="22"/>
                <w:szCs w:val="22"/>
                <w:u w:val="single"/>
                <w:lang w:eastAsia="ko-KR"/>
              </w:rPr>
            </w:pPr>
          </w:p>
          <w:bookmarkEnd w:id="1"/>
          <w:p w14:paraId="352DDD5A" w14:textId="6ED07AC9" w:rsidR="00226B36" w:rsidRPr="00D40DED" w:rsidRDefault="00226B36" w:rsidP="00D40DED">
            <w:pPr>
              <w:snapToGrid w:val="0"/>
              <w:spacing w:after="0"/>
              <w:ind w:left="0"/>
              <w:rPr>
                <w:rFonts w:ascii="Calibri" w:eastAsia="Batang" w:hAnsi="Calibri" w:cs="Calibri"/>
                <w:b/>
                <w:bCs/>
                <w:sz w:val="22"/>
                <w:u w:val="single"/>
                <w:lang w:eastAsia="ko-KR"/>
              </w:rPr>
            </w:pPr>
          </w:p>
        </w:tc>
      </w:tr>
      <w:bookmarkEnd w:id="0"/>
      <w:tr w:rsidR="00AC3B21" w:rsidRPr="00F46EE1" w14:paraId="6F3ABBD0" w14:textId="77777777" w:rsidTr="003A7AF7">
        <w:tc>
          <w:tcPr>
            <w:tcW w:w="2127" w:type="dxa"/>
            <w:shd w:val="clear" w:color="auto" w:fill="548DD4" w:themeFill="text2" w:themeFillTint="99"/>
            <w:vAlign w:val="center"/>
          </w:tcPr>
          <w:p w14:paraId="5915C54F" w14:textId="31C49A93"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lastRenderedPageBreak/>
              <w:t xml:space="preserve">Key concerns </w:t>
            </w:r>
          </w:p>
          <w:p w14:paraId="333F3EFE" w14:textId="77777777" w:rsidR="00AC3B21" w:rsidRPr="00F46EE1" w:rsidRDefault="00AC3B21" w:rsidP="00AC3B21">
            <w:pPr>
              <w:spacing w:after="0"/>
              <w:ind w:left="0"/>
              <w:rPr>
                <w:rFonts w:asciiTheme="minorHAnsi" w:hAnsiTheme="minorHAnsi" w:cstheme="minorBidi"/>
                <w:b/>
                <w:color w:val="FFFFFF" w:themeColor="background1"/>
                <w:szCs w:val="24"/>
              </w:rPr>
            </w:pPr>
          </w:p>
        </w:tc>
        <w:tc>
          <w:tcPr>
            <w:tcW w:w="8363" w:type="dxa"/>
          </w:tcPr>
          <w:p w14:paraId="40F4B7F0" w14:textId="291A376F" w:rsidR="008507A4" w:rsidRDefault="008507A4" w:rsidP="00950377">
            <w:pPr>
              <w:ind w:left="0" w:right="-111"/>
              <w:rPr>
                <w:rFonts w:ascii="Calibri" w:hAnsi="Calibri"/>
                <w:sz w:val="22"/>
              </w:rPr>
            </w:pPr>
            <w:r w:rsidRPr="00844742">
              <w:rPr>
                <w:rFonts w:asciiTheme="minorHAnsi" w:hAnsiTheme="minorHAnsi" w:cstheme="minorHAnsi"/>
                <w:sz w:val="22"/>
              </w:rPr>
              <w:t xml:space="preserve">The </w:t>
            </w:r>
            <w:r w:rsidR="00950377">
              <w:rPr>
                <w:rFonts w:asciiTheme="minorHAnsi" w:hAnsiTheme="minorHAnsi" w:cstheme="minorHAnsi"/>
                <w:sz w:val="22"/>
              </w:rPr>
              <w:t>A</w:t>
            </w:r>
            <w:r w:rsidR="00B3691E">
              <w:rPr>
                <w:rFonts w:asciiTheme="minorHAnsi" w:hAnsiTheme="minorHAnsi" w:cstheme="minorHAnsi"/>
                <w:sz w:val="22"/>
              </w:rPr>
              <w:t>udit</w:t>
            </w:r>
            <w:r w:rsidR="006710FB" w:rsidRPr="00844742">
              <w:rPr>
                <w:rFonts w:asciiTheme="minorHAnsi" w:hAnsiTheme="minorHAnsi" w:cstheme="minorHAnsi"/>
                <w:sz w:val="22"/>
              </w:rPr>
              <w:t xml:space="preserve"> &amp; </w:t>
            </w:r>
            <w:r w:rsidR="00950377">
              <w:rPr>
                <w:rFonts w:asciiTheme="minorHAnsi" w:hAnsiTheme="minorHAnsi" w:cstheme="minorHAnsi"/>
                <w:sz w:val="22"/>
              </w:rPr>
              <w:t>R</w:t>
            </w:r>
            <w:r w:rsidR="00B3691E">
              <w:rPr>
                <w:rFonts w:asciiTheme="minorHAnsi" w:hAnsiTheme="minorHAnsi" w:cstheme="minorHAnsi"/>
                <w:sz w:val="22"/>
              </w:rPr>
              <w:t>isk</w:t>
            </w:r>
            <w:r w:rsidR="006710FB" w:rsidRPr="00844742">
              <w:rPr>
                <w:rFonts w:asciiTheme="minorHAnsi" w:hAnsiTheme="minorHAnsi" w:cstheme="minorHAnsi"/>
                <w:sz w:val="22"/>
              </w:rPr>
              <w:t xml:space="preserve"> </w:t>
            </w:r>
            <w:r w:rsidR="00950377">
              <w:rPr>
                <w:rFonts w:asciiTheme="minorHAnsi" w:hAnsiTheme="minorHAnsi" w:cstheme="minorHAnsi"/>
                <w:sz w:val="22"/>
              </w:rPr>
              <w:t>C</w:t>
            </w:r>
            <w:r w:rsidR="006710FB" w:rsidRPr="00844742">
              <w:rPr>
                <w:rFonts w:asciiTheme="minorHAnsi" w:hAnsiTheme="minorHAnsi" w:cstheme="minorHAnsi"/>
                <w:sz w:val="22"/>
              </w:rPr>
              <w:t xml:space="preserve">ommittee noted </w:t>
            </w:r>
            <w:r w:rsidR="000D307C" w:rsidRPr="00844742">
              <w:rPr>
                <w:rFonts w:asciiTheme="minorHAnsi" w:hAnsiTheme="minorHAnsi" w:cstheme="minorHAnsi"/>
                <w:sz w:val="22"/>
              </w:rPr>
              <w:t xml:space="preserve">that </w:t>
            </w:r>
            <w:r w:rsidR="00B3691E">
              <w:rPr>
                <w:rFonts w:asciiTheme="minorHAnsi" w:hAnsiTheme="minorHAnsi"/>
                <w:sz w:val="22"/>
              </w:rPr>
              <w:t xml:space="preserve">a </w:t>
            </w:r>
            <w:r w:rsidR="00844742" w:rsidRPr="00844742">
              <w:rPr>
                <w:rFonts w:ascii="Calibri" w:hAnsi="Calibri"/>
                <w:sz w:val="22"/>
              </w:rPr>
              <w:t>paper o</w:t>
            </w:r>
            <w:r w:rsidR="00B3691E">
              <w:rPr>
                <w:rFonts w:ascii="Calibri" w:hAnsi="Calibri"/>
                <w:sz w:val="22"/>
              </w:rPr>
              <w:t>n</w:t>
            </w:r>
            <w:r w:rsidR="00844742" w:rsidRPr="00844742">
              <w:rPr>
                <w:rFonts w:ascii="Calibri" w:hAnsi="Calibri"/>
                <w:sz w:val="22"/>
              </w:rPr>
              <w:t xml:space="preserve"> </w:t>
            </w:r>
            <w:r w:rsidR="00950377">
              <w:rPr>
                <w:rFonts w:ascii="Calibri" w:hAnsi="Calibri"/>
                <w:sz w:val="22"/>
              </w:rPr>
              <w:t xml:space="preserve">the status of salary </w:t>
            </w:r>
            <w:r w:rsidR="00844742" w:rsidRPr="00844742">
              <w:rPr>
                <w:rFonts w:ascii="Calibri" w:hAnsi="Calibri"/>
                <w:sz w:val="22"/>
              </w:rPr>
              <w:t xml:space="preserve">overpayments </w:t>
            </w:r>
            <w:r w:rsidR="00B3691E">
              <w:rPr>
                <w:rFonts w:ascii="Calibri" w:hAnsi="Calibri"/>
                <w:sz w:val="22"/>
              </w:rPr>
              <w:t>(</w:t>
            </w:r>
            <w:r w:rsidR="00B3691E" w:rsidRPr="00844742">
              <w:rPr>
                <w:rFonts w:ascii="Calibri" w:hAnsi="Calibri"/>
                <w:sz w:val="22"/>
              </w:rPr>
              <w:t>including a trend analysis</w:t>
            </w:r>
            <w:r w:rsidR="00B3691E">
              <w:rPr>
                <w:rFonts w:ascii="Calibri" w:hAnsi="Calibri"/>
                <w:sz w:val="22"/>
              </w:rPr>
              <w:t>)</w:t>
            </w:r>
            <w:r w:rsidR="00B3691E" w:rsidRPr="00844742">
              <w:rPr>
                <w:rFonts w:ascii="Calibri" w:hAnsi="Calibri"/>
                <w:sz w:val="22"/>
              </w:rPr>
              <w:t xml:space="preserve"> </w:t>
            </w:r>
            <w:r w:rsidR="00B3691E">
              <w:rPr>
                <w:rFonts w:ascii="Calibri" w:hAnsi="Calibri"/>
                <w:sz w:val="22"/>
              </w:rPr>
              <w:t xml:space="preserve">would be submitted to </w:t>
            </w:r>
            <w:r w:rsidR="00844742" w:rsidRPr="00844742">
              <w:rPr>
                <w:rFonts w:ascii="Calibri" w:hAnsi="Calibri"/>
                <w:sz w:val="22"/>
              </w:rPr>
              <w:t xml:space="preserve">the </w:t>
            </w:r>
            <w:r w:rsidR="00950377">
              <w:rPr>
                <w:rFonts w:ascii="Calibri" w:hAnsi="Calibri"/>
                <w:sz w:val="22"/>
              </w:rPr>
              <w:t>committee</w:t>
            </w:r>
            <w:r w:rsidR="00B3691E">
              <w:rPr>
                <w:rFonts w:ascii="Calibri" w:hAnsi="Calibri"/>
                <w:sz w:val="22"/>
              </w:rPr>
              <w:t xml:space="preserve"> </w:t>
            </w:r>
            <w:r w:rsidR="00844742" w:rsidRPr="00844742">
              <w:rPr>
                <w:rFonts w:ascii="Calibri" w:hAnsi="Calibri"/>
                <w:sz w:val="22"/>
              </w:rPr>
              <w:t>meeting on 18 July 2023</w:t>
            </w:r>
            <w:r w:rsidR="00B3691E">
              <w:rPr>
                <w:rFonts w:ascii="Calibri" w:hAnsi="Calibri"/>
                <w:sz w:val="22"/>
              </w:rPr>
              <w:t>.</w:t>
            </w:r>
          </w:p>
          <w:p w14:paraId="4E38AC67" w14:textId="271DE55C" w:rsidR="00950377" w:rsidRPr="00844742" w:rsidRDefault="00950377" w:rsidP="00950377">
            <w:pPr>
              <w:ind w:left="0" w:right="-111"/>
              <w:rPr>
                <w:rFonts w:ascii="Calibri" w:hAnsi="Calibri"/>
                <w:sz w:val="22"/>
              </w:rPr>
            </w:pPr>
          </w:p>
        </w:tc>
      </w:tr>
      <w:tr w:rsidR="00AC3B21" w:rsidRPr="00F46EE1" w14:paraId="7A452C56" w14:textId="77777777" w:rsidTr="00382D9D">
        <w:trPr>
          <w:trHeight w:val="242"/>
        </w:trPr>
        <w:tc>
          <w:tcPr>
            <w:tcW w:w="2127" w:type="dxa"/>
            <w:shd w:val="clear" w:color="auto" w:fill="548DD4" w:themeFill="text2" w:themeFillTint="99"/>
            <w:vAlign w:val="center"/>
          </w:tcPr>
          <w:p w14:paraId="6FC951CE" w14:textId="77777777" w:rsidR="00AC3B21" w:rsidRDefault="00382D9D" w:rsidP="00AC3B21">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w:t>
            </w:r>
            <w:r w:rsidR="00840A1C">
              <w:rPr>
                <w:rFonts w:asciiTheme="minorHAnsi" w:hAnsiTheme="minorHAnsi" w:cstheme="minorBidi"/>
                <w:b/>
                <w:color w:val="FFFFFF" w:themeColor="background1"/>
                <w:szCs w:val="24"/>
              </w:rPr>
              <w:t>ate of next meeting</w:t>
            </w:r>
          </w:p>
          <w:p w14:paraId="3B4416F2" w14:textId="074150E7" w:rsidR="00950377" w:rsidRPr="00F46EE1" w:rsidRDefault="00950377" w:rsidP="00AC3B21">
            <w:pPr>
              <w:spacing w:after="0"/>
              <w:ind w:left="0"/>
              <w:rPr>
                <w:rFonts w:asciiTheme="minorHAnsi" w:hAnsiTheme="minorHAnsi" w:cstheme="minorBidi"/>
                <w:b/>
                <w:color w:val="FFFFFF" w:themeColor="background1"/>
                <w:szCs w:val="24"/>
              </w:rPr>
            </w:pPr>
          </w:p>
        </w:tc>
        <w:tc>
          <w:tcPr>
            <w:tcW w:w="8363" w:type="dxa"/>
          </w:tcPr>
          <w:p w14:paraId="3E310979" w14:textId="34674F01" w:rsidR="00AC3B21" w:rsidRPr="007C3D1C" w:rsidRDefault="00567C43" w:rsidP="00CE1F23">
            <w:pPr>
              <w:numPr>
                <w:ilvl w:val="0"/>
                <w:numId w:val="2"/>
              </w:numPr>
              <w:spacing w:after="0"/>
              <w:contextualSpacing/>
              <w:jc w:val="both"/>
              <w:rPr>
                <w:rFonts w:asciiTheme="minorHAnsi" w:hAnsiTheme="minorHAnsi" w:cstheme="minorBidi"/>
                <w:sz w:val="22"/>
              </w:rPr>
            </w:pPr>
            <w:r w:rsidRPr="007C3D1C">
              <w:rPr>
                <w:rFonts w:asciiTheme="minorHAnsi" w:hAnsiTheme="minorHAnsi" w:cstheme="minorBidi"/>
                <w:sz w:val="22"/>
              </w:rPr>
              <w:t>1</w:t>
            </w:r>
            <w:r w:rsidR="00A866C2">
              <w:rPr>
                <w:rFonts w:asciiTheme="minorHAnsi" w:hAnsiTheme="minorHAnsi" w:cstheme="minorBidi"/>
                <w:sz w:val="22"/>
              </w:rPr>
              <w:t xml:space="preserve">5 June </w:t>
            </w:r>
            <w:r w:rsidR="009A2CD2" w:rsidRPr="007C3D1C">
              <w:rPr>
                <w:rFonts w:asciiTheme="minorHAnsi" w:hAnsiTheme="minorHAnsi" w:cstheme="minorBidi"/>
                <w:sz w:val="22"/>
              </w:rPr>
              <w:t>202</w:t>
            </w:r>
            <w:r w:rsidR="0069251E" w:rsidRPr="007C3D1C">
              <w:rPr>
                <w:rFonts w:asciiTheme="minorHAnsi" w:hAnsiTheme="minorHAnsi" w:cstheme="minorBidi"/>
                <w:sz w:val="22"/>
              </w:rPr>
              <w:t>3</w:t>
            </w:r>
          </w:p>
        </w:tc>
      </w:tr>
    </w:tbl>
    <w:p w14:paraId="4AC2E716" w14:textId="77777777" w:rsidR="0054478E" w:rsidRPr="00F46EE1" w:rsidRDefault="0054478E" w:rsidP="0054478E">
      <w:pPr>
        <w:tabs>
          <w:tab w:val="left" w:pos="3491"/>
        </w:tabs>
        <w:spacing w:after="200" w:line="276" w:lineRule="auto"/>
        <w:ind w:left="0"/>
        <w:rPr>
          <w:rFonts w:asciiTheme="minorHAnsi" w:hAnsiTheme="minorHAnsi" w:cstheme="minorBidi"/>
          <w:sz w:val="22"/>
        </w:rPr>
      </w:pPr>
    </w:p>
    <w:sectPr w:rsidR="0054478E" w:rsidRPr="00F46EE1" w:rsidSect="00793C4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6FB1" w14:textId="77777777" w:rsidR="006C10D5" w:rsidRDefault="006C10D5" w:rsidP="001164DD">
      <w:pPr>
        <w:spacing w:after="0"/>
      </w:pPr>
      <w:r>
        <w:separator/>
      </w:r>
    </w:p>
  </w:endnote>
  <w:endnote w:type="continuationSeparator" w:id="0">
    <w:p w14:paraId="47D9DC54" w14:textId="77777777" w:rsidR="006C10D5" w:rsidRDefault="006C10D5"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8FC" w14:textId="4C89A192" w:rsidR="0054478E" w:rsidRPr="0054478E" w:rsidRDefault="0054478E" w:rsidP="0054478E">
    <w:pPr>
      <w:pStyle w:val="Footer"/>
      <w:jc w:val="center"/>
    </w:pPr>
    <w:r w:rsidRPr="0054478E">
      <w:rPr>
        <w:sz w:val="20"/>
      </w:rPr>
      <w:fldChar w:fldCharType="begin"/>
    </w:r>
    <w:r w:rsidRPr="0054478E">
      <w:rPr>
        <w:sz w:val="20"/>
      </w:rPr>
      <w:instrText xml:space="preserve"> PAGE   \* MERGEFORMAT </w:instrText>
    </w:r>
    <w:r w:rsidRPr="0054478E">
      <w:rPr>
        <w:sz w:val="20"/>
      </w:rPr>
      <w:fldChar w:fldCharType="separate"/>
    </w:r>
    <w:r w:rsidR="00553652">
      <w:rPr>
        <w:noProof/>
        <w:sz w:val="20"/>
      </w:rPr>
      <w:t>5</w:t>
    </w:r>
    <w:r w:rsidRPr="0054478E">
      <w:rPr>
        <w:sz w:val="20"/>
      </w:rPr>
      <w:fldChar w:fldCharType="end"/>
    </w:r>
    <w:r w:rsidRPr="0054478E">
      <w:rPr>
        <w:sz w:val="20"/>
      </w:rPr>
      <w:t xml:space="preserve"> of </w:t>
    </w:r>
    <w:r w:rsidRPr="0054478E">
      <w:rPr>
        <w:sz w:val="20"/>
      </w:rPr>
      <w:fldChar w:fldCharType="begin"/>
    </w:r>
    <w:r w:rsidRPr="0054478E">
      <w:rPr>
        <w:sz w:val="20"/>
      </w:rPr>
      <w:instrText xml:space="preserve"> NUMPAGES   \* MERGEFORMAT </w:instrText>
    </w:r>
    <w:r w:rsidRPr="0054478E">
      <w:rPr>
        <w:sz w:val="20"/>
      </w:rPr>
      <w:fldChar w:fldCharType="separate"/>
    </w:r>
    <w:r w:rsidR="00553652">
      <w:rPr>
        <w:noProof/>
        <w:sz w:val="20"/>
      </w:rPr>
      <w:t>5</w:t>
    </w:r>
    <w:r w:rsidRPr="005447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4B95" w14:textId="62DB4AB3" w:rsidR="00A8462B" w:rsidRDefault="00A8462B" w:rsidP="00A8462B">
    <w:pPr>
      <w:pStyle w:val="Footer"/>
      <w:jc w:val="center"/>
    </w:pPr>
    <w:r w:rsidRPr="00A8462B">
      <w:rPr>
        <w:sz w:val="20"/>
      </w:rPr>
      <w:fldChar w:fldCharType="begin"/>
    </w:r>
    <w:r w:rsidRPr="00A8462B">
      <w:rPr>
        <w:sz w:val="20"/>
      </w:rPr>
      <w:instrText xml:space="preserve"> PAGE   \* MERGEFORMAT </w:instrText>
    </w:r>
    <w:r w:rsidRPr="00A8462B">
      <w:rPr>
        <w:sz w:val="20"/>
      </w:rPr>
      <w:fldChar w:fldCharType="separate"/>
    </w:r>
    <w:r w:rsidR="00FD1ABE">
      <w:rPr>
        <w:noProof/>
        <w:sz w:val="20"/>
      </w:rPr>
      <w:t>1</w:t>
    </w:r>
    <w:r w:rsidRPr="00A8462B">
      <w:rPr>
        <w:sz w:val="20"/>
      </w:rPr>
      <w:fldChar w:fldCharType="end"/>
    </w:r>
    <w:r w:rsidRPr="00A8462B">
      <w:rPr>
        <w:sz w:val="20"/>
      </w:rPr>
      <w:t xml:space="preserve"> of </w:t>
    </w:r>
    <w:r w:rsidRPr="00A8462B">
      <w:rPr>
        <w:sz w:val="20"/>
      </w:rPr>
      <w:fldChar w:fldCharType="begin"/>
    </w:r>
    <w:r w:rsidRPr="00A8462B">
      <w:rPr>
        <w:sz w:val="20"/>
      </w:rPr>
      <w:instrText xml:space="preserve"> NUMPAGES   \* MERGEFORMAT </w:instrText>
    </w:r>
    <w:r w:rsidRPr="00A8462B">
      <w:rPr>
        <w:sz w:val="20"/>
      </w:rPr>
      <w:fldChar w:fldCharType="separate"/>
    </w:r>
    <w:r w:rsidR="00FD1ABE">
      <w:rPr>
        <w:noProof/>
        <w:sz w:val="20"/>
      </w:rPr>
      <w:t>5</w:t>
    </w:r>
    <w:r w:rsidRPr="00A8462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D2D0" w14:textId="77777777" w:rsidR="006C10D5" w:rsidRDefault="006C10D5" w:rsidP="001164DD">
      <w:pPr>
        <w:spacing w:after="0"/>
      </w:pPr>
      <w:r>
        <w:separator/>
      </w:r>
    </w:p>
  </w:footnote>
  <w:footnote w:type="continuationSeparator" w:id="0">
    <w:p w14:paraId="6C44AA84" w14:textId="77777777" w:rsidR="006C10D5" w:rsidRDefault="006C10D5"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7801" w14:textId="77777777" w:rsidR="00010995" w:rsidRDefault="00010995"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1A07192C" wp14:editId="1D5D5D64">
          <wp:simplePos x="0" y="0"/>
          <wp:positionH relativeFrom="page">
            <wp:posOffset>4604385</wp:posOffset>
          </wp:positionH>
          <wp:positionV relativeFrom="page">
            <wp:posOffset>306705</wp:posOffset>
          </wp:positionV>
          <wp:extent cx="2348644" cy="343975"/>
          <wp:effectExtent l="0" t="0" r="0" b="0"/>
          <wp:wrapNone/>
          <wp:docPr id="6" name="Picture 6"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4C0895F4" w14:textId="77777777" w:rsidR="00010995" w:rsidRDefault="00010995" w:rsidP="00A26A0C">
    <w:pPr>
      <w:pStyle w:val="Header"/>
      <w:tabs>
        <w:tab w:val="clear" w:pos="4513"/>
        <w:tab w:val="clear" w:pos="9026"/>
        <w:tab w:val="left" w:pos="2295"/>
        <w:tab w:val="left" w:pos="4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FFD"/>
    <w:multiLevelType w:val="hybridMultilevel"/>
    <w:tmpl w:val="2186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42B9"/>
    <w:multiLevelType w:val="hybridMultilevel"/>
    <w:tmpl w:val="D2BE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3CC4"/>
    <w:multiLevelType w:val="hybridMultilevel"/>
    <w:tmpl w:val="7C9C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318E5"/>
    <w:multiLevelType w:val="hybridMultilevel"/>
    <w:tmpl w:val="703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13E90"/>
    <w:multiLevelType w:val="hybridMultilevel"/>
    <w:tmpl w:val="AF1E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3794D"/>
    <w:multiLevelType w:val="hybridMultilevel"/>
    <w:tmpl w:val="AF9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02A4B"/>
    <w:multiLevelType w:val="hybridMultilevel"/>
    <w:tmpl w:val="453C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A4438"/>
    <w:multiLevelType w:val="hybridMultilevel"/>
    <w:tmpl w:val="A74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9305D"/>
    <w:multiLevelType w:val="hybridMultilevel"/>
    <w:tmpl w:val="77AA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39726A"/>
    <w:multiLevelType w:val="hybridMultilevel"/>
    <w:tmpl w:val="5DA4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4040A"/>
    <w:multiLevelType w:val="hybridMultilevel"/>
    <w:tmpl w:val="2814DA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34328C"/>
    <w:multiLevelType w:val="hybridMultilevel"/>
    <w:tmpl w:val="F92A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A50AA"/>
    <w:multiLevelType w:val="hybridMultilevel"/>
    <w:tmpl w:val="AE7084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33458356">
    <w:abstractNumId w:val="11"/>
  </w:num>
  <w:num w:numId="2" w16cid:durableId="200867989">
    <w:abstractNumId w:val="8"/>
  </w:num>
  <w:num w:numId="3" w16cid:durableId="1031564785">
    <w:abstractNumId w:val="13"/>
  </w:num>
  <w:num w:numId="4" w16cid:durableId="2109157794">
    <w:abstractNumId w:val="6"/>
  </w:num>
  <w:num w:numId="5" w16cid:durableId="540628848">
    <w:abstractNumId w:val="2"/>
  </w:num>
  <w:num w:numId="6" w16cid:durableId="1961641365">
    <w:abstractNumId w:val="3"/>
  </w:num>
  <w:num w:numId="7" w16cid:durableId="1222710098">
    <w:abstractNumId w:val="7"/>
  </w:num>
  <w:num w:numId="8" w16cid:durableId="551117936">
    <w:abstractNumId w:val="10"/>
  </w:num>
  <w:num w:numId="9" w16cid:durableId="1559583420">
    <w:abstractNumId w:val="4"/>
  </w:num>
  <w:num w:numId="10" w16cid:durableId="1624341174">
    <w:abstractNumId w:val="9"/>
  </w:num>
  <w:num w:numId="11" w16cid:durableId="488398730">
    <w:abstractNumId w:val="0"/>
  </w:num>
  <w:num w:numId="12" w16cid:durableId="207957998">
    <w:abstractNumId w:val="1"/>
  </w:num>
  <w:num w:numId="13" w16cid:durableId="293409365">
    <w:abstractNumId w:val="12"/>
  </w:num>
  <w:num w:numId="14" w16cid:durableId="61174177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887"/>
    <w:rsid w:val="0000259D"/>
    <w:rsid w:val="00002CA0"/>
    <w:rsid w:val="00007C15"/>
    <w:rsid w:val="00010995"/>
    <w:rsid w:val="000118D8"/>
    <w:rsid w:val="00011A91"/>
    <w:rsid w:val="00012105"/>
    <w:rsid w:val="000125D9"/>
    <w:rsid w:val="00013845"/>
    <w:rsid w:val="00013F46"/>
    <w:rsid w:val="00020580"/>
    <w:rsid w:val="000210D9"/>
    <w:rsid w:val="00021C54"/>
    <w:rsid w:val="000240CD"/>
    <w:rsid w:val="00024CB7"/>
    <w:rsid w:val="00025720"/>
    <w:rsid w:val="00026C54"/>
    <w:rsid w:val="0003082F"/>
    <w:rsid w:val="00040365"/>
    <w:rsid w:val="0004425D"/>
    <w:rsid w:val="00044363"/>
    <w:rsid w:val="000466BA"/>
    <w:rsid w:val="000500EA"/>
    <w:rsid w:val="00050410"/>
    <w:rsid w:val="000508C1"/>
    <w:rsid w:val="000524EE"/>
    <w:rsid w:val="00052733"/>
    <w:rsid w:val="00053BA2"/>
    <w:rsid w:val="000546FE"/>
    <w:rsid w:val="000566A6"/>
    <w:rsid w:val="0005701B"/>
    <w:rsid w:val="000573FB"/>
    <w:rsid w:val="000605A5"/>
    <w:rsid w:val="000628F4"/>
    <w:rsid w:val="00071005"/>
    <w:rsid w:val="00071F94"/>
    <w:rsid w:val="00074364"/>
    <w:rsid w:val="000744EC"/>
    <w:rsid w:val="00074918"/>
    <w:rsid w:val="00084C37"/>
    <w:rsid w:val="0009103D"/>
    <w:rsid w:val="000916BA"/>
    <w:rsid w:val="00091A7A"/>
    <w:rsid w:val="00093066"/>
    <w:rsid w:val="000931EC"/>
    <w:rsid w:val="000934FA"/>
    <w:rsid w:val="000939E1"/>
    <w:rsid w:val="00095AB7"/>
    <w:rsid w:val="000A19EC"/>
    <w:rsid w:val="000A20CE"/>
    <w:rsid w:val="000A3F13"/>
    <w:rsid w:val="000A5643"/>
    <w:rsid w:val="000A78D6"/>
    <w:rsid w:val="000A7DFB"/>
    <w:rsid w:val="000B51C4"/>
    <w:rsid w:val="000B5454"/>
    <w:rsid w:val="000C1734"/>
    <w:rsid w:val="000C2DFE"/>
    <w:rsid w:val="000C49AF"/>
    <w:rsid w:val="000C58E2"/>
    <w:rsid w:val="000C78A2"/>
    <w:rsid w:val="000C7E4F"/>
    <w:rsid w:val="000D12B2"/>
    <w:rsid w:val="000D307C"/>
    <w:rsid w:val="000D476C"/>
    <w:rsid w:val="000E053F"/>
    <w:rsid w:val="000E0963"/>
    <w:rsid w:val="000E166B"/>
    <w:rsid w:val="000E1871"/>
    <w:rsid w:val="000E2250"/>
    <w:rsid w:val="000E4B64"/>
    <w:rsid w:val="000E4F19"/>
    <w:rsid w:val="000E64BB"/>
    <w:rsid w:val="000E757B"/>
    <w:rsid w:val="000F096F"/>
    <w:rsid w:val="000F12D9"/>
    <w:rsid w:val="000F28C1"/>
    <w:rsid w:val="000F3FB4"/>
    <w:rsid w:val="000F4BE7"/>
    <w:rsid w:val="000F5563"/>
    <w:rsid w:val="000F5BBF"/>
    <w:rsid w:val="000F5D7C"/>
    <w:rsid w:val="00105488"/>
    <w:rsid w:val="00107722"/>
    <w:rsid w:val="001150ED"/>
    <w:rsid w:val="0011520B"/>
    <w:rsid w:val="001164DD"/>
    <w:rsid w:val="00124961"/>
    <w:rsid w:val="00126155"/>
    <w:rsid w:val="00127E96"/>
    <w:rsid w:val="00133171"/>
    <w:rsid w:val="0013482F"/>
    <w:rsid w:val="00134CAF"/>
    <w:rsid w:val="00135B1E"/>
    <w:rsid w:val="001403C5"/>
    <w:rsid w:val="001417D8"/>
    <w:rsid w:val="00142C92"/>
    <w:rsid w:val="00144EC7"/>
    <w:rsid w:val="001455CA"/>
    <w:rsid w:val="00145E68"/>
    <w:rsid w:val="00154671"/>
    <w:rsid w:val="001558AA"/>
    <w:rsid w:val="00155DC4"/>
    <w:rsid w:val="00155FCE"/>
    <w:rsid w:val="00161A20"/>
    <w:rsid w:val="00163616"/>
    <w:rsid w:val="0016579E"/>
    <w:rsid w:val="00171E55"/>
    <w:rsid w:val="0017213D"/>
    <w:rsid w:val="00175612"/>
    <w:rsid w:val="0017588A"/>
    <w:rsid w:val="00175DAF"/>
    <w:rsid w:val="00180453"/>
    <w:rsid w:val="001818D2"/>
    <w:rsid w:val="00182329"/>
    <w:rsid w:val="001842AE"/>
    <w:rsid w:val="00185DF2"/>
    <w:rsid w:val="0019075A"/>
    <w:rsid w:val="00190B2B"/>
    <w:rsid w:val="00193197"/>
    <w:rsid w:val="00193ACA"/>
    <w:rsid w:val="001A291E"/>
    <w:rsid w:val="001A5356"/>
    <w:rsid w:val="001A5688"/>
    <w:rsid w:val="001B139B"/>
    <w:rsid w:val="001B257E"/>
    <w:rsid w:val="001B4C05"/>
    <w:rsid w:val="001C01D2"/>
    <w:rsid w:val="001C2496"/>
    <w:rsid w:val="001C3007"/>
    <w:rsid w:val="001C45D5"/>
    <w:rsid w:val="001C68C8"/>
    <w:rsid w:val="001C6DD1"/>
    <w:rsid w:val="001D0E41"/>
    <w:rsid w:val="001D119A"/>
    <w:rsid w:val="001D1AEC"/>
    <w:rsid w:val="001D4961"/>
    <w:rsid w:val="001E0BD7"/>
    <w:rsid w:val="001E0E7F"/>
    <w:rsid w:val="001E3CB9"/>
    <w:rsid w:val="001E4852"/>
    <w:rsid w:val="001E6782"/>
    <w:rsid w:val="001E6A69"/>
    <w:rsid w:val="001F3E62"/>
    <w:rsid w:val="001F4382"/>
    <w:rsid w:val="0020118B"/>
    <w:rsid w:val="00202F95"/>
    <w:rsid w:val="00206F4D"/>
    <w:rsid w:val="00210566"/>
    <w:rsid w:val="00212301"/>
    <w:rsid w:val="00217F25"/>
    <w:rsid w:val="0022285C"/>
    <w:rsid w:val="002239A4"/>
    <w:rsid w:val="002243FB"/>
    <w:rsid w:val="0022517F"/>
    <w:rsid w:val="00226838"/>
    <w:rsid w:val="00226B36"/>
    <w:rsid w:val="00226C39"/>
    <w:rsid w:val="00227B35"/>
    <w:rsid w:val="002306C7"/>
    <w:rsid w:val="00230BDF"/>
    <w:rsid w:val="00233AFF"/>
    <w:rsid w:val="00237AAD"/>
    <w:rsid w:val="002473EC"/>
    <w:rsid w:val="00252255"/>
    <w:rsid w:val="00260176"/>
    <w:rsid w:val="00261CEE"/>
    <w:rsid w:val="0026328D"/>
    <w:rsid w:val="00263FC0"/>
    <w:rsid w:val="00264815"/>
    <w:rsid w:val="00264A37"/>
    <w:rsid w:val="00267540"/>
    <w:rsid w:val="0026789D"/>
    <w:rsid w:val="00270EC4"/>
    <w:rsid w:val="00271811"/>
    <w:rsid w:val="0027280D"/>
    <w:rsid w:val="00274229"/>
    <w:rsid w:val="00275E18"/>
    <w:rsid w:val="0027620B"/>
    <w:rsid w:val="0028397F"/>
    <w:rsid w:val="00284B1C"/>
    <w:rsid w:val="00286910"/>
    <w:rsid w:val="00286ACD"/>
    <w:rsid w:val="00287144"/>
    <w:rsid w:val="00291431"/>
    <w:rsid w:val="002916B0"/>
    <w:rsid w:val="002946C5"/>
    <w:rsid w:val="00297FFC"/>
    <w:rsid w:val="002A07DE"/>
    <w:rsid w:val="002A0FC1"/>
    <w:rsid w:val="002A26E9"/>
    <w:rsid w:val="002A5094"/>
    <w:rsid w:val="002A5D5B"/>
    <w:rsid w:val="002A612B"/>
    <w:rsid w:val="002A6DFB"/>
    <w:rsid w:val="002B1ACB"/>
    <w:rsid w:val="002B477B"/>
    <w:rsid w:val="002B4D67"/>
    <w:rsid w:val="002B4F84"/>
    <w:rsid w:val="002B6CC2"/>
    <w:rsid w:val="002B6ED4"/>
    <w:rsid w:val="002C08DC"/>
    <w:rsid w:val="002C0A58"/>
    <w:rsid w:val="002C4082"/>
    <w:rsid w:val="002D0C6E"/>
    <w:rsid w:val="002E0059"/>
    <w:rsid w:val="002E1E8F"/>
    <w:rsid w:val="002F0C0A"/>
    <w:rsid w:val="002F12AA"/>
    <w:rsid w:val="002F6644"/>
    <w:rsid w:val="00302ADD"/>
    <w:rsid w:val="00312009"/>
    <w:rsid w:val="00314B7A"/>
    <w:rsid w:val="00314CDD"/>
    <w:rsid w:val="00315E80"/>
    <w:rsid w:val="003168FA"/>
    <w:rsid w:val="00324D52"/>
    <w:rsid w:val="00325949"/>
    <w:rsid w:val="003368D9"/>
    <w:rsid w:val="003376F4"/>
    <w:rsid w:val="0034398C"/>
    <w:rsid w:val="003461CB"/>
    <w:rsid w:val="0034799A"/>
    <w:rsid w:val="00351208"/>
    <w:rsid w:val="00352FBC"/>
    <w:rsid w:val="00360168"/>
    <w:rsid w:val="0036597F"/>
    <w:rsid w:val="003700CB"/>
    <w:rsid w:val="00372009"/>
    <w:rsid w:val="0037378E"/>
    <w:rsid w:val="00376D54"/>
    <w:rsid w:val="00377AB0"/>
    <w:rsid w:val="00382D9D"/>
    <w:rsid w:val="00386770"/>
    <w:rsid w:val="00391EE1"/>
    <w:rsid w:val="003927F0"/>
    <w:rsid w:val="00396073"/>
    <w:rsid w:val="003971ED"/>
    <w:rsid w:val="003A1DA2"/>
    <w:rsid w:val="003A4420"/>
    <w:rsid w:val="003A7AF7"/>
    <w:rsid w:val="003B03F9"/>
    <w:rsid w:val="003B1953"/>
    <w:rsid w:val="003B3490"/>
    <w:rsid w:val="003B6F99"/>
    <w:rsid w:val="003B75D7"/>
    <w:rsid w:val="003C1193"/>
    <w:rsid w:val="003C2901"/>
    <w:rsid w:val="003C335D"/>
    <w:rsid w:val="003C6BF2"/>
    <w:rsid w:val="003D1136"/>
    <w:rsid w:val="003D2E63"/>
    <w:rsid w:val="003D41C1"/>
    <w:rsid w:val="003D675C"/>
    <w:rsid w:val="003D79B1"/>
    <w:rsid w:val="003E0E7C"/>
    <w:rsid w:val="003E125A"/>
    <w:rsid w:val="003E1E6C"/>
    <w:rsid w:val="003E5C79"/>
    <w:rsid w:val="003E668E"/>
    <w:rsid w:val="003F5F5E"/>
    <w:rsid w:val="004020A1"/>
    <w:rsid w:val="00407658"/>
    <w:rsid w:val="00410900"/>
    <w:rsid w:val="00411C17"/>
    <w:rsid w:val="00415D69"/>
    <w:rsid w:val="004161BF"/>
    <w:rsid w:val="0042051A"/>
    <w:rsid w:val="0042145E"/>
    <w:rsid w:val="00422CA0"/>
    <w:rsid w:val="00423008"/>
    <w:rsid w:val="00424B16"/>
    <w:rsid w:val="00427F90"/>
    <w:rsid w:val="00431485"/>
    <w:rsid w:val="004318F8"/>
    <w:rsid w:val="00432EF7"/>
    <w:rsid w:val="00436048"/>
    <w:rsid w:val="004372A9"/>
    <w:rsid w:val="0044167E"/>
    <w:rsid w:val="00441A6F"/>
    <w:rsid w:val="00442B42"/>
    <w:rsid w:val="00446402"/>
    <w:rsid w:val="004465B9"/>
    <w:rsid w:val="00446D1B"/>
    <w:rsid w:val="004472A5"/>
    <w:rsid w:val="00450409"/>
    <w:rsid w:val="0045053E"/>
    <w:rsid w:val="00450BF3"/>
    <w:rsid w:val="0045750C"/>
    <w:rsid w:val="004617FE"/>
    <w:rsid w:val="00463CB8"/>
    <w:rsid w:val="00465ABA"/>
    <w:rsid w:val="004724DA"/>
    <w:rsid w:val="00475DD6"/>
    <w:rsid w:val="00483E12"/>
    <w:rsid w:val="00484262"/>
    <w:rsid w:val="0048655E"/>
    <w:rsid w:val="004878E1"/>
    <w:rsid w:val="00491138"/>
    <w:rsid w:val="00492056"/>
    <w:rsid w:val="00492D26"/>
    <w:rsid w:val="00494118"/>
    <w:rsid w:val="0049417B"/>
    <w:rsid w:val="004947DF"/>
    <w:rsid w:val="00494E60"/>
    <w:rsid w:val="00494E8D"/>
    <w:rsid w:val="004A0897"/>
    <w:rsid w:val="004A1A29"/>
    <w:rsid w:val="004A1BBB"/>
    <w:rsid w:val="004A2BB4"/>
    <w:rsid w:val="004A3CE9"/>
    <w:rsid w:val="004A4037"/>
    <w:rsid w:val="004B0798"/>
    <w:rsid w:val="004B22BC"/>
    <w:rsid w:val="004B3402"/>
    <w:rsid w:val="004B36F1"/>
    <w:rsid w:val="004B6105"/>
    <w:rsid w:val="004B73C2"/>
    <w:rsid w:val="004C1805"/>
    <w:rsid w:val="004C6CF1"/>
    <w:rsid w:val="004D0FB6"/>
    <w:rsid w:val="004D1E44"/>
    <w:rsid w:val="004D4C62"/>
    <w:rsid w:val="004D4E6C"/>
    <w:rsid w:val="004D6095"/>
    <w:rsid w:val="004D66B6"/>
    <w:rsid w:val="004D7839"/>
    <w:rsid w:val="004F1DD0"/>
    <w:rsid w:val="004F1DD5"/>
    <w:rsid w:val="004F3710"/>
    <w:rsid w:val="004F3B73"/>
    <w:rsid w:val="004F5B59"/>
    <w:rsid w:val="00500259"/>
    <w:rsid w:val="00501519"/>
    <w:rsid w:val="005035ED"/>
    <w:rsid w:val="00503CA6"/>
    <w:rsid w:val="00505696"/>
    <w:rsid w:val="00507F58"/>
    <w:rsid w:val="005137E7"/>
    <w:rsid w:val="0052040E"/>
    <w:rsid w:val="00520BE3"/>
    <w:rsid w:val="00522C0A"/>
    <w:rsid w:val="005244C9"/>
    <w:rsid w:val="00524E9D"/>
    <w:rsid w:val="0052545A"/>
    <w:rsid w:val="005304FA"/>
    <w:rsid w:val="005362CB"/>
    <w:rsid w:val="00536E17"/>
    <w:rsid w:val="005371CC"/>
    <w:rsid w:val="00541C8F"/>
    <w:rsid w:val="0054478E"/>
    <w:rsid w:val="00545CDF"/>
    <w:rsid w:val="005507C5"/>
    <w:rsid w:val="00553652"/>
    <w:rsid w:val="00553809"/>
    <w:rsid w:val="00555D3D"/>
    <w:rsid w:val="005643BF"/>
    <w:rsid w:val="00567C43"/>
    <w:rsid w:val="00571C14"/>
    <w:rsid w:val="0057340E"/>
    <w:rsid w:val="00576BB3"/>
    <w:rsid w:val="00576DA7"/>
    <w:rsid w:val="0057738F"/>
    <w:rsid w:val="005809A2"/>
    <w:rsid w:val="00582BEC"/>
    <w:rsid w:val="005925A2"/>
    <w:rsid w:val="00594708"/>
    <w:rsid w:val="0059602C"/>
    <w:rsid w:val="005A1C42"/>
    <w:rsid w:val="005A3A2B"/>
    <w:rsid w:val="005A584D"/>
    <w:rsid w:val="005B02A7"/>
    <w:rsid w:val="005B416F"/>
    <w:rsid w:val="005B74E1"/>
    <w:rsid w:val="005C22C9"/>
    <w:rsid w:val="005C283A"/>
    <w:rsid w:val="005C2B2B"/>
    <w:rsid w:val="005D3127"/>
    <w:rsid w:val="005F0FC4"/>
    <w:rsid w:val="005F2B4F"/>
    <w:rsid w:val="005F2C46"/>
    <w:rsid w:val="005F7429"/>
    <w:rsid w:val="00605B3D"/>
    <w:rsid w:val="00606788"/>
    <w:rsid w:val="00610BF9"/>
    <w:rsid w:val="00614A5F"/>
    <w:rsid w:val="00615B8B"/>
    <w:rsid w:val="00620FE2"/>
    <w:rsid w:val="006237B0"/>
    <w:rsid w:val="00623AFE"/>
    <w:rsid w:val="0063008F"/>
    <w:rsid w:val="006406CC"/>
    <w:rsid w:val="0064123F"/>
    <w:rsid w:val="00642937"/>
    <w:rsid w:val="006436A9"/>
    <w:rsid w:val="0064694C"/>
    <w:rsid w:val="006476CD"/>
    <w:rsid w:val="0065141B"/>
    <w:rsid w:val="00652017"/>
    <w:rsid w:val="006565AB"/>
    <w:rsid w:val="00662887"/>
    <w:rsid w:val="00663433"/>
    <w:rsid w:val="00663836"/>
    <w:rsid w:val="006640D0"/>
    <w:rsid w:val="00665DE1"/>
    <w:rsid w:val="006710FB"/>
    <w:rsid w:val="00671116"/>
    <w:rsid w:val="00673045"/>
    <w:rsid w:val="00675A96"/>
    <w:rsid w:val="00676F1A"/>
    <w:rsid w:val="0068012C"/>
    <w:rsid w:val="00680EE7"/>
    <w:rsid w:val="00684618"/>
    <w:rsid w:val="0068524E"/>
    <w:rsid w:val="00685609"/>
    <w:rsid w:val="0069109D"/>
    <w:rsid w:val="0069230D"/>
    <w:rsid w:val="0069251E"/>
    <w:rsid w:val="0069307A"/>
    <w:rsid w:val="006959CD"/>
    <w:rsid w:val="00695DAD"/>
    <w:rsid w:val="006979E2"/>
    <w:rsid w:val="006A4651"/>
    <w:rsid w:val="006A55DE"/>
    <w:rsid w:val="006A79E3"/>
    <w:rsid w:val="006A7C92"/>
    <w:rsid w:val="006B30CE"/>
    <w:rsid w:val="006B59AA"/>
    <w:rsid w:val="006B7E3A"/>
    <w:rsid w:val="006C10D5"/>
    <w:rsid w:val="006C4ED1"/>
    <w:rsid w:val="006C794B"/>
    <w:rsid w:val="006D6216"/>
    <w:rsid w:val="006D79C5"/>
    <w:rsid w:val="006D7A77"/>
    <w:rsid w:val="006E1678"/>
    <w:rsid w:val="006E4B36"/>
    <w:rsid w:val="006E5E17"/>
    <w:rsid w:val="006F05FA"/>
    <w:rsid w:val="006F126E"/>
    <w:rsid w:val="006F21A6"/>
    <w:rsid w:val="006F32C0"/>
    <w:rsid w:val="006F5222"/>
    <w:rsid w:val="006F60B1"/>
    <w:rsid w:val="006F6CBB"/>
    <w:rsid w:val="006F6E94"/>
    <w:rsid w:val="006F765F"/>
    <w:rsid w:val="00700F45"/>
    <w:rsid w:val="00703610"/>
    <w:rsid w:val="00706019"/>
    <w:rsid w:val="00707577"/>
    <w:rsid w:val="00707595"/>
    <w:rsid w:val="00707BFC"/>
    <w:rsid w:val="00715396"/>
    <w:rsid w:val="007170D0"/>
    <w:rsid w:val="007215A7"/>
    <w:rsid w:val="00725E79"/>
    <w:rsid w:val="00730F4F"/>
    <w:rsid w:val="00731B00"/>
    <w:rsid w:val="007326C3"/>
    <w:rsid w:val="00732E5A"/>
    <w:rsid w:val="007340E8"/>
    <w:rsid w:val="00735666"/>
    <w:rsid w:val="0073734A"/>
    <w:rsid w:val="00737B73"/>
    <w:rsid w:val="00741B13"/>
    <w:rsid w:val="00743069"/>
    <w:rsid w:val="0074528C"/>
    <w:rsid w:val="00753735"/>
    <w:rsid w:val="007618F6"/>
    <w:rsid w:val="00763042"/>
    <w:rsid w:val="00765A1F"/>
    <w:rsid w:val="0077004E"/>
    <w:rsid w:val="0077023C"/>
    <w:rsid w:val="00774F45"/>
    <w:rsid w:val="0078127C"/>
    <w:rsid w:val="00782F0F"/>
    <w:rsid w:val="00783027"/>
    <w:rsid w:val="007835D6"/>
    <w:rsid w:val="00790E63"/>
    <w:rsid w:val="007976CF"/>
    <w:rsid w:val="007A492D"/>
    <w:rsid w:val="007A5FAC"/>
    <w:rsid w:val="007B2BC9"/>
    <w:rsid w:val="007B5C07"/>
    <w:rsid w:val="007B6BDB"/>
    <w:rsid w:val="007C33D9"/>
    <w:rsid w:val="007C376C"/>
    <w:rsid w:val="007C3D1C"/>
    <w:rsid w:val="007C4282"/>
    <w:rsid w:val="007C628B"/>
    <w:rsid w:val="007C78C6"/>
    <w:rsid w:val="007C7C13"/>
    <w:rsid w:val="007D38FD"/>
    <w:rsid w:val="007D6344"/>
    <w:rsid w:val="007D700D"/>
    <w:rsid w:val="007D7C25"/>
    <w:rsid w:val="007E01A1"/>
    <w:rsid w:val="007E0C0A"/>
    <w:rsid w:val="007E1983"/>
    <w:rsid w:val="007F09F2"/>
    <w:rsid w:val="007F0CB9"/>
    <w:rsid w:val="007F24D8"/>
    <w:rsid w:val="007F52E5"/>
    <w:rsid w:val="007F5415"/>
    <w:rsid w:val="008026C4"/>
    <w:rsid w:val="00802946"/>
    <w:rsid w:val="00803BBB"/>
    <w:rsid w:val="00805B8E"/>
    <w:rsid w:val="00806BF5"/>
    <w:rsid w:val="00807D54"/>
    <w:rsid w:val="008107F0"/>
    <w:rsid w:val="00812355"/>
    <w:rsid w:val="00816363"/>
    <w:rsid w:val="008226C7"/>
    <w:rsid w:val="0082434C"/>
    <w:rsid w:val="008247D4"/>
    <w:rsid w:val="00824FA2"/>
    <w:rsid w:val="00825143"/>
    <w:rsid w:val="00825AB5"/>
    <w:rsid w:val="00826386"/>
    <w:rsid w:val="00826C3C"/>
    <w:rsid w:val="00826F24"/>
    <w:rsid w:val="008331E6"/>
    <w:rsid w:val="008338C0"/>
    <w:rsid w:val="00840A1C"/>
    <w:rsid w:val="00841481"/>
    <w:rsid w:val="00842ABC"/>
    <w:rsid w:val="0084388B"/>
    <w:rsid w:val="00844742"/>
    <w:rsid w:val="008507A4"/>
    <w:rsid w:val="00851F9A"/>
    <w:rsid w:val="00853ADE"/>
    <w:rsid w:val="00870237"/>
    <w:rsid w:val="00870353"/>
    <w:rsid w:val="00870D88"/>
    <w:rsid w:val="00871A99"/>
    <w:rsid w:val="0087602A"/>
    <w:rsid w:val="0087693B"/>
    <w:rsid w:val="008833AD"/>
    <w:rsid w:val="008878DD"/>
    <w:rsid w:val="00895DB2"/>
    <w:rsid w:val="008A32E1"/>
    <w:rsid w:val="008B09C3"/>
    <w:rsid w:val="008B1970"/>
    <w:rsid w:val="008C0924"/>
    <w:rsid w:val="008C147B"/>
    <w:rsid w:val="008C3D3C"/>
    <w:rsid w:val="008C6941"/>
    <w:rsid w:val="008C766D"/>
    <w:rsid w:val="008D0BBE"/>
    <w:rsid w:val="008D1C3E"/>
    <w:rsid w:val="008D3E6B"/>
    <w:rsid w:val="008D5073"/>
    <w:rsid w:val="008D6B2B"/>
    <w:rsid w:val="008E43CE"/>
    <w:rsid w:val="008E4623"/>
    <w:rsid w:val="008E4F75"/>
    <w:rsid w:val="008E5C45"/>
    <w:rsid w:val="008E650B"/>
    <w:rsid w:val="008E6759"/>
    <w:rsid w:val="008F1F85"/>
    <w:rsid w:val="008F5BD9"/>
    <w:rsid w:val="008F6C1E"/>
    <w:rsid w:val="009020BA"/>
    <w:rsid w:val="009032D0"/>
    <w:rsid w:val="00904118"/>
    <w:rsid w:val="00905E66"/>
    <w:rsid w:val="009062A0"/>
    <w:rsid w:val="00910682"/>
    <w:rsid w:val="00913C6E"/>
    <w:rsid w:val="00915A1C"/>
    <w:rsid w:val="00922123"/>
    <w:rsid w:val="009246ED"/>
    <w:rsid w:val="00927B8B"/>
    <w:rsid w:val="00933D81"/>
    <w:rsid w:val="009369B1"/>
    <w:rsid w:val="009411EF"/>
    <w:rsid w:val="00942172"/>
    <w:rsid w:val="00950377"/>
    <w:rsid w:val="00950B68"/>
    <w:rsid w:val="00954E62"/>
    <w:rsid w:val="0095566D"/>
    <w:rsid w:val="00957124"/>
    <w:rsid w:val="009620ED"/>
    <w:rsid w:val="009639FA"/>
    <w:rsid w:val="00965FB8"/>
    <w:rsid w:val="00970D55"/>
    <w:rsid w:val="00972E5E"/>
    <w:rsid w:val="00973ACD"/>
    <w:rsid w:val="00974551"/>
    <w:rsid w:val="00974686"/>
    <w:rsid w:val="009778DB"/>
    <w:rsid w:val="009803B7"/>
    <w:rsid w:val="00980E9F"/>
    <w:rsid w:val="00983D83"/>
    <w:rsid w:val="00984E5C"/>
    <w:rsid w:val="00987F6B"/>
    <w:rsid w:val="00995107"/>
    <w:rsid w:val="00997151"/>
    <w:rsid w:val="0099795E"/>
    <w:rsid w:val="009A00B3"/>
    <w:rsid w:val="009A0DEC"/>
    <w:rsid w:val="009A2CD2"/>
    <w:rsid w:val="009A481A"/>
    <w:rsid w:val="009B22D0"/>
    <w:rsid w:val="009B40E1"/>
    <w:rsid w:val="009B411A"/>
    <w:rsid w:val="009B5AB4"/>
    <w:rsid w:val="009C03B5"/>
    <w:rsid w:val="009C2CC3"/>
    <w:rsid w:val="009C4353"/>
    <w:rsid w:val="009C63AB"/>
    <w:rsid w:val="009C6426"/>
    <w:rsid w:val="009D2BB2"/>
    <w:rsid w:val="009D52C8"/>
    <w:rsid w:val="009D7131"/>
    <w:rsid w:val="009E45B6"/>
    <w:rsid w:val="009E71D5"/>
    <w:rsid w:val="009F09D7"/>
    <w:rsid w:val="009F39E4"/>
    <w:rsid w:val="009F521E"/>
    <w:rsid w:val="009F7B50"/>
    <w:rsid w:val="00A006A3"/>
    <w:rsid w:val="00A02C93"/>
    <w:rsid w:val="00A12E2B"/>
    <w:rsid w:val="00A15E87"/>
    <w:rsid w:val="00A16636"/>
    <w:rsid w:val="00A24AD5"/>
    <w:rsid w:val="00A26A0C"/>
    <w:rsid w:val="00A2795D"/>
    <w:rsid w:val="00A334CA"/>
    <w:rsid w:val="00A35804"/>
    <w:rsid w:val="00A35FD2"/>
    <w:rsid w:val="00A362CF"/>
    <w:rsid w:val="00A41D95"/>
    <w:rsid w:val="00A46CEA"/>
    <w:rsid w:val="00A51440"/>
    <w:rsid w:val="00A52200"/>
    <w:rsid w:val="00A54A9D"/>
    <w:rsid w:val="00A63D66"/>
    <w:rsid w:val="00A64A42"/>
    <w:rsid w:val="00A7758D"/>
    <w:rsid w:val="00A82954"/>
    <w:rsid w:val="00A8462B"/>
    <w:rsid w:val="00A866C2"/>
    <w:rsid w:val="00A87978"/>
    <w:rsid w:val="00A879E8"/>
    <w:rsid w:val="00A91D34"/>
    <w:rsid w:val="00A93E95"/>
    <w:rsid w:val="00A97331"/>
    <w:rsid w:val="00AA122D"/>
    <w:rsid w:val="00AA298E"/>
    <w:rsid w:val="00AA6D16"/>
    <w:rsid w:val="00AB28B4"/>
    <w:rsid w:val="00AC1268"/>
    <w:rsid w:val="00AC3B21"/>
    <w:rsid w:val="00AD00CB"/>
    <w:rsid w:val="00AD09B2"/>
    <w:rsid w:val="00AD1DAF"/>
    <w:rsid w:val="00AD5114"/>
    <w:rsid w:val="00AD5D79"/>
    <w:rsid w:val="00AE28B9"/>
    <w:rsid w:val="00AE2F7D"/>
    <w:rsid w:val="00AE4054"/>
    <w:rsid w:val="00AE47A8"/>
    <w:rsid w:val="00AE4A06"/>
    <w:rsid w:val="00AE5144"/>
    <w:rsid w:val="00AE6A06"/>
    <w:rsid w:val="00AF0742"/>
    <w:rsid w:val="00AF5091"/>
    <w:rsid w:val="00B01483"/>
    <w:rsid w:val="00B05A47"/>
    <w:rsid w:val="00B05DF9"/>
    <w:rsid w:val="00B107F7"/>
    <w:rsid w:val="00B116D0"/>
    <w:rsid w:val="00B131BE"/>
    <w:rsid w:val="00B138CE"/>
    <w:rsid w:val="00B178BA"/>
    <w:rsid w:val="00B244E3"/>
    <w:rsid w:val="00B3002E"/>
    <w:rsid w:val="00B300F9"/>
    <w:rsid w:val="00B305AD"/>
    <w:rsid w:val="00B30A6F"/>
    <w:rsid w:val="00B337EC"/>
    <w:rsid w:val="00B35398"/>
    <w:rsid w:val="00B35561"/>
    <w:rsid w:val="00B3691E"/>
    <w:rsid w:val="00B410DE"/>
    <w:rsid w:val="00B419CD"/>
    <w:rsid w:val="00B447E8"/>
    <w:rsid w:val="00B4715B"/>
    <w:rsid w:val="00B51173"/>
    <w:rsid w:val="00B5173F"/>
    <w:rsid w:val="00B52A5E"/>
    <w:rsid w:val="00B53362"/>
    <w:rsid w:val="00B542CE"/>
    <w:rsid w:val="00B570C9"/>
    <w:rsid w:val="00B6052E"/>
    <w:rsid w:val="00B630CC"/>
    <w:rsid w:val="00B63BD6"/>
    <w:rsid w:val="00B653E2"/>
    <w:rsid w:val="00B6657C"/>
    <w:rsid w:val="00B673D8"/>
    <w:rsid w:val="00B67C56"/>
    <w:rsid w:val="00B70F14"/>
    <w:rsid w:val="00B7320E"/>
    <w:rsid w:val="00B73D00"/>
    <w:rsid w:val="00B756F0"/>
    <w:rsid w:val="00B7673B"/>
    <w:rsid w:val="00B771AA"/>
    <w:rsid w:val="00B803F5"/>
    <w:rsid w:val="00B8175F"/>
    <w:rsid w:val="00B81FA7"/>
    <w:rsid w:val="00B87F6E"/>
    <w:rsid w:val="00B91A3A"/>
    <w:rsid w:val="00B9338E"/>
    <w:rsid w:val="00B93CEC"/>
    <w:rsid w:val="00B93EF5"/>
    <w:rsid w:val="00B952DE"/>
    <w:rsid w:val="00BA2E52"/>
    <w:rsid w:val="00BA6456"/>
    <w:rsid w:val="00BB083C"/>
    <w:rsid w:val="00BB1C9F"/>
    <w:rsid w:val="00BB1E51"/>
    <w:rsid w:val="00BB785B"/>
    <w:rsid w:val="00BC102B"/>
    <w:rsid w:val="00BC1D1A"/>
    <w:rsid w:val="00BC4B48"/>
    <w:rsid w:val="00BC669E"/>
    <w:rsid w:val="00BC6ACC"/>
    <w:rsid w:val="00BD07E8"/>
    <w:rsid w:val="00BD1445"/>
    <w:rsid w:val="00BD7584"/>
    <w:rsid w:val="00BE35A0"/>
    <w:rsid w:val="00BE582E"/>
    <w:rsid w:val="00BF0A7E"/>
    <w:rsid w:val="00BF2224"/>
    <w:rsid w:val="00BF68FF"/>
    <w:rsid w:val="00BF7F97"/>
    <w:rsid w:val="00C01AA7"/>
    <w:rsid w:val="00C05282"/>
    <w:rsid w:val="00C1130F"/>
    <w:rsid w:val="00C12587"/>
    <w:rsid w:val="00C13A73"/>
    <w:rsid w:val="00C15875"/>
    <w:rsid w:val="00C15E77"/>
    <w:rsid w:val="00C166AC"/>
    <w:rsid w:val="00C250AE"/>
    <w:rsid w:val="00C27753"/>
    <w:rsid w:val="00C30883"/>
    <w:rsid w:val="00C31F3B"/>
    <w:rsid w:val="00C365BA"/>
    <w:rsid w:val="00C40F1A"/>
    <w:rsid w:val="00C4223F"/>
    <w:rsid w:val="00C45D4C"/>
    <w:rsid w:val="00C52921"/>
    <w:rsid w:val="00C53872"/>
    <w:rsid w:val="00C545A4"/>
    <w:rsid w:val="00C54C3A"/>
    <w:rsid w:val="00C56289"/>
    <w:rsid w:val="00C63DC0"/>
    <w:rsid w:val="00C63F9D"/>
    <w:rsid w:val="00C64C48"/>
    <w:rsid w:val="00C67228"/>
    <w:rsid w:val="00C67C22"/>
    <w:rsid w:val="00C71348"/>
    <w:rsid w:val="00C861D1"/>
    <w:rsid w:val="00C87ACB"/>
    <w:rsid w:val="00C94AEC"/>
    <w:rsid w:val="00C95258"/>
    <w:rsid w:val="00CA0F92"/>
    <w:rsid w:val="00CA55BB"/>
    <w:rsid w:val="00CB0FF4"/>
    <w:rsid w:val="00CB2802"/>
    <w:rsid w:val="00CB2C40"/>
    <w:rsid w:val="00CB2F42"/>
    <w:rsid w:val="00CB628C"/>
    <w:rsid w:val="00CC096F"/>
    <w:rsid w:val="00CC2587"/>
    <w:rsid w:val="00CC43D1"/>
    <w:rsid w:val="00CC5B57"/>
    <w:rsid w:val="00CD04AA"/>
    <w:rsid w:val="00CD2E60"/>
    <w:rsid w:val="00CD3098"/>
    <w:rsid w:val="00CD75C4"/>
    <w:rsid w:val="00CE1F23"/>
    <w:rsid w:val="00CE79B8"/>
    <w:rsid w:val="00CE7C33"/>
    <w:rsid w:val="00CF2DD5"/>
    <w:rsid w:val="00CF47A8"/>
    <w:rsid w:val="00CF4DB9"/>
    <w:rsid w:val="00CF582F"/>
    <w:rsid w:val="00CF6300"/>
    <w:rsid w:val="00CF759E"/>
    <w:rsid w:val="00CF7DA8"/>
    <w:rsid w:val="00D0191A"/>
    <w:rsid w:val="00D03BEF"/>
    <w:rsid w:val="00D0592B"/>
    <w:rsid w:val="00D05DA7"/>
    <w:rsid w:val="00D06025"/>
    <w:rsid w:val="00D06FF6"/>
    <w:rsid w:val="00D1567D"/>
    <w:rsid w:val="00D17F4C"/>
    <w:rsid w:val="00D20F70"/>
    <w:rsid w:val="00D225DE"/>
    <w:rsid w:val="00D26099"/>
    <w:rsid w:val="00D2655B"/>
    <w:rsid w:val="00D307B7"/>
    <w:rsid w:val="00D324E9"/>
    <w:rsid w:val="00D40331"/>
    <w:rsid w:val="00D40DED"/>
    <w:rsid w:val="00D44040"/>
    <w:rsid w:val="00D46574"/>
    <w:rsid w:val="00D5195D"/>
    <w:rsid w:val="00D541DE"/>
    <w:rsid w:val="00D557E9"/>
    <w:rsid w:val="00D5613B"/>
    <w:rsid w:val="00D605EE"/>
    <w:rsid w:val="00D64FC0"/>
    <w:rsid w:val="00D6653D"/>
    <w:rsid w:val="00D66B36"/>
    <w:rsid w:val="00D71A95"/>
    <w:rsid w:val="00D7353B"/>
    <w:rsid w:val="00D7517B"/>
    <w:rsid w:val="00D81ECB"/>
    <w:rsid w:val="00D83812"/>
    <w:rsid w:val="00D84F7F"/>
    <w:rsid w:val="00D85928"/>
    <w:rsid w:val="00D86F80"/>
    <w:rsid w:val="00DA0D28"/>
    <w:rsid w:val="00DA108B"/>
    <w:rsid w:val="00DA1756"/>
    <w:rsid w:val="00DA2432"/>
    <w:rsid w:val="00DA2583"/>
    <w:rsid w:val="00DA51FC"/>
    <w:rsid w:val="00DA5487"/>
    <w:rsid w:val="00DB0432"/>
    <w:rsid w:val="00DB109A"/>
    <w:rsid w:val="00DC0188"/>
    <w:rsid w:val="00DC195A"/>
    <w:rsid w:val="00DC3161"/>
    <w:rsid w:val="00DC5857"/>
    <w:rsid w:val="00DC5E76"/>
    <w:rsid w:val="00DC7C52"/>
    <w:rsid w:val="00DD3550"/>
    <w:rsid w:val="00DD4185"/>
    <w:rsid w:val="00DD5F75"/>
    <w:rsid w:val="00DE175A"/>
    <w:rsid w:val="00DF3F02"/>
    <w:rsid w:val="00DF5079"/>
    <w:rsid w:val="00DF5F8A"/>
    <w:rsid w:val="00DF7A9E"/>
    <w:rsid w:val="00E00681"/>
    <w:rsid w:val="00E0422C"/>
    <w:rsid w:val="00E048C5"/>
    <w:rsid w:val="00E0548D"/>
    <w:rsid w:val="00E13183"/>
    <w:rsid w:val="00E142F3"/>
    <w:rsid w:val="00E16D5B"/>
    <w:rsid w:val="00E239B5"/>
    <w:rsid w:val="00E23D64"/>
    <w:rsid w:val="00E2458E"/>
    <w:rsid w:val="00E25205"/>
    <w:rsid w:val="00E273A7"/>
    <w:rsid w:val="00E27552"/>
    <w:rsid w:val="00E27B96"/>
    <w:rsid w:val="00E32709"/>
    <w:rsid w:val="00E33AF7"/>
    <w:rsid w:val="00E34EBF"/>
    <w:rsid w:val="00E35E3B"/>
    <w:rsid w:val="00E36B43"/>
    <w:rsid w:val="00E37EE4"/>
    <w:rsid w:val="00E40EEB"/>
    <w:rsid w:val="00E414D7"/>
    <w:rsid w:val="00E41AEA"/>
    <w:rsid w:val="00E42CF5"/>
    <w:rsid w:val="00E43940"/>
    <w:rsid w:val="00E43BC7"/>
    <w:rsid w:val="00E46099"/>
    <w:rsid w:val="00E46428"/>
    <w:rsid w:val="00E4643E"/>
    <w:rsid w:val="00E51E53"/>
    <w:rsid w:val="00E532AF"/>
    <w:rsid w:val="00E571CA"/>
    <w:rsid w:val="00E62643"/>
    <w:rsid w:val="00E64A86"/>
    <w:rsid w:val="00E70761"/>
    <w:rsid w:val="00E70EA8"/>
    <w:rsid w:val="00E71404"/>
    <w:rsid w:val="00E7285A"/>
    <w:rsid w:val="00E72DF5"/>
    <w:rsid w:val="00E73DEB"/>
    <w:rsid w:val="00E76561"/>
    <w:rsid w:val="00E77891"/>
    <w:rsid w:val="00E81E4C"/>
    <w:rsid w:val="00E832A9"/>
    <w:rsid w:val="00E91A1F"/>
    <w:rsid w:val="00E91A9F"/>
    <w:rsid w:val="00E94A4E"/>
    <w:rsid w:val="00E96527"/>
    <w:rsid w:val="00EA0CA4"/>
    <w:rsid w:val="00EA1565"/>
    <w:rsid w:val="00EA6195"/>
    <w:rsid w:val="00EA7B76"/>
    <w:rsid w:val="00EB1C33"/>
    <w:rsid w:val="00EB3A94"/>
    <w:rsid w:val="00EC0C04"/>
    <w:rsid w:val="00EC3B0B"/>
    <w:rsid w:val="00EC4736"/>
    <w:rsid w:val="00EC67D5"/>
    <w:rsid w:val="00EC6B83"/>
    <w:rsid w:val="00EC7AAE"/>
    <w:rsid w:val="00ED3FED"/>
    <w:rsid w:val="00ED5DF5"/>
    <w:rsid w:val="00EE1C29"/>
    <w:rsid w:val="00EE41DE"/>
    <w:rsid w:val="00EE53A5"/>
    <w:rsid w:val="00EE7139"/>
    <w:rsid w:val="00EF32DD"/>
    <w:rsid w:val="00EF3D79"/>
    <w:rsid w:val="00EF4A20"/>
    <w:rsid w:val="00F0796D"/>
    <w:rsid w:val="00F12F35"/>
    <w:rsid w:val="00F13107"/>
    <w:rsid w:val="00F165C0"/>
    <w:rsid w:val="00F17E3E"/>
    <w:rsid w:val="00F2123D"/>
    <w:rsid w:val="00F26ACF"/>
    <w:rsid w:val="00F27050"/>
    <w:rsid w:val="00F31466"/>
    <w:rsid w:val="00F34883"/>
    <w:rsid w:val="00F37065"/>
    <w:rsid w:val="00F3759F"/>
    <w:rsid w:val="00F434FD"/>
    <w:rsid w:val="00F4353D"/>
    <w:rsid w:val="00F44108"/>
    <w:rsid w:val="00F46EE1"/>
    <w:rsid w:val="00F50E2C"/>
    <w:rsid w:val="00F52BCC"/>
    <w:rsid w:val="00F52CBA"/>
    <w:rsid w:val="00F544B2"/>
    <w:rsid w:val="00F55328"/>
    <w:rsid w:val="00F557A9"/>
    <w:rsid w:val="00F57574"/>
    <w:rsid w:val="00F610F9"/>
    <w:rsid w:val="00F61186"/>
    <w:rsid w:val="00F6499A"/>
    <w:rsid w:val="00F659DA"/>
    <w:rsid w:val="00F65BCB"/>
    <w:rsid w:val="00F74685"/>
    <w:rsid w:val="00F76605"/>
    <w:rsid w:val="00F76939"/>
    <w:rsid w:val="00F76A16"/>
    <w:rsid w:val="00F8145A"/>
    <w:rsid w:val="00F82E1F"/>
    <w:rsid w:val="00F86484"/>
    <w:rsid w:val="00F913CB"/>
    <w:rsid w:val="00F928D2"/>
    <w:rsid w:val="00F93690"/>
    <w:rsid w:val="00F9442F"/>
    <w:rsid w:val="00F95862"/>
    <w:rsid w:val="00F960C2"/>
    <w:rsid w:val="00FA061C"/>
    <w:rsid w:val="00FA50C6"/>
    <w:rsid w:val="00FA730C"/>
    <w:rsid w:val="00FB1AB6"/>
    <w:rsid w:val="00FB30CB"/>
    <w:rsid w:val="00FB3A97"/>
    <w:rsid w:val="00FB6344"/>
    <w:rsid w:val="00FC5A15"/>
    <w:rsid w:val="00FC7878"/>
    <w:rsid w:val="00FD011F"/>
    <w:rsid w:val="00FD0F8F"/>
    <w:rsid w:val="00FD1ABE"/>
    <w:rsid w:val="00FD2B9C"/>
    <w:rsid w:val="00FD5A50"/>
    <w:rsid w:val="00FE189D"/>
    <w:rsid w:val="00FE1A7A"/>
    <w:rsid w:val="00FE4AC3"/>
    <w:rsid w:val="00FE4BFB"/>
    <w:rsid w:val="00FE6DD0"/>
    <w:rsid w:val="00FF2B3A"/>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DC12"/>
  <w15:docId w15:val="{137C3BB4-FA5A-4E10-A6E7-008A0B79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1"/>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35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link w:val="ListParagraphChar"/>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uiPriority w:val="10"/>
    <w:qFormat/>
    <w:rsid w:val="00B673D8"/>
    <w:pPr>
      <w:numPr>
        <w:numId w:val="0"/>
      </w:numPr>
      <w:jc w:val="center"/>
    </w:pPr>
    <w:rPr>
      <w:sz w:val="28"/>
    </w:rPr>
  </w:style>
  <w:style w:type="character" w:customStyle="1" w:styleId="TitleChar">
    <w:name w:val="Title Char"/>
    <w:basedOn w:val="DefaultParagraphFont"/>
    <w:link w:val="Title"/>
    <w:uiPriority w:val="10"/>
    <w:rsid w:val="00B673D8"/>
    <w:rPr>
      <w:rFonts w:ascii="Arial" w:hAnsi="Arial" w:cs="Arial"/>
      <w:b/>
      <w:sz w:val="28"/>
    </w:rPr>
  </w:style>
  <w:style w:type="table" w:styleId="TableGrid">
    <w:name w:val="Table Grid"/>
    <w:basedOn w:val="TableNormal"/>
    <w:uiPriority w:val="59"/>
    <w:rsid w:val="0054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BF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7353B"/>
    <w:rPr>
      <w:rFonts w:asciiTheme="majorHAnsi" w:eastAsiaTheme="majorEastAsia" w:hAnsiTheme="majorHAnsi" w:cstheme="majorBidi"/>
      <w:b/>
      <w:bCs/>
      <w:color w:val="4F81BD" w:themeColor="accent1"/>
      <w:sz w:val="24"/>
    </w:rPr>
  </w:style>
  <w:style w:type="paragraph" w:customStyle="1" w:styleId="ReportTitle">
    <w:name w:val="Report Title"/>
    <w:qFormat/>
    <w:rsid w:val="00E37EE4"/>
    <w:pPr>
      <w:spacing w:after="0" w:line="240" w:lineRule="auto"/>
      <w:ind w:right="2552"/>
      <w:contextualSpacing/>
    </w:pPr>
    <w:rPr>
      <w:rFonts w:eastAsiaTheme="minorEastAsia"/>
      <w:sz w:val="88"/>
      <w:szCs w:val="88"/>
      <w:lang w:eastAsia="ko-KR"/>
    </w:rPr>
  </w:style>
  <w:style w:type="character" w:customStyle="1" w:styleId="ListParagraphChar">
    <w:name w:val="List Paragraph Char"/>
    <w:basedOn w:val="DefaultParagraphFont"/>
    <w:link w:val="ListParagraph"/>
    <w:uiPriority w:val="34"/>
    <w:rsid w:val="007F0CB9"/>
    <w:rPr>
      <w:rFonts w:ascii="Arial" w:hAnsi="Arial" w:cs="Arial"/>
      <w:sz w:val="24"/>
    </w:rPr>
  </w:style>
  <w:style w:type="paragraph" w:styleId="NoSpacing">
    <w:name w:val="No Spacing"/>
    <w:uiPriority w:val="1"/>
    <w:qFormat/>
    <w:rsid w:val="007F0CB9"/>
    <w:pPr>
      <w:spacing w:after="0" w:line="240" w:lineRule="auto"/>
    </w:pPr>
    <w:rPr>
      <w:lang w:val="nl-NL"/>
    </w:rPr>
  </w:style>
  <w:style w:type="character" w:styleId="CommentReference">
    <w:name w:val="annotation reference"/>
    <w:basedOn w:val="DefaultParagraphFont"/>
    <w:uiPriority w:val="99"/>
    <w:semiHidden/>
    <w:unhideWhenUsed/>
    <w:rsid w:val="008F5BD9"/>
    <w:rPr>
      <w:sz w:val="16"/>
      <w:szCs w:val="16"/>
    </w:rPr>
  </w:style>
  <w:style w:type="paragraph" w:styleId="CommentText">
    <w:name w:val="annotation text"/>
    <w:basedOn w:val="Normal"/>
    <w:link w:val="CommentTextChar"/>
    <w:uiPriority w:val="99"/>
    <w:semiHidden/>
    <w:unhideWhenUsed/>
    <w:rsid w:val="008F5BD9"/>
    <w:rPr>
      <w:sz w:val="20"/>
      <w:szCs w:val="20"/>
    </w:rPr>
  </w:style>
  <w:style w:type="character" w:customStyle="1" w:styleId="CommentTextChar">
    <w:name w:val="Comment Text Char"/>
    <w:basedOn w:val="DefaultParagraphFont"/>
    <w:link w:val="CommentText"/>
    <w:uiPriority w:val="99"/>
    <w:semiHidden/>
    <w:rsid w:val="008F5B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F5BD9"/>
    <w:rPr>
      <w:b/>
      <w:bCs/>
    </w:rPr>
  </w:style>
  <w:style w:type="character" w:customStyle="1" w:styleId="CommentSubjectChar">
    <w:name w:val="Comment Subject Char"/>
    <w:basedOn w:val="CommentTextChar"/>
    <w:link w:val="CommentSubject"/>
    <w:uiPriority w:val="99"/>
    <w:semiHidden/>
    <w:rsid w:val="008F5BD9"/>
    <w:rPr>
      <w:rFonts w:ascii="Arial" w:hAnsi="Arial" w:cs="Arial"/>
      <w:b/>
      <w:bCs/>
      <w:sz w:val="20"/>
      <w:szCs w:val="20"/>
    </w:rPr>
  </w:style>
  <w:style w:type="paragraph" w:customStyle="1" w:styleId="Tableheading1">
    <w:name w:val="Table heading 1"/>
    <w:basedOn w:val="Normal"/>
    <w:qFormat/>
    <w:rsid w:val="00F17E3E"/>
    <w:pPr>
      <w:snapToGrid w:val="0"/>
      <w:spacing w:after="60"/>
      <w:ind w:left="0"/>
    </w:pPr>
    <w:rPr>
      <w:rFonts w:asciiTheme="minorHAnsi" w:eastAsiaTheme="minorEastAsia" w:hAnsiTheme="minorHAnsi" w:cstheme="minorBidi"/>
      <w:b/>
      <w:lang w:eastAsia="ko-KR"/>
    </w:rPr>
  </w:style>
  <w:style w:type="paragraph" w:styleId="Revision">
    <w:name w:val="Revision"/>
    <w:hidden/>
    <w:uiPriority w:val="99"/>
    <w:semiHidden/>
    <w:rsid w:val="00DA5487"/>
    <w:pPr>
      <w:spacing w:after="0" w:line="240" w:lineRule="auto"/>
    </w:pPr>
    <w:rPr>
      <w:rFonts w:ascii="Arial" w:hAnsi="Arial" w:cs="Arial"/>
      <w:sz w:val="24"/>
    </w:rPr>
  </w:style>
  <w:style w:type="paragraph" w:styleId="PlainText">
    <w:name w:val="Plain Text"/>
    <w:basedOn w:val="Normal"/>
    <w:link w:val="PlainTextChar"/>
    <w:uiPriority w:val="99"/>
    <w:unhideWhenUsed/>
    <w:rsid w:val="00BF2224"/>
    <w:pPr>
      <w:spacing w:after="0"/>
      <w:ind w:left="0"/>
    </w:pPr>
    <w:rPr>
      <w:rFonts w:ascii="Calibri" w:eastAsia="Calibri" w:hAnsi="Calibri" w:cs="Times New Roman"/>
      <w:sz w:val="22"/>
    </w:rPr>
  </w:style>
  <w:style w:type="character" w:customStyle="1" w:styleId="PlainTextChar">
    <w:name w:val="Plain Text Char"/>
    <w:basedOn w:val="DefaultParagraphFont"/>
    <w:link w:val="PlainText"/>
    <w:uiPriority w:val="99"/>
    <w:rsid w:val="00BF22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7801-4570-42C3-BD85-2B4CAF76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Truda Scriven</dc:creator>
  <cp:lastModifiedBy>RAHEEM, Oyetona (MOORFIELDS EYE HOSPITAL NHS FOUNDATION TRUST)</cp:lastModifiedBy>
  <cp:revision>8</cp:revision>
  <cp:lastPrinted>2023-04-13T09:15:00Z</cp:lastPrinted>
  <dcterms:created xsi:type="dcterms:W3CDTF">2023-04-13T12:26:00Z</dcterms:created>
  <dcterms:modified xsi:type="dcterms:W3CDTF">2023-05-19T11:46:00Z</dcterms:modified>
</cp:coreProperties>
</file>