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0BCF4" w14:textId="7FC1F5F0" w:rsidR="007C628B" w:rsidRPr="00317BA1" w:rsidRDefault="007C628B" w:rsidP="007C628B">
      <w:pPr>
        <w:rPr>
          <w:rFonts w:cstheme="minorHAnsi"/>
        </w:rPr>
      </w:pPr>
    </w:p>
    <w:p w14:paraId="18546ECE" w14:textId="77777777" w:rsidR="009512C4" w:rsidRPr="00317BA1" w:rsidRDefault="009512C4" w:rsidP="009512C4">
      <w:pPr>
        <w:spacing w:after="0"/>
        <w:jc w:val="right"/>
        <w:rPr>
          <w:rFonts w:cstheme="minorHAnsi"/>
          <w: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6945"/>
      </w:tblGrid>
      <w:tr w:rsidR="00E34EBF" w:rsidRPr="00317BA1" w14:paraId="11ABD24B" w14:textId="77777777" w:rsidTr="004733BC">
        <w:tc>
          <w:tcPr>
            <w:tcW w:w="2977" w:type="dxa"/>
            <w:tcBorders>
              <w:top w:val="single" w:sz="4" w:space="0" w:color="auto"/>
              <w:left w:val="single" w:sz="4" w:space="0" w:color="auto"/>
              <w:bottom w:val="single" w:sz="4" w:space="0" w:color="auto"/>
              <w:right w:val="single" w:sz="4" w:space="0" w:color="auto"/>
            </w:tcBorders>
            <w:hideMark/>
          </w:tcPr>
          <w:p w14:paraId="2A9D854E" w14:textId="77777777" w:rsidR="00E34EBF" w:rsidRPr="00317BA1" w:rsidRDefault="00E34EBF" w:rsidP="007C628B">
            <w:pPr>
              <w:spacing w:before="20" w:after="20"/>
              <w:rPr>
                <w:rFonts w:cstheme="minorHAnsi"/>
                <w:b/>
              </w:rPr>
            </w:pPr>
            <w:r w:rsidRPr="00317BA1">
              <w:rPr>
                <w:rFonts w:cstheme="minorHAnsi"/>
                <w:b/>
              </w:rPr>
              <w:t xml:space="preserve">Report </w:t>
            </w:r>
            <w:r w:rsidR="007C628B" w:rsidRPr="00317BA1">
              <w:rPr>
                <w:rFonts w:cstheme="minorHAnsi"/>
                <w:b/>
              </w:rPr>
              <w:t>t</w:t>
            </w:r>
            <w:r w:rsidRPr="00317BA1">
              <w:rPr>
                <w:rFonts w:cstheme="minorHAnsi"/>
                <w:b/>
              </w:rPr>
              <w:t>itle</w:t>
            </w:r>
          </w:p>
        </w:tc>
        <w:tc>
          <w:tcPr>
            <w:tcW w:w="6945" w:type="dxa"/>
            <w:tcBorders>
              <w:top w:val="single" w:sz="4" w:space="0" w:color="auto"/>
              <w:left w:val="single" w:sz="4" w:space="0" w:color="auto"/>
              <w:bottom w:val="single" w:sz="4" w:space="0" w:color="auto"/>
              <w:right w:val="single" w:sz="4" w:space="0" w:color="auto"/>
            </w:tcBorders>
          </w:tcPr>
          <w:p w14:paraId="780FD002" w14:textId="0D896415" w:rsidR="00E34EBF" w:rsidRPr="00317BA1" w:rsidRDefault="007A3CBD" w:rsidP="00DA6040">
            <w:pPr>
              <w:spacing w:before="20" w:after="20"/>
              <w:rPr>
                <w:rFonts w:cstheme="minorHAnsi"/>
              </w:rPr>
            </w:pPr>
            <w:r>
              <w:rPr>
                <w:rFonts w:cstheme="minorHAnsi"/>
              </w:rPr>
              <w:t>BAF and corporate risk register</w:t>
            </w:r>
            <w:r w:rsidR="008F2ED7">
              <w:rPr>
                <w:rFonts w:cstheme="minorHAnsi"/>
              </w:rPr>
              <w:t xml:space="preserve"> –</w:t>
            </w:r>
            <w:r w:rsidR="00286D73">
              <w:rPr>
                <w:rFonts w:cstheme="minorHAnsi"/>
              </w:rPr>
              <w:t xml:space="preserve"> </w:t>
            </w:r>
            <w:r w:rsidR="00C52EE6">
              <w:rPr>
                <w:rFonts w:cstheme="minorHAnsi"/>
              </w:rPr>
              <w:t>Q</w:t>
            </w:r>
            <w:r w:rsidR="007C4F9A">
              <w:rPr>
                <w:rFonts w:cstheme="minorHAnsi"/>
              </w:rPr>
              <w:t>3</w:t>
            </w:r>
            <w:r w:rsidR="00C52EE6">
              <w:rPr>
                <w:rFonts w:cstheme="minorHAnsi"/>
              </w:rPr>
              <w:t xml:space="preserve"> 202</w:t>
            </w:r>
            <w:r w:rsidR="00CE4E93">
              <w:rPr>
                <w:rFonts w:cstheme="minorHAnsi"/>
              </w:rPr>
              <w:t>2</w:t>
            </w:r>
            <w:r w:rsidR="00C52EE6">
              <w:rPr>
                <w:rFonts w:cstheme="minorHAnsi"/>
              </w:rPr>
              <w:t>/2</w:t>
            </w:r>
            <w:r w:rsidR="00CE4E93">
              <w:rPr>
                <w:rFonts w:cstheme="minorHAnsi"/>
              </w:rPr>
              <w:t>3</w:t>
            </w:r>
            <w:r w:rsidR="00C52EE6">
              <w:rPr>
                <w:rFonts w:cstheme="minorHAnsi"/>
              </w:rPr>
              <w:t xml:space="preserve"> update</w:t>
            </w:r>
          </w:p>
        </w:tc>
      </w:tr>
      <w:tr w:rsidR="00E34EBF" w:rsidRPr="00317BA1" w14:paraId="4D3E6959" w14:textId="77777777" w:rsidTr="004733BC">
        <w:tc>
          <w:tcPr>
            <w:tcW w:w="2977" w:type="dxa"/>
            <w:tcBorders>
              <w:top w:val="single" w:sz="4" w:space="0" w:color="auto"/>
              <w:left w:val="single" w:sz="4" w:space="0" w:color="auto"/>
              <w:bottom w:val="single" w:sz="4" w:space="0" w:color="auto"/>
              <w:right w:val="single" w:sz="4" w:space="0" w:color="auto"/>
            </w:tcBorders>
            <w:hideMark/>
          </w:tcPr>
          <w:p w14:paraId="07AF3A93" w14:textId="77777777" w:rsidR="00E34EBF" w:rsidRPr="00317BA1" w:rsidRDefault="00E34EBF" w:rsidP="0021663F">
            <w:pPr>
              <w:spacing w:before="20" w:after="20"/>
              <w:rPr>
                <w:rFonts w:cstheme="minorHAnsi"/>
                <w:b/>
              </w:rPr>
            </w:pPr>
            <w:r w:rsidRPr="00317BA1">
              <w:rPr>
                <w:rFonts w:cstheme="minorHAnsi"/>
                <w:b/>
              </w:rPr>
              <w:t>Report from</w:t>
            </w:r>
          </w:p>
        </w:tc>
        <w:tc>
          <w:tcPr>
            <w:tcW w:w="6945" w:type="dxa"/>
            <w:tcBorders>
              <w:top w:val="single" w:sz="4" w:space="0" w:color="auto"/>
              <w:left w:val="single" w:sz="4" w:space="0" w:color="auto"/>
              <w:bottom w:val="single" w:sz="4" w:space="0" w:color="auto"/>
              <w:right w:val="single" w:sz="4" w:space="0" w:color="auto"/>
            </w:tcBorders>
          </w:tcPr>
          <w:p w14:paraId="6866DD23" w14:textId="0DE39D56" w:rsidR="00E34EBF" w:rsidRPr="00317BA1" w:rsidRDefault="007C4F9A" w:rsidP="006119DE">
            <w:pPr>
              <w:spacing w:before="20" w:after="20"/>
              <w:rPr>
                <w:rFonts w:cstheme="minorHAnsi"/>
              </w:rPr>
            </w:pPr>
            <w:r>
              <w:rPr>
                <w:rFonts w:cstheme="minorHAnsi"/>
              </w:rPr>
              <w:t>Head of corporate governance</w:t>
            </w:r>
          </w:p>
        </w:tc>
      </w:tr>
      <w:tr w:rsidR="00212301" w:rsidRPr="00317BA1" w14:paraId="40AE4F61" w14:textId="77777777" w:rsidTr="004733BC">
        <w:tc>
          <w:tcPr>
            <w:tcW w:w="2977" w:type="dxa"/>
            <w:tcBorders>
              <w:top w:val="single" w:sz="4" w:space="0" w:color="auto"/>
              <w:left w:val="single" w:sz="4" w:space="0" w:color="auto"/>
              <w:bottom w:val="single" w:sz="4" w:space="0" w:color="auto"/>
              <w:right w:val="single" w:sz="4" w:space="0" w:color="auto"/>
            </w:tcBorders>
            <w:hideMark/>
          </w:tcPr>
          <w:p w14:paraId="439C73E0" w14:textId="77777777" w:rsidR="00212301" w:rsidRPr="00317BA1" w:rsidRDefault="00171E55" w:rsidP="006406CC">
            <w:pPr>
              <w:spacing w:before="20" w:after="20"/>
              <w:rPr>
                <w:rFonts w:cstheme="minorHAnsi"/>
                <w:b/>
              </w:rPr>
            </w:pPr>
            <w:r w:rsidRPr="00317BA1">
              <w:rPr>
                <w:rFonts w:cstheme="minorHAnsi"/>
                <w:b/>
              </w:rPr>
              <w:t xml:space="preserve">Previously </w:t>
            </w:r>
            <w:r w:rsidR="006406CC" w:rsidRPr="00317BA1">
              <w:rPr>
                <w:rFonts w:cstheme="minorHAnsi"/>
                <w:b/>
              </w:rPr>
              <w:t>discussed</w:t>
            </w:r>
            <w:r w:rsidRPr="00317BA1">
              <w:rPr>
                <w:rFonts w:cstheme="minorHAnsi"/>
                <w:b/>
              </w:rPr>
              <w:t xml:space="preserve"> at</w:t>
            </w:r>
          </w:p>
        </w:tc>
        <w:tc>
          <w:tcPr>
            <w:tcW w:w="6945" w:type="dxa"/>
            <w:tcBorders>
              <w:top w:val="single" w:sz="4" w:space="0" w:color="auto"/>
              <w:left w:val="single" w:sz="4" w:space="0" w:color="auto"/>
              <w:bottom w:val="single" w:sz="4" w:space="0" w:color="auto"/>
              <w:right w:val="single" w:sz="4" w:space="0" w:color="auto"/>
            </w:tcBorders>
          </w:tcPr>
          <w:p w14:paraId="641625A0" w14:textId="61579A81" w:rsidR="00212301" w:rsidRPr="00317BA1" w:rsidRDefault="00EE79B9" w:rsidP="00F5464E">
            <w:pPr>
              <w:spacing w:before="20" w:after="20"/>
              <w:rPr>
                <w:rFonts w:cstheme="minorHAnsi"/>
              </w:rPr>
            </w:pPr>
            <w:r w:rsidRPr="00317BA1">
              <w:rPr>
                <w:rFonts w:cstheme="minorHAnsi"/>
              </w:rPr>
              <w:t>With</w:t>
            </w:r>
            <w:r w:rsidR="00984475" w:rsidRPr="00317BA1">
              <w:rPr>
                <w:rFonts w:cstheme="minorHAnsi"/>
              </w:rPr>
              <w:t xml:space="preserve"> individual risk owners</w:t>
            </w:r>
            <w:r w:rsidR="00B75C1C">
              <w:rPr>
                <w:rFonts w:cstheme="minorHAnsi"/>
              </w:rPr>
              <w:t xml:space="preserve">, </w:t>
            </w:r>
            <w:proofErr w:type="gramStart"/>
            <w:r w:rsidR="00B75C1C">
              <w:rPr>
                <w:rFonts w:cstheme="minorHAnsi"/>
              </w:rPr>
              <w:t>audit</w:t>
            </w:r>
            <w:proofErr w:type="gramEnd"/>
            <w:r w:rsidR="00B75C1C">
              <w:rPr>
                <w:rFonts w:cstheme="minorHAnsi"/>
              </w:rPr>
              <w:t xml:space="preserve"> and risk committee</w:t>
            </w:r>
          </w:p>
        </w:tc>
      </w:tr>
      <w:tr w:rsidR="006406CC" w:rsidRPr="00317BA1" w14:paraId="757A189B" w14:textId="77777777" w:rsidTr="004733BC">
        <w:tc>
          <w:tcPr>
            <w:tcW w:w="2977" w:type="dxa"/>
            <w:tcBorders>
              <w:top w:val="single" w:sz="4" w:space="0" w:color="auto"/>
              <w:left w:val="single" w:sz="4" w:space="0" w:color="auto"/>
              <w:bottom w:val="single" w:sz="4" w:space="0" w:color="auto"/>
              <w:right w:val="single" w:sz="4" w:space="0" w:color="auto"/>
            </w:tcBorders>
          </w:tcPr>
          <w:p w14:paraId="7A28176C" w14:textId="011F65F6" w:rsidR="006406CC" w:rsidRPr="00317BA1" w:rsidRDefault="005563A7" w:rsidP="0021663F">
            <w:pPr>
              <w:spacing w:before="20" w:after="20"/>
              <w:rPr>
                <w:rFonts w:cstheme="minorHAnsi"/>
                <w:b/>
              </w:rPr>
            </w:pPr>
            <w:r>
              <w:rPr>
                <w:rFonts w:cstheme="minorHAnsi"/>
                <w:b/>
              </w:rPr>
              <w:t>Link to strategic objectives</w:t>
            </w:r>
          </w:p>
        </w:tc>
        <w:tc>
          <w:tcPr>
            <w:tcW w:w="6945" w:type="dxa"/>
            <w:tcBorders>
              <w:top w:val="single" w:sz="4" w:space="0" w:color="auto"/>
              <w:left w:val="single" w:sz="4" w:space="0" w:color="auto"/>
              <w:bottom w:val="single" w:sz="4" w:space="0" w:color="auto"/>
              <w:right w:val="single" w:sz="4" w:space="0" w:color="auto"/>
            </w:tcBorders>
          </w:tcPr>
          <w:p w14:paraId="6F178C9B" w14:textId="1B6850F1" w:rsidR="00FD6BA1" w:rsidRPr="00317BA1" w:rsidRDefault="005563A7" w:rsidP="00F5464E">
            <w:pPr>
              <w:spacing w:before="20" w:after="20"/>
              <w:rPr>
                <w:rFonts w:cstheme="minorHAnsi"/>
              </w:rPr>
            </w:pPr>
            <w:r>
              <w:rPr>
                <w:rFonts w:cstheme="minorHAnsi"/>
              </w:rPr>
              <w:t>The corporate risk register and risk appetite statement links to all strategic objectives</w:t>
            </w:r>
          </w:p>
        </w:tc>
      </w:tr>
    </w:tbl>
    <w:p w14:paraId="045E096E" w14:textId="77777777" w:rsidR="00984475" w:rsidRPr="00317BA1" w:rsidRDefault="00984475" w:rsidP="006406CC">
      <w:pPr>
        <w:spacing w:after="0"/>
        <w:rPr>
          <w:rFonts w:cstheme="minorHAnsi"/>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389"/>
        <w:gridCol w:w="2073"/>
        <w:gridCol w:w="340"/>
        <w:gridCol w:w="2019"/>
        <w:gridCol w:w="389"/>
        <w:gridCol w:w="2262"/>
        <w:gridCol w:w="357"/>
      </w:tblGrid>
      <w:tr w:rsidR="00E34EBF" w:rsidRPr="00317BA1" w14:paraId="2FDC47AD" w14:textId="77777777" w:rsidTr="00210566">
        <w:tc>
          <w:tcPr>
            <w:tcW w:w="9854" w:type="dxa"/>
            <w:gridSpan w:val="8"/>
            <w:tcBorders>
              <w:top w:val="single" w:sz="4" w:space="0" w:color="auto"/>
              <w:left w:val="single" w:sz="4" w:space="0" w:color="auto"/>
              <w:bottom w:val="single" w:sz="4" w:space="0" w:color="auto"/>
              <w:right w:val="single" w:sz="4" w:space="0" w:color="auto"/>
            </w:tcBorders>
          </w:tcPr>
          <w:p w14:paraId="1FC2659E" w14:textId="7247D54F" w:rsidR="00E34EBF" w:rsidRPr="00317BA1" w:rsidRDefault="00E34EBF" w:rsidP="007C628B">
            <w:pPr>
              <w:spacing w:after="120" w:line="240" w:lineRule="auto"/>
              <w:rPr>
                <w:rFonts w:cstheme="minorHAnsi"/>
                <w:b/>
              </w:rPr>
            </w:pPr>
            <w:proofErr w:type="gramStart"/>
            <w:r w:rsidRPr="00317BA1">
              <w:rPr>
                <w:rFonts w:cstheme="minorHAnsi"/>
                <w:b/>
              </w:rPr>
              <w:t>Brief</w:t>
            </w:r>
            <w:r w:rsidRPr="00317BA1">
              <w:rPr>
                <w:rFonts w:cstheme="minorHAnsi"/>
              </w:rPr>
              <w:t xml:space="preserve"> </w:t>
            </w:r>
            <w:r w:rsidR="007C628B" w:rsidRPr="00317BA1">
              <w:rPr>
                <w:rFonts w:cstheme="minorHAnsi"/>
                <w:b/>
              </w:rPr>
              <w:t>summary</w:t>
            </w:r>
            <w:proofErr w:type="gramEnd"/>
            <w:r w:rsidR="007C628B" w:rsidRPr="00317BA1">
              <w:rPr>
                <w:rFonts w:cstheme="minorHAnsi"/>
                <w:b/>
              </w:rPr>
              <w:t xml:space="preserve"> of r</w:t>
            </w:r>
            <w:r w:rsidRPr="00317BA1">
              <w:rPr>
                <w:rFonts w:cstheme="minorHAnsi"/>
                <w:b/>
              </w:rPr>
              <w:t xml:space="preserve">eport  </w:t>
            </w:r>
          </w:p>
          <w:p w14:paraId="401990FE" w14:textId="7A1B8CD6" w:rsidR="007F2B26" w:rsidRPr="00317BA1" w:rsidRDefault="00A422D9" w:rsidP="005563A7">
            <w:pPr>
              <w:spacing w:after="120" w:line="240" w:lineRule="auto"/>
              <w:jc w:val="both"/>
              <w:rPr>
                <w:rFonts w:cstheme="minorHAnsi"/>
              </w:rPr>
            </w:pPr>
            <w:r w:rsidRPr="00317BA1">
              <w:rPr>
                <w:rFonts w:cstheme="minorHAnsi"/>
              </w:rPr>
              <w:t xml:space="preserve">The </w:t>
            </w:r>
            <w:r w:rsidR="00B04BDF">
              <w:rPr>
                <w:rFonts w:cstheme="minorHAnsi"/>
              </w:rPr>
              <w:t xml:space="preserve">trust’s corporate risk register is </w:t>
            </w:r>
            <w:proofErr w:type="gramStart"/>
            <w:r w:rsidRPr="00317BA1">
              <w:rPr>
                <w:rFonts w:cstheme="minorHAnsi"/>
              </w:rPr>
              <w:t>the means by which</w:t>
            </w:r>
            <w:proofErr w:type="gramEnd"/>
            <w:r w:rsidRPr="00317BA1">
              <w:rPr>
                <w:rFonts w:cstheme="minorHAnsi"/>
              </w:rPr>
              <w:t xml:space="preserve"> the </w:t>
            </w:r>
            <w:r w:rsidR="00B04BDF">
              <w:rPr>
                <w:rFonts w:cstheme="minorHAnsi"/>
              </w:rPr>
              <w:t>management executive</w:t>
            </w:r>
            <w:r w:rsidRPr="00317BA1">
              <w:rPr>
                <w:rFonts w:cstheme="minorHAnsi"/>
              </w:rPr>
              <w:t xml:space="preserve"> holds itself to account and defends its patients and staff as well as the trust. It helps to clarify what risks </w:t>
            </w:r>
            <w:r w:rsidR="00B04BDF">
              <w:rPr>
                <w:rFonts w:cstheme="minorHAnsi"/>
              </w:rPr>
              <w:t>are likely to</w:t>
            </w:r>
            <w:r w:rsidRPr="00317BA1">
              <w:rPr>
                <w:rFonts w:cstheme="minorHAnsi"/>
              </w:rPr>
              <w:t xml:space="preserve"> compromise the trust’s </w:t>
            </w:r>
            <w:r w:rsidR="005563A7">
              <w:rPr>
                <w:rFonts w:cstheme="minorHAnsi"/>
              </w:rPr>
              <w:t>strategic and operational</w:t>
            </w:r>
            <w:r w:rsidRPr="00317BA1">
              <w:rPr>
                <w:rFonts w:cstheme="minorHAnsi"/>
              </w:rPr>
              <w:t xml:space="preserve"> objectives </w:t>
            </w:r>
            <w:r w:rsidR="00B04BDF">
              <w:rPr>
                <w:rFonts w:cstheme="minorHAnsi"/>
              </w:rPr>
              <w:t xml:space="preserve">and assists the executive team </w:t>
            </w:r>
            <w:r w:rsidR="005563A7">
              <w:rPr>
                <w:rFonts w:cstheme="minorHAnsi"/>
              </w:rPr>
              <w:t>in identifying where to</w:t>
            </w:r>
            <w:r w:rsidR="00E510BC" w:rsidRPr="00317BA1">
              <w:rPr>
                <w:rFonts w:cstheme="minorHAnsi"/>
              </w:rPr>
              <w:t xml:space="preserve"> make the most efficient use of their resources </w:t>
            </w:r>
            <w:proofErr w:type="gramStart"/>
            <w:r w:rsidR="00E510BC" w:rsidRPr="00317BA1">
              <w:rPr>
                <w:rFonts w:cstheme="minorHAnsi"/>
              </w:rPr>
              <w:t>in order to</w:t>
            </w:r>
            <w:proofErr w:type="gramEnd"/>
            <w:r w:rsidR="00E510BC" w:rsidRPr="00317BA1">
              <w:rPr>
                <w:rFonts w:cstheme="minorHAnsi"/>
              </w:rPr>
              <w:t xml:space="preserve"> improve the quality and safety of care</w:t>
            </w:r>
            <w:r w:rsidRPr="00317BA1">
              <w:rPr>
                <w:rFonts w:cstheme="minorHAnsi"/>
              </w:rPr>
              <w:t xml:space="preserve">. </w:t>
            </w:r>
            <w:r w:rsidR="00B04BDF">
              <w:rPr>
                <w:rFonts w:cstheme="minorHAnsi"/>
              </w:rPr>
              <w:t xml:space="preserve">Along with the board assurance framework, this </w:t>
            </w:r>
            <w:r w:rsidRPr="00317BA1">
              <w:rPr>
                <w:rFonts w:cstheme="minorHAnsi"/>
              </w:rPr>
              <w:t xml:space="preserve">should support the creation of a culture which allows the organisation to anticipate and respond to adverse events, unwelcome trends and significant business and clinical opportunities. </w:t>
            </w:r>
          </w:p>
        </w:tc>
      </w:tr>
      <w:tr w:rsidR="00B04BDF" w:rsidRPr="00317BA1" w14:paraId="65FA7C96" w14:textId="77777777" w:rsidTr="00210566">
        <w:tc>
          <w:tcPr>
            <w:tcW w:w="9854" w:type="dxa"/>
            <w:gridSpan w:val="8"/>
            <w:tcBorders>
              <w:top w:val="single" w:sz="4" w:space="0" w:color="auto"/>
              <w:left w:val="single" w:sz="4" w:space="0" w:color="auto"/>
              <w:bottom w:val="single" w:sz="4" w:space="0" w:color="auto"/>
              <w:right w:val="single" w:sz="4" w:space="0" w:color="auto"/>
            </w:tcBorders>
          </w:tcPr>
          <w:p w14:paraId="558A74DC" w14:textId="3BB20B1E" w:rsidR="00B04BDF" w:rsidRDefault="00B04BDF" w:rsidP="007C628B">
            <w:pPr>
              <w:spacing w:after="120" w:line="240" w:lineRule="auto"/>
              <w:rPr>
                <w:rFonts w:cstheme="minorHAnsi"/>
                <w:b/>
              </w:rPr>
            </w:pPr>
            <w:r>
              <w:rPr>
                <w:rFonts w:cstheme="minorHAnsi"/>
                <w:b/>
              </w:rPr>
              <w:t>Quality implications</w:t>
            </w:r>
          </w:p>
          <w:p w14:paraId="6D8A1953" w14:textId="06E05CD2" w:rsidR="00B04BDF" w:rsidRPr="00B04BDF" w:rsidRDefault="00B04BDF" w:rsidP="007C628B">
            <w:pPr>
              <w:spacing w:after="120" w:line="240" w:lineRule="auto"/>
              <w:rPr>
                <w:rFonts w:cstheme="minorHAnsi"/>
              </w:rPr>
            </w:pPr>
            <w:r>
              <w:rPr>
                <w:rFonts w:cstheme="minorHAnsi"/>
              </w:rPr>
              <w:t xml:space="preserve">The trust must have a robust approach to risk management </w:t>
            </w:r>
            <w:proofErr w:type="gramStart"/>
            <w:r>
              <w:rPr>
                <w:rFonts w:cstheme="minorHAnsi"/>
              </w:rPr>
              <w:t>in order to</w:t>
            </w:r>
            <w:proofErr w:type="gramEnd"/>
            <w:r>
              <w:rPr>
                <w:rFonts w:cstheme="minorHAnsi"/>
              </w:rPr>
              <w:t xml:space="preserve"> maintain the highest standards of quality care provided to patients. Identification and mitigation of risk is an important tool in being able to manage events that could have an impact. </w:t>
            </w:r>
          </w:p>
        </w:tc>
      </w:tr>
      <w:tr w:rsidR="00B04BDF" w:rsidRPr="00317BA1" w14:paraId="20D95261" w14:textId="77777777" w:rsidTr="00210566">
        <w:tc>
          <w:tcPr>
            <w:tcW w:w="9854" w:type="dxa"/>
            <w:gridSpan w:val="8"/>
            <w:tcBorders>
              <w:top w:val="single" w:sz="4" w:space="0" w:color="auto"/>
              <w:left w:val="single" w:sz="4" w:space="0" w:color="auto"/>
              <w:bottom w:val="single" w:sz="4" w:space="0" w:color="auto"/>
              <w:right w:val="single" w:sz="4" w:space="0" w:color="auto"/>
            </w:tcBorders>
          </w:tcPr>
          <w:p w14:paraId="6855AA32" w14:textId="396F2C10" w:rsidR="00B04BDF" w:rsidRDefault="00B04BDF" w:rsidP="007C628B">
            <w:pPr>
              <w:spacing w:after="120" w:line="240" w:lineRule="auto"/>
              <w:rPr>
                <w:rFonts w:cstheme="minorHAnsi"/>
                <w:b/>
              </w:rPr>
            </w:pPr>
            <w:r>
              <w:rPr>
                <w:rFonts w:cstheme="minorHAnsi"/>
                <w:b/>
              </w:rPr>
              <w:t>Financial implications</w:t>
            </w:r>
          </w:p>
          <w:p w14:paraId="606514BC" w14:textId="78FA2ADD" w:rsidR="00B04BDF" w:rsidRPr="00B04BDF" w:rsidRDefault="00B04BDF" w:rsidP="007C628B">
            <w:pPr>
              <w:spacing w:after="120" w:line="240" w:lineRule="auto"/>
              <w:rPr>
                <w:rFonts w:cstheme="minorHAnsi"/>
              </w:rPr>
            </w:pPr>
            <w:r w:rsidRPr="00B04BDF">
              <w:rPr>
                <w:rFonts w:cstheme="minorHAnsi"/>
              </w:rPr>
              <w:t xml:space="preserve">There are no financial implications arising from this paper. </w:t>
            </w:r>
          </w:p>
        </w:tc>
      </w:tr>
      <w:tr w:rsidR="00B04BDF" w:rsidRPr="00317BA1" w14:paraId="004A5DB4" w14:textId="77777777" w:rsidTr="00210566">
        <w:tc>
          <w:tcPr>
            <w:tcW w:w="9854" w:type="dxa"/>
            <w:gridSpan w:val="8"/>
            <w:tcBorders>
              <w:top w:val="single" w:sz="4" w:space="0" w:color="auto"/>
              <w:left w:val="single" w:sz="4" w:space="0" w:color="auto"/>
              <w:bottom w:val="single" w:sz="4" w:space="0" w:color="auto"/>
              <w:right w:val="single" w:sz="4" w:space="0" w:color="auto"/>
            </w:tcBorders>
          </w:tcPr>
          <w:p w14:paraId="304B644F" w14:textId="5754067C" w:rsidR="00B04BDF" w:rsidRDefault="00B04BDF" w:rsidP="007C628B">
            <w:pPr>
              <w:spacing w:after="120" w:line="240" w:lineRule="auto"/>
              <w:rPr>
                <w:rFonts w:cstheme="minorHAnsi"/>
                <w:b/>
              </w:rPr>
            </w:pPr>
            <w:r>
              <w:rPr>
                <w:rFonts w:cstheme="minorHAnsi"/>
                <w:b/>
              </w:rPr>
              <w:t>Risk implications</w:t>
            </w:r>
          </w:p>
          <w:p w14:paraId="6B218724" w14:textId="4D89B071" w:rsidR="00B04BDF" w:rsidRPr="00B04BDF" w:rsidRDefault="00B04BDF" w:rsidP="007C628B">
            <w:pPr>
              <w:spacing w:after="120" w:line="240" w:lineRule="auto"/>
              <w:rPr>
                <w:rFonts w:cstheme="minorHAnsi"/>
              </w:rPr>
            </w:pPr>
            <w:r w:rsidRPr="00B04BDF">
              <w:rPr>
                <w:rFonts w:cstheme="minorHAnsi"/>
              </w:rPr>
              <w:t xml:space="preserve">As detailed in the paper. </w:t>
            </w:r>
          </w:p>
        </w:tc>
      </w:tr>
      <w:tr w:rsidR="00E34EBF" w:rsidRPr="00317BA1" w14:paraId="69BCBADD" w14:textId="77777777" w:rsidTr="00210566">
        <w:tc>
          <w:tcPr>
            <w:tcW w:w="9854" w:type="dxa"/>
            <w:gridSpan w:val="8"/>
            <w:tcBorders>
              <w:top w:val="single" w:sz="4" w:space="0" w:color="auto"/>
              <w:left w:val="single" w:sz="4" w:space="0" w:color="auto"/>
              <w:bottom w:val="single" w:sz="4" w:space="0" w:color="auto"/>
              <w:right w:val="single" w:sz="4" w:space="0" w:color="auto"/>
            </w:tcBorders>
          </w:tcPr>
          <w:p w14:paraId="30B684CD" w14:textId="77777777" w:rsidR="00E34EBF" w:rsidRPr="00317BA1" w:rsidRDefault="00E34EBF" w:rsidP="007C628B">
            <w:pPr>
              <w:spacing w:after="120" w:line="240" w:lineRule="auto"/>
              <w:rPr>
                <w:rFonts w:cstheme="minorHAnsi"/>
                <w:b/>
              </w:rPr>
            </w:pPr>
            <w:r w:rsidRPr="00317BA1">
              <w:rPr>
                <w:rFonts w:cstheme="minorHAnsi"/>
                <w:b/>
              </w:rPr>
              <w:t>Action Required/Recommendation</w:t>
            </w:r>
            <w:r w:rsidR="00AE4054" w:rsidRPr="00317BA1">
              <w:rPr>
                <w:rFonts w:cstheme="minorHAnsi"/>
                <w:b/>
              </w:rPr>
              <w:t xml:space="preserve">. </w:t>
            </w:r>
          </w:p>
          <w:p w14:paraId="651174DA" w14:textId="50A09A8C" w:rsidR="005563A7" w:rsidRPr="00317BA1" w:rsidRDefault="00E733ED" w:rsidP="007A3CBD">
            <w:pPr>
              <w:spacing w:after="120" w:line="240" w:lineRule="auto"/>
              <w:rPr>
                <w:rFonts w:cstheme="minorHAnsi"/>
              </w:rPr>
            </w:pPr>
            <w:r w:rsidRPr="00317BA1">
              <w:rPr>
                <w:rFonts w:cstheme="minorHAnsi"/>
              </w:rPr>
              <w:t xml:space="preserve">The </w:t>
            </w:r>
            <w:r w:rsidR="00B85305">
              <w:rPr>
                <w:rFonts w:cstheme="minorHAnsi"/>
              </w:rPr>
              <w:t>board</w:t>
            </w:r>
            <w:r w:rsidR="00726EF8">
              <w:rPr>
                <w:rFonts w:cstheme="minorHAnsi"/>
              </w:rPr>
              <w:t xml:space="preserve"> is asked to note the report and discuss risk updates. </w:t>
            </w:r>
          </w:p>
        </w:tc>
      </w:tr>
      <w:tr w:rsidR="00CC2587" w:rsidRPr="00317BA1" w14:paraId="0452D179" w14:textId="77777777" w:rsidTr="00CC2587">
        <w:tc>
          <w:tcPr>
            <w:tcW w:w="2126" w:type="dxa"/>
            <w:tcBorders>
              <w:top w:val="single" w:sz="4" w:space="0" w:color="auto"/>
              <w:left w:val="single" w:sz="4" w:space="0" w:color="auto"/>
              <w:bottom w:val="single" w:sz="4" w:space="0" w:color="auto"/>
              <w:right w:val="single" w:sz="4" w:space="0" w:color="auto"/>
            </w:tcBorders>
            <w:vAlign w:val="center"/>
          </w:tcPr>
          <w:p w14:paraId="0859B12A" w14:textId="77777777" w:rsidR="00CC2587" w:rsidRPr="00317BA1" w:rsidRDefault="00CC2587" w:rsidP="00CC2587">
            <w:pPr>
              <w:spacing w:before="120" w:after="120" w:line="240" w:lineRule="auto"/>
              <w:jc w:val="right"/>
              <w:rPr>
                <w:rFonts w:cstheme="minorHAnsi"/>
                <w:b/>
              </w:rPr>
            </w:pPr>
            <w:r w:rsidRPr="00317BA1">
              <w:rPr>
                <w:rFonts w:cstheme="minorHAnsi"/>
                <w:b/>
              </w:rPr>
              <w:t>For Assurance</w:t>
            </w:r>
          </w:p>
        </w:tc>
        <w:tc>
          <w:tcPr>
            <w:tcW w:w="337" w:type="dxa"/>
            <w:tcBorders>
              <w:top w:val="single" w:sz="4" w:space="0" w:color="auto"/>
              <w:left w:val="single" w:sz="4" w:space="0" w:color="auto"/>
              <w:bottom w:val="single" w:sz="4" w:space="0" w:color="auto"/>
              <w:right w:val="single" w:sz="4" w:space="0" w:color="auto"/>
            </w:tcBorders>
            <w:vAlign w:val="center"/>
          </w:tcPr>
          <w:p w14:paraId="73EE5BEA" w14:textId="68476FF1" w:rsidR="00CC2587" w:rsidRPr="00317BA1" w:rsidRDefault="00984475" w:rsidP="00CC2587">
            <w:pPr>
              <w:spacing w:before="120" w:after="120" w:line="240" w:lineRule="auto"/>
              <w:jc w:val="right"/>
              <w:rPr>
                <w:rFonts w:cstheme="minorHAnsi"/>
                <w:b/>
              </w:rPr>
            </w:pPr>
            <w:r w:rsidRPr="00317BA1">
              <w:rPr>
                <w:rFonts w:cstheme="minorHAnsi"/>
                <w:b/>
              </w:rPr>
              <w:sym w:font="Wingdings" w:char="F0FC"/>
            </w:r>
          </w:p>
        </w:tc>
        <w:tc>
          <w:tcPr>
            <w:tcW w:w="2073" w:type="dxa"/>
            <w:tcBorders>
              <w:top w:val="single" w:sz="4" w:space="0" w:color="auto"/>
              <w:left w:val="single" w:sz="4" w:space="0" w:color="auto"/>
              <w:bottom w:val="single" w:sz="4" w:space="0" w:color="auto"/>
              <w:right w:val="single" w:sz="4" w:space="0" w:color="auto"/>
            </w:tcBorders>
            <w:vAlign w:val="center"/>
          </w:tcPr>
          <w:p w14:paraId="1A492109" w14:textId="77777777" w:rsidR="00CC2587" w:rsidRPr="00317BA1" w:rsidRDefault="00CC2587" w:rsidP="00CC2587">
            <w:pPr>
              <w:spacing w:before="120" w:after="120" w:line="240" w:lineRule="auto"/>
              <w:jc w:val="right"/>
              <w:rPr>
                <w:rFonts w:cstheme="minorHAnsi"/>
                <w:b/>
              </w:rPr>
            </w:pPr>
            <w:r w:rsidRPr="00317BA1">
              <w:rPr>
                <w:rFonts w:cstheme="minorHAnsi"/>
                <w:b/>
              </w:rPr>
              <w:t>For decision</w:t>
            </w:r>
          </w:p>
        </w:tc>
        <w:tc>
          <w:tcPr>
            <w:tcW w:w="340" w:type="dxa"/>
            <w:tcBorders>
              <w:top w:val="single" w:sz="4" w:space="0" w:color="auto"/>
              <w:left w:val="single" w:sz="4" w:space="0" w:color="auto"/>
              <w:bottom w:val="single" w:sz="4" w:space="0" w:color="auto"/>
              <w:right w:val="single" w:sz="4" w:space="0" w:color="auto"/>
            </w:tcBorders>
            <w:vAlign w:val="center"/>
          </w:tcPr>
          <w:p w14:paraId="02852805" w14:textId="77777777" w:rsidR="00CC2587" w:rsidRPr="00317BA1" w:rsidRDefault="00CC2587" w:rsidP="00CC2587">
            <w:pPr>
              <w:spacing w:before="120" w:after="120" w:line="240" w:lineRule="auto"/>
              <w:jc w:val="right"/>
              <w:rPr>
                <w:rFonts w:cstheme="minorHAnsi"/>
                <w:b/>
              </w:rPr>
            </w:pPr>
          </w:p>
        </w:tc>
        <w:tc>
          <w:tcPr>
            <w:tcW w:w="2019" w:type="dxa"/>
            <w:tcBorders>
              <w:top w:val="single" w:sz="4" w:space="0" w:color="auto"/>
              <w:left w:val="single" w:sz="4" w:space="0" w:color="auto"/>
              <w:bottom w:val="single" w:sz="4" w:space="0" w:color="auto"/>
              <w:right w:val="single" w:sz="4" w:space="0" w:color="auto"/>
            </w:tcBorders>
            <w:vAlign w:val="center"/>
          </w:tcPr>
          <w:p w14:paraId="495D01D0" w14:textId="77777777" w:rsidR="00CC2587" w:rsidRPr="00317BA1" w:rsidRDefault="00CC2587" w:rsidP="00CC2587">
            <w:pPr>
              <w:spacing w:before="120" w:after="120" w:line="240" w:lineRule="auto"/>
              <w:jc w:val="right"/>
              <w:rPr>
                <w:rFonts w:cstheme="minorHAnsi"/>
                <w:b/>
              </w:rPr>
            </w:pPr>
            <w:r w:rsidRPr="00317BA1">
              <w:rPr>
                <w:rFonts w:cstheme="minorHAnsi"/>
                <w:b/>
              </w:rPr>
              <w:t>For discussion</w:t>
            </w:r>
          </w:p>
        </w:tc>
        <w:tc>
          <w:tcPr>
            <w:tcW w:w="340" w:type="dxa"/>
            <w:tcBorders>
              <w:top w:val="single" w:sz="4" w:space="0" w:color="auto"/>
              <w:left w:val="single" w:sz="4" w:space="0" w:color="auto"/>
              <w:bottom w:val="single" w:sz="4" w:space="0" w:color="auto"/>
              <w:right w:val="single" w:sz="4" w:space="0" w:color="auto"/>
            </w:tcBorders>
            <w:vAlign w:val="center"/>
          </w:tcPr>
          <w:p w14:paraId="101B52AC" w14:textId="7375E9CB" w:rsidR="00CC2587" w:rsidRPr="00317BA1" w:rsidRDefault="007E0F13" w:rsidP="00CC2587">
            <w:pPr>
              <w:spacing w:before="120" w:after="120" w:line="240" w:lineRule="auto"/>
              <w:jc w:val="right"/>
              <w:rPr>
                <w:rFonts w:cstheme="minorHAnsi"/>
                <w:b/>
              </w:rPr>
            </w:pPr>
            <w:r w:rsidRPr="00317BA1">
              <w:rPr>
                <w:rFonts w:cstheme="minorHAnsi"/>
                <w:b/>
              </w:rPr>
              <w:sym w:font="Wingdings" w:char="F0FC"/>
            </w:r>
          </w:p>
        </w:tc>
        <w:tc>
          <w:tcPr>
            <w:tcW w:w="2262" w:type="dxa"/>
            <w:tcBorders>
              <w:top w:val="single" w:sz="4" w:space="0" w:color="auto"/>
              <w:left w:val="single" w:sz="4" w:space="0" w:color="auto"/>
              <w:bottom w:val="single" w:sz="4" w:space="0" w:color="auto"/>
              <w:right w:val="single" w:sz="4" w:space="0" w:color="auto"/>
            </w:tcBorders>
            <w:vAlign w:val="center"/>
          </w:tcPr>
          <w:p w14:paraId="033F4D41" w14:textId="77777777" w:rsidR="00CC2587" w:rsidRPr="00317BA1" w:rsidRDefault="00CC2587" w:rsidP="00CC2587">
            <w:pPr>
              <w:spacing w:before="120" w:after="120" w:line="240" w:lineRule="auto"/>
              <w:jc w:val="right"/>
              <w:rPr>
                <w:rFonts w:cstheme="minorHAnsi"/>
                <w:b/>
              </w:rPr>
            </w:pPr>
            <w:r w:rsidRPr="00317BA1">
              <w:rPr>
                <w:rFonts w:cstheme="minorHAnsi"/>
                <w:b/>
              </w:rPr>
              <w:t>To note</w:t>
            </w:r>
          </w:p>
        </w:tc>
        <w:tc>
          <w:tcPr>
            <w:tcW w:w="357" w:type="dxa"/>
            <w:tcBorders>
              <w:top w:val="single" w:sz="4" w:space="0" w:color="auto"/>
              <w:left w:val="single" w:sz="4" w:space="0" w:color="auto"/>
              <w:bottom w:val="single" w:sz="4" w:space="0" w:color="auto"/>
              <w:right w:val="single" w:sz="4" w:space="0" w:color="auto"/>
            </w:tcBorders>
            <w:vAlign w:val="center"/>
          </w:tcPr>
          <w:p w14:paraId="2E837601" w14:textId="77777777" w:rsidR="00CC2587" w:rsidRPr="00317BA1" w:rsidRDefault="00CC2587" w:rsidP="00CC2587">
            <w:pPr>
              <w:spacing w:before="120" w:after="120" w:line="240" w:lineRule="auto"/>
              <w:rPr>
                <w:rFonts w:cstheme="minorHAnsi"/>
                <w:b/>
              </w:rPr>
            </w:pPr>
          </w:p>
        </w:tc>
      </w:tr>
    </w:tbl>
    <w:p w14:paraId="783AAF8C" w14:textId="77777777" w:rsidR="00E34EBF" w:rsidRPr="00317BA1" w:rsidRDefault="00E34EBF" w:rsidP="000F5D7C">
      <w:pPr>
        <w:rPr>
          <w:rFonts w:cstheme="minorHAnsi"/>
        </w:rPr>
      </w:pPr>
    </w:p>
    <w:p w14:paraId="7E6D8E95" w14:textId="77777777" w:rsidR="001670E6" w:rsidRPr="00317BA1" w:rsidRDefault="001670E6" w:rsidP="00210566">
      <w:pPr>
        <w:jc w:val="center"/>
        <w:rPr>
          <w:rFonts w:cstheme="minorHAnsi"/>
          <w:b/>
        </w:rPr>
        <w:sectPr w:rsidR="001670E6" w:rsidRPr="00317BA1" w:rsidSect="00210566">
          <w:headerReference w:type="default" r:id="rId8"/>
          <w:footerReference w:type="default" r:id="rId9"/>
          <w:footerReference w:type="first" r:id="rId10"/>
          <w:pgSz w:w="11906" w:h="16838"/>
          <w:pgMar w:top="720" w:right="720" w:bottom="720" w:left="720" w:header="708" w:footer="708" w:gutter="0"/>
          <w:cols w:space="708"/>
          <w:titlePg/>
          <w:docGrid w:linePitch="360"/>
        </w:sectPr>
      </w:pPr>
    </w:p>
    <w:p w14:paraId="5CFAC286" w14:textId="2915563B" w:rsidR="00756D7D" w:rsidRPr="005563A7" w:rsidRDefault="009A3BB0" w:rsidP="00B75C1C">
      <w:pPr>
        <w:spacing w:after="0"/>
        <w:jc w:val="center"/>
        <w:rPr>
          <w:rFonts w:cstheme="minorHAnsi"/>
          <w:b/>
          <w:sz w:val="32"/>
          <w:szCs w:val="32"/>
        </w:rPr>
      </w:pPr>
      <w:r w:rsidRPr="005563A7">
        <w:rPr>
          <w:rFonts w:cstheme="minorHAnsi"/>
          <w:b/>
          <w:sz w:val="32"/>
          <w:szCs w:val="32"/>
        </w:rPr>
        <w:lastRenderedPageBreak/>
        <w:t xml:space="preserve">Board assurance framework </w:t>
      </w:r>
      <w:r w:rsidR="00756D7D" w:rsidRPr="005563A7">
        <w:rPr>
          <w:rFonts w:cstheme="minorHAnsi"/>
          <w:b/>
          <w:sz w:val="32"/>
          <w:szCs w:val="32"/>
        </w:rPr>
        <w:t>executive summary report</w:t>
      </w:r>
    </w:p>
    <w:p w14:paraId="6E3EB771" w14:textId="10F67A65" w:rsidR="00B75C1C" w:rsidRPr="005563A7" w:rsidRDefault="007C4F9A" w:rsidP="00B75C1C">
      <w:pPr>
        <w:spacing w:after="0"/>
        <w:jc w:val="center"/>
        <w:rPr>
          <w:rFonts w:cstheme="minorHAnsi"/>
          <w:b/>
          <w:sz w:val="32"/>
          <w:szCs w:val="32"/>
        </w:rPr>
      </w:pPr>
      <w:r>
        <w:rPr>
          <w:rFonts w:cstheme="minorHAnsi"/>
          <w:b/>
          <w:sz w:val="32"/>
          <w:szCs w:val="32"/>
        </w:rPr>
        <w:t xml:space="preserve">October </w:t>
      </w:r>
      <w:r w:rsidR="00EE3546">
        <w:rPr>
          <w:rFonts w:cstheme="minorHAnsi"/>
          <w:b/>
          <w:sz w:val="32"/>
          <w:szCs w:val="32"/>
        </w:rPr>
        <w:t>202</w:t>
      </w:r>
      <w:r w:rsidR="00823964">
        <w:rPr>
          <w:rFonts w:cstheme="minorHAnsi"/>
          <w:b/>
          <w:sz w:val="32"/>
          <w:szCs w:val="32"/>
        </w:rPr>
        <w:t>2</w:t>
      </w:r>
      <w:r w:rsidR="00B75C1C" w:rsidRPr="005563A7">
        <w:rPr>
          <w:rFonts w:cstheme="minorHAnsi"/>
          <w:b/>
          <w:sz w:val="32"/>
          <w:szCs w:val="32"/>
        </w:rPr>
        <w:t xml:space="preserve"> – </w:t>
      </w:r>
      <w:r>
        <w:rPr>
          <w:rFonts w:cstheme="minorHAnsi"/>
          <w:b/>
          <w:sz w:val="32"/>
          <w:szCs w:val="32"/>
        </w:rPr>
        <w:t xml:space="preserve">December </w:t>
      </w:r>
      <w:r w:rsidR="00B75C1C" w:rsidRPr="005563A7">
        <w:rPr>
          <w:rFonts w:cstheme="minorHAnsi"/>
          <w:b/>
          <w:sz w:val="32"/>
          <w:szCs w:val="32"/>
        </w:rPr>
        <w:t>20</w:t>
      </w:r>
      <w:r w:rsidR="007A3CBD">
        <w:rPr>
          <w:rFonts w:cstheme="minorHAnsi"/>
          <w:b/>
          <w:sz w:val="32"/>
          <w:szCs w:val="32"/>
        </w:rPr>
        <w:t>2</w:t>
      </w:r>
      <w:r w:rsidR="00823964">
        <w:rPr>
          <w:rFonts w:cstheme="minorHAnsi"/>
          <w:b/>
          <w:sz w:val="32"/>
          <w:szCs w:val="32"/>
        </w:rPr>
        <w:t>2</w:t>
      </w:r>
      <w:r w:rsidR="00B75C1C" w:rsidRPr="005563A7">
        <w:rPr>
          <w:rFonts w:cstheme="minorHAnsi"/>
          <w:b/>
          <w:sz w:val="32"/>
          <w:szCs w:val="32"/>
        </w:rPr>
        <w:t xml:space="preserve"> (Q</w:t>
      </w:r>
      <w:r>
        <w:rPr>
          <w:rFonts w:cstheme="minorHAnsi"/>
          <w:b/>
          <w:sz w:val="32"/>
          <w:szCs w:val="32"/>
        </w:rPr>
        <w:t>3</w:t>
      </w:r>
      <w:r w:rsidR="00B75C1C" w:rsidRPr="005563A7">
        <w:rPr>
          <w:rFonts w:cstheme="minorHAnsi"/>
          <w:b/>
          <w:sz w:val="32"/>
          <w:szCs w:val="32"/>
        </w:rPr>
        <w:t xml:space="preserve"> </w:t>
      </w:r>
      <w:r w:rsidR="008F2ED7">
        <w:rPr>
          <w:rFonts w:cstheme="minorHAnsi"/>
          <w:b/>
          <w:sz w:val="32"/>
          <w:szCs w:val="32"/>
        </w:rPr>
        <w:t>202</w:t>
      </w:r>
      <w:r w:rsidR="00CE4E93">
        <w:rPr>
          <w:rFonts w:cstheme="minorHAnsi"/>
          <w:b/>
          <w:sz w:val="32"/>
          <w:szCs w:val="32"/>
        </w:rPr>
        <w:t>2</w:t>
      </w:r>
      <w:r w:rsidR="008F2ED7">
        <w:rPr>
          <w:rFonts w:cstheme="minorHAnsi"/>
          <w:b/>
          <w:sz w:val="32"/>
          <w:szCs w:val="32"/>
        </w:rPr>
        <w:t>/2</w:t>
      </w:r>
      <w:r w:rsidR="00CE4E93">
        <w:rPr>
          <w:rFonts w:cstheme="minorHAnsi"/>
          <w:b/>
          <w:sz w:val="32"/>
          <w:szCs w:val="32"/>
        </w:rPr>
        <w:t>3</w:t>
      </w:r>
      <w:r w:rsidR="00B75C1C" w:rsidRPr="005563A7">
        <w:rPr>
          <w:rFonts w:cstheme="minorHAnsi"/>
          <w:b/>
          <w:sz w:val="32"/>
          <w:szCs w:val="32"/>
        </w:rPr>
        <w:t>)</w:t>
      </w:r>
    </w:p>
    <w:p w14:paraId="771060F5" w14:textId="77777777" w:rsidR="00B75C1C" w:rsidRPr="00317BA1" w:rsidRDefault="00B75C1C" w:rsidP="00B75C1C">
      <w:pPr>
        <w:spacing w:after="0"/>
        <w:rPr>
          <w:rFonts w:cstheme="minorHAnsi"/>
          <w:b/>
        </w:rPr>
      </w:pPr>
    </w:p>
    <w:p w14:paraId="4A64A165" w14:textId="2308A4B4" w:rsidR="00B75C1C" w:rsidRDefault="00B75C1C" w:rsidP="00B75C1C">
      <w:pPr>
        <w:pStyle w:val="Heading3"/>
        <w:rPr>
          <w:rFonts w:asciiTheme="minorHAnsi" w:hAnsiTheme="minorHAnsi" w:cstheme="minorHAnsi"/>
          <w:sz w:val="28"/>
          <w:szCs w:val="28"/>
        </w:rPr>
      </w:pPr>
      <w:r w:rsidRPr="00B75C1C">
        <w:rPr>
          <w:rFonts w:asciiTheme="minorHAnsi" w:hAnsiTheme="minorHAnsi" w:cstheme="minorHAnsi"/>
          <w:sz w:val="28"/>
          <w:szCs w:val="28"/>
        </w:rPr>
        <w:t>BAF analysis and summary of changes</w:t>
      </w:r>
    </w:p>
    <w:p w14:paraId="11908C6A" w14:textId="77777777" w:rsidR="00B75C1C" w:rsidRDefault="00B75C1C" w:rsidP="00B75C1C">
      <w:pPr>
        <w:spacing w:after="0"/>
        <w:rPr>
          <w:rFonts w:cstheme="minorHAnsi"/>
        </w:rPr>
      </w:pPr>
      <w:r w:rsidRPr="00317BA1">
        <w:rPr>
          <w:rFonts w:cstheme="minorHAnsi"/>
        </w:rPr>
        <w:t>The top-</w:t>
      </w:r>
      <w:r w:rsidRPr="00412938">
        <w:rPr>
          <w:rFonts w:cstheme="minorHAnsi"/>
        </w:rPr>
        <w:t>rated risks to achieving the strategic objectives are as follows:</w:t>
      </w:r>
    </w:p>
    <w:p w14:paraId="4304A1CB" w14:textId="77777777" w:rsidR="00EE3546" w:rsidRPr="00412938" w:rsidRDefault="00EE3546" w:rsidP="00B75C1C">
      <w:pPr>
        <w:spacing w:after="0"/>
        <w:rPr>
          <w:rFonts w:cstheme="minorHAnsi"/>
        </w:rPr>
      </w:pPr>
    </w:p>
    <w:p w14:paraId="23BFB433" w14:textId="72A4580C" w:rsidR="00EE3546" w:rsidRDefault="00EE3546" w:rsidP="00B75C1C">
      <w:pPr>
        <w:pStyle w:val="ListParagraph"/>
        <w:numPr>
          <w:ilvl w:val="1"/>
          <w:numId w:val="17"/>
        </w:numPr>
        <w:tabs>
          <w:tab w:val="clear" w:pos="1440"/>
          <w:tab w:val="num" w:pos="709"/>
        </w:tabs>
        <w:spacing w:line="276" w:lineRule="auto"/>
        <w:ind w:left="851"/>
        <w:rPr>
          <w:rFonts w:asciiTheme="minorHAnsi" w:hAnsiTheme="minorHAnsi" w:cstheme="minorHAnsi"/>
          <w:sz w:val="22"/>
          <w:szCs w:val="22"/>
        </w:rPr>
      </w:pPr>
      <w:r>
        <w:rPr>
          <w:rFonts w:asciiTheme="minorHAnsi" w:hAnsiTheme="minorHAnsi" w:cstheme="minorHAnsi"/>
          <w:sz w:val="22"/>
          <w:szCs w:val="22"/>
        </w:rPr>
        <w:t xml:space="preserve">Impact of Covid-19 in all areas of the trust and </w:t>
      </w:r>
      <w:r w:rsidR="00504D54">
        <w:rPr>
          <w:rFonts w:asciiTheme="minorHAnsi" w:hAnsiTheme="minorHAnsi" w:cstheme="minorHAnsi"/>
          <w:sz w:val="22"/>
          <w:szCs w:val="22"/>
        </w:rPr>
        <w:t>on the wider system as a whole</w:t>
      </w:r>
    </w:p>
    <w:p w14:paraId="7167877C" w14:textId="2BBDD176" w:rsidR="00B75C1C" w:rsidRPr="00412938" w:rsidRDefault="00B75C1C" w:rsidP="00B75C1C">
      <w:pPr>
        <w:pStyle w:val="ListParagraph"/>
        <w:numPr>
          <w:ilvl w:val="1"/>
          <w:numId w:val="17"/>
        </w:numPr>
        <w:tabs>
          <w:tab w:val="clear" w:pos="1440"/>
          <w:tab w:val="num" w:pos="709"/>
        </w:tabs>
        <w:spacing w:line="276" w:lineRule="auto"/>
        <w:ind w:left="851"/>
        <w:rPr>
          <w:rFonts w:asciiTheme="minorHAnsi" w:hAnsiTheme="minorHAnsi" w:cstheme="minorHAnsi"/>
          <w:sz w:val="22"/>
          <w:szCs w:val="22"/>
        </w:rPr>
      </w:pPr>
      <w:r w:rsidRPr="00412938">
        <w:rPr>
          <w:rFonts w:asciiTheme="minorHAnsi" w:hAnsiTheme="minorHAnsi" w:cstheme="minorHAnsi"/>
          <w:sz w:val="22"/>
          <w:szCs w:val="22"/>
        </w:rPr>
        <w:t>Delivery of our long-term plan for a new centre for resear</w:t>
      </w:r>
      <w:r w:rsidR="00504D54">
        <w:rPr>
          <w:rFonts w:asciiTheme="minorHAnsi" w:hAnsiTheme="minorHAnsi" w:cstheme="minorHAnsi"/>
          <w:sz w:val="22"/>
          <w:szCs w:val="22"/>
        </w:rPr>
        <w:t xml:space="preserve">ch, </w:t>
      </w:r>
      <w:proofErr w:type="gramStart"/>
      <w:r w:rsidR="00504D54">
        <w:rPr>
          <w:rFonts w:asciiTheme="minorHAnsi" w:hAnsiTheme="minorHAnsi" w:cstheme="minorHAnsi"/>
          <w:sz w:val="22"/>
          <w:szCs w:val="22"/>
        </w:rPr>
        <w:t>education</w:t>
      </w:r>
      <w:proofErr w:type="gramEnd"/>
      <w:r w:rsidR="00504D54">
        <w:rPr>
          <w:rFonts w:asciiTheme="minorHAnsi" w:hAnsiTheme="minorHAnsi" w:cstheme="minorHAnsi"/>
          <w:sz w:val="22"/>
          <w:szCs w:val="22"/>
        </w:rPr>
        <w:t xml:space="preserve"> and clinical care</w:t>
      </w:r>
    </w:p>
    <w:p w14:paraId="2BC59D1B" w14:textId="7896537C" w:rsidR="00B75C1C" w:rsidRPr="00914924" w:rsidRDefault="00B75C1C" w:rsidP="00B75C1C">
      <w:pPr>
        <w:pStyle w:val="ListParagraph"/>
        <w:numPr>
          <w:ilvl w:val="1"/>
          <w:numId w:val="17"/>
        </w:numPr>
        <w:tabs>
          <w:tab w:val="clear" w:pos="1440"/>
          <w:tab w:val="num" w:pos="709"/>
        </w:tabs>
        <w:spacing w:line="276" w:lineRule="auto"/>
        <w:ind w:left="851"/>
        <w:rPr>
          <w:rFonts w:asciiTheme="minorHAnsi" w:hAnsiTheme="minorHAnsi" w:cstheme="minorHAnsi"/>
          <w:sz w:val="22"/>
          <w:szCs w:val="22"/>
        </w:rPr>
      </w:pPr>
      <w:r w:rsidRPr="00412938">
        <w:rPr>
          <w:rFonts w:asciiTheme="minorHAnsi" w:hAnsiTheme="minorHAnsi" w:cstheme="minorHAnsi"/>
          <w:sz w:val="22"/>
          <w:szCs w:val="22"/>
        </w:rPr>
        <w:t>Generation o</w:t>
      </w:r>
      <w:r w:rsidR="00504D54">
        <w:rPr>
          <w:rFonts w:asciiTheme="minorHAnsi" w:hAnsiTheme="minorHAnsi" w:cstheme="minorHAnsi"/>
          <w:sz w:val="22"/>
          <w:szCs w:val="22"/>
        </w:rPr>
        <w:t>f sufficient commercial revenue</w:t>
      </w:r>
    </w:p>
    <w:p w14:paraId="5728CE6D" w14:textId="7D50BC33" w:rsidR="00B75C1C" w:rsidRDefault="003660D2" w:rsidP="00B75C1C">
      <w:pPr>
        <w:pStyle w:val="ListParagraph"/>
        <w:numPr>
          <w:ilvl w:val="1"/>
          <w:numId w:val="17"/>
        </w:numPr>
        <w:tabs>
          <w:tab w:val="clear" w:pos="1440"/>
          <w:tab w:val="num" w:pos="709"/>
        </w:tabs>
        <w:spacing w:line="276" w:lineRule="auto"/>
        <w:ind w:left="851"/>
        <w:rPr>
          <w:rFonts w:asciiTheme="minorHAnsi" w:hAnsiTheme="minorHAnsi" w:cstheme="minorHAnsi"/>
          <w:sz w:val="22"/>
          <w:szCs w:val="22"/>
        </w:rPr>
      </w:pPr>
      <w:r>
        <w:rPr>
          <w:rFonts w:asciiTheme="minorHAnsi" w:hAnsiTheme="minorHAnsi" w:cstheme="minorHAnsi"/>
          <w:sz w:val="22"/>
          <w:szCs w:val="22"/>
        </w:rPr>
        <w:t>Financial regime 2</w:t>
      </w:r>
      <w:r w:rsidR="00347D40">
        <w:rPr>
          <w:rFonts w:asciiTheme="minorHAnsi" w:hAnsiTheme="minorHAnsi" w:cstheme="minorHAnsi"/>
          <w:sz w:val="22"/>
          <w:szCs w:val="22"/>
        </w:rPr>
        <w:t>2</w:t>
      </w:r>
      <w:r>
        <w:rPr>
          <w:rFonts w:asciiTheme="minorHAnsi" w:hAnsiTheme="minorHAnsi" w:cstheme="minorHAnsi"/>
          <w:sz w:val="22"/>
          <w:szCs w:val="22"/>
        </w:rPr>
        <w:t>/2</w:t>
      </w:r>
      <w:r w:rsidR="00347D40">
        <w:rPr>
          <w:rFonts w:asciiTheme="minorHAnsi" w:hAnsiTheme="minorHAnsi" w:cstheme="minorHAnsi"/>
          <w:sz w:val="22"/>
          <w:szCs w:val="22"/>
        </w:rPr>
        <w:t>3</w:t>
      </w:r>
    </w:p>
    <w:p w14:paraId="5B76584A" w14:textId="1D480917" w:rsidR="00AE33F0" w:rsidRPr="00412938" w:rsidRDefault="00AE33F0" w:rsidP="00B75C1C">
      <w:pPr>
        <w:pStyle w:val="ListParagraph"/>
        <w:numPr>
          <w:ilvl w:val="1"/>
          <w:numId w:val="17"/>
        </w:numPr>
        <w:tabs>
          <w:tab w:val="clear" w:pos="1440"/>
          <w:tab w:val="num" w:pos="709"/>
        </w:tabs>
        <w:spacing w:line="276" w:lineRule="auto"/>
        <w:ind w:left="851"/>
        <w:rPr>
          <w:rFonts w:asciiTheme="minorHAnsi" w:hAnsiTheme="minorHAnsi" w:cstheme="minorHAnsi"/>
          <w:sz w:val="22"/>
          <w:szCs w:val="22"/>
        </w:rPr>
      </w:pPr>
      <w:r>
        <w:rPr>
          <w:rFonts w:asciiTheme="minorHAnsi" w:hAnsiTheme="minorHAnsi" w:cstheme="minorHAnsi"/>
          <w:sz w:val="22"/>
          <w:szCs w:val="22"/>
        </w:rPr>
        <w:t>Recovery of cl</w:t>
      </w:r>
      <w:r w:rsidR="00504D54">
        <w:rPr>
          <w:rFonts w:asciiTheme="minorHAnsi" w:hAnsiTheme="minorHAnsi" w:cstheme="minorHAnsi"/>
          <w:sz w:val="22"/>
          <w:szCs w:val="22"/>
        </w:rPr>
        <w:t>inical services</w:t>
      </w:r>
      <w:r>
        <w:rPr>
          <w:rFonts w:asciiTheme="minorHAnsi" w:hAnsiTheme="minorHAnsi" w:cstheme="minorHAnsi"/>
          <w:sz w:val="22"/>
          <w:szCs w:val="22"/>
        </w:rPr>
        <w:t xml:space="preserve"> </w:t>
      </w:r>
    </w:p>
    <w:p w14:paraId="53841F96" w14:textId="07CC592C" w:rsidR="00B75C1C" w:rsidRPr="00412938" w:rsidRDefault="00504D54" w:rsidP="00B75C1C">
      <w:pPr>
        <w:pStyle w:val="ListParagraph"/>
        <w:numPr>
          <w:ilvl w:val="1"/>
          <w:numId w:val="17"/>
        </w:numPr>
        <w:tabs>
          <w:tab w:val="clear" w:pos="1440"/>
          <w:tab w:val="num" w:pos="709"/>
        </w:tabs>
        <w:spacing w:line="276" w:lineRule="auto"/>
        <w:ind w:left="851"/>
        <w:rPr>
          <w:rFonts w:asciiTheme="minorHAnsi" w:hAnsiTheme="minorHAnsi" w:cstheme="minorHAnsi"/>
          <w:sz w:val="22"/>
          <w:szCs w:val="22"/>
        </w:rPr>
      </w:pPr>
      <w:r>
        <w:rPr>
          <w:rFonts w:asciiTheme="minorHAnsi" w:hAnsiTheme="minorHAnsi" w:cstheme="minorHAnsi"/>
          <w:sz w:val="22"/>
          <w:szCs w:val="22"/>
        </w:rPr>
        <w:t>Robust workforce planning</w:t>
      </w:r>
    </w:p>
    <w:p w14:paraId="0EBC9E3A" w14:textId="53B9E2BC" w:rsidR="00B75C1C" w:rsidRPr="00412938" w:rsidRDefault="00504D54" w:rsidP="00B75C1C">
      <w:pPr>
        <w:pStyle w:val="ListParagraph"/>
        <w:numPr>
          <w:ilvl w:val="1"/>
          <w:numId w:val="17"/>
        </w:numPr>
        <w:tabs>
          <w:tab w:val="clear" w:pos="1440"/>
          <w:tab w:val="num" w:pos="709"/>
        </w:tabs>
        <w:spacing w:line="276" w:lineRule="auto"/>
        <w:ind w:left="851"/>
        <w:rPr>
          <w:rFonts w:asciiTheme="minorHAnsi" w:hAnsiTheme="minorHAnsi" w:cstheme="minorHAnsi"/>
          <w:sz w:val="22"/>
          <w:szCs w:val="22"/>
        </w:rPr>
      </w:pPr>
      <w:r>
        <w:rPr>
          <w:rFonts w:asciiTheme="minorHAnsi" w:hAnsiTheme="minorHAnsi" w:cstheme="minorHAnsi"/>
          <w:sz w:val="22"/>
          <w:szCs w:val="22"/>
        </w:rPr>
        <w:t>Staff health and wellbeing</w:t>
      </w:r>
    </w:p>
    <w:p w14:paraId="39C57AC9" w14:textId="17CDD9C1" w:rsidR="007A3CBD" w:rsidRPr="008F2ED7" w:rsidRDefault="007A3CBD" w:rsidP="00B75C1C">
      <w:pPr>
        <w:pStyle w:val="ListParagraph"/>
        <w:numPr>
          <w:ilvl w:val="1"/>
          <w:numId w:val="17"/>
        </w:numPr>
        <w:tabs>
          <w:tab w:val="clear" w:pos="1440"/>
          <w:tab w:val="num" w:pos="709"/>
        </w:tabs>
        <w:spacing w:line="276" w:lineRule="auto"/>
        <w:ind w:left="851"/>
        <w:rPr>
          <w:rFonts w:asciiTheme="minorHAnsi" w:hAnsiTheme="minorHAnsi" w:cstheme="minorHAnsi"/>
          <w:sz w:val="22"/>
          <w:szCs w:val="22"/>
        </w:rPr>
      </w:pPr>
      <w:r>
        <w:rPr>
          <w:rFonts w:asciiTheme="minorHAnsi" w:hAnsiTheme="minorHAnsi" w:cstheme="minorHAnsi"/>
          <w:bCs/>
          <w:sz w:val="22"/>
          <w:szCs w:val="22"/>
        </w:rPr>
        <w:t>Attraction of sufficient research funding</w:t>
      </w:r>
    </w:p>
    <w:p w14:paraId="3CAD09DB" w14:textId="3E34091B" w:rsidR="008F2ED7" w:rsidRDefault="008F2ED7" w:rsidP="00B75C1C">
      <w:pPr>
        <w:pStyle w:val="ListParagraph"/>
        <w:numPr>
          <w:ilvl w:val="1"/>
          <w:numId w:val="17"/>
        </w:numPr>
        <w:tabs>
          <w:tab w:val="clear" w:pos="1440"/>
          <w:tab w:val="num" w:pos="709"/>
        </w:tabs>
        <w:spacing w:line="276" w:lineRule="auto"/>
        <w:ind w:left="851"/>
        <w:rPr>
          <w:rFonts w:asciiTheme="minorHAnsi" w:hAnsiTheme="minorHAnsi" w:cstheme="minorHAnsi"/>
          <w:sz w:val="22"/>
          <w:szCs w:val="22"/>
        </w:rPr>
      </w:pPr>
      <w:r>
        <w:rPr>
          <w:rFonts w:asciiTheme="minorHAnsi" w:hAnsiTheme="minorHAnsi" w:cstheme="minorHAnsi"/>
          <w:sz w:val="22"/>
          <w:szCs w:val="22"/>
        </w:rPr>
        <w:t>Successful cyber-attack</w:t>
      </w:r>
    </w:p>
    <w:p w14:paraId="2BCE0416" w14:textId="7F05318B" w:rsidR="003660D2" w:rsidRPr="00412938" w:rsidRDefault="003660D2" w:rsidP="00B75C1C">
      <w:pPr>
        <w:pStyle w:val="ListParagraph"/>
        <w:numPr>
          <w:ilvl w:val="1"/>
          <w:numId w:val="17"/>
        </w:numPr>
        <w:tabs>
          <w:tab w:val="clear" w:pos="1440"/>
          <w:tab w:val="num" w:pos="709"/>
        </w:tabs>
        <w:spacing w:line="276" w:lineRule="auto"/>
        <w:ind w:left="851"/>
        <w:rPr>
          <w:rFonts w:asciiTheme="minorHAnsi" w:hAnsiTheme="minorHAnsi" w:cstheme="minorHAnsi"/>
          <w:sz w:val="22"/>
          <w:szCs w:val="22"/>
        </w:rPr>
      </w:pPr>
      <w:r>
        <w:rPr>
          <w:rFonts w:asciiTheme="minorHAnsi" w:hAnsiTheme="minorHAnsi" w:cstheme="minorHAnsi"/>
          <w:sz w:val="22"/>
          <w:szCs w:val="22"/>
        </w:rPr>
        <w:t>Digita</w:t>
      </w:r>
      <w:r w:rsidR="00504D54">
        <w:rPr>
          <w:rFonts w:asciiTheme="minorHAnsi" w:hAnsiTheme="minorHAnsi" w:cstheme="minorHAnsi"/>
          <w:sz w:val="22"/>
          <w:szCs w:val="22"/>
        </w:rPr>
        <w:t>l infrastructure and resilience</w:t>
      </w:r>
    </w:p>
    <w:p w14:paraId="781F53E8" w14:textId="77777777" w:rsidR="00B75C1C" w:rsidRPr="00317BA1" w:rsidRDefault="00B75C1C" w:rsidP="00B75C1C">
      <w:pPr>
        <w:pStyle w:val="ListParagraph"/>
        <w:spacing w:line="276" w:lineRule="auto"/>
        <w:rPr>
          <w:rFonts w:asciiTheme="minorHAnsi" w:hAnsiTheme="minorHAnsi" w:cstheme="minorHAnsi"/>
          <w:sz w:val="22"/>
          <w:szCs w:val="22"/>
        </w:rPr>
      </w:pPr>
    </w:p>
    <w:p w14:paraId="64E2EFFA" w14:textId="77777777" w:rsidR="00B75C1C" w:rsidRDefault="00B75C1C" w:rsidP="00B75C1C">
      <w:pPr>
        <w:spacing w:after="0"/>
        <w:jc w:val="both"/>
        <w:rPr>
          <w:rFonts w:cstheme="minorHAnsi"/>
        </w:rPr>
      </w:pPr>
      <w:r w:rsidRPr="00317BA1">
        <w:rPr>
          <w:rFonts w:cstheme="minorHAnsi"/>
        </w:rPr>
        <w:t xml:space="preserve">All have been identified as risks that will have a significant impact on the delivery of patient care, the patient and staff experience, the financial sustainability and reputation of the trust or a combination of these. The identified areas are those that require the most focus from the Board in terms of scrutiny and provision of assurance from the executive team. Particular attention is also being given to those risks that are not wholly within the trust’s control to mitigate and a strategy developed as to how to manage such external factors. </w:t>
      </w:r>
    </w:p>
    <w:p w14:paraId="711D3E08" w14:textId="77777777" w:rsidR="00B75C1C" w:rsidRPr="00317BA1" w:rsidRDefault="00B75C1C" w:rsidP="00B75C1C">
      <w:pPr>
        <w:spacing w:after="0"/>
        <w:rPr>
          <w:rFonts w:cstheme="minorHAnsi"/>
        </w:rPr>
      </w:pPr>
    </w:p>
    <w:p w14:paraId="09E1AE8C" w14:textId="14C05DB9" w:rsidR="00B75C1C" w:rsidRDefault="00B75C1C" w:rsidP="001468CC">
      <w:pPr>
        <w:pStyle w:val="ListParagraph"/>
        <w:numPr>
          <w:ilvl w:val="1"/>
          <w:numId w:val="6"/>
        </w:numPr>
        <w:jc w:val="both"/>
        <w:rPr>
          <w:rFonts w:asciiTheme="minorHAnsi" w:hAnsiTheme="minorHAnsi" w:cstheme="minorHAnsi"/>
          <w:b/>
          <w:i/>
          <w:sz w:val="22"/>
          <w:szCs w:val="22"/>
        </w:rPr>
      </w:pPr>
      <w:r>
        <w:rPr>
          <w:rFonts w:asciiTheme="minorHAnsi" w:hAnsiTheme="minorHAnsi" w:cstheme="minorHAnsi"/>
          <w:b/>
          <w:i/>
          <w:sz w:val="22"/>
          <w:szCs w:val="22"/>
        </w:rPr>
        <w:t xml:space="preserve">Amendments made </w:t>
      </w:r>
      <w:r w:rsidR="0084262E">
        <w:rPr>
          <w:rFonts w:asciiTheme="minorHAnsi" w:hAnsiTheme="minorHAnsi" w:cstheme="minorHAnsi"/>
          <w:b/>
          <w:i/>
          <w:sz w:val="22"/>
          <w:szCs w:val="22"/>
        </w:rPr>
        <w:t xml:space="preserve">to the BAF </w:t>
      </w:r>
      <w:r>
        <w:rPr>
          <w:rFonts w:asciiTheme="minorHAnsi" w:hAnsiTheme="minorHAnsi" w:cstheme="minorHAnsi"/>
          <w:b/>
          <w:i/>
          <w:sz w:val="22"/>
          <w:szCs w:val="22"/>
        </w:rPr>
        <w:t>this quarter</w:t>
      </w:r>
    </w:p>
    <w:p w14:paraId="674AABC1" w14:textId="1083753A" w:rsidR="00DA6040" w:rsidRDefault="00DA6040" w:rsidP="00DA6040">
      <w:pPr>
        <w:jc w:val="both"/>
        <w:rPr>
          <w:rFonts w:cstheme="minorHAnsi"/>
        </w:rPr>
      </w:pPr>
      <w:r w:rsidRPr="00A637EE">
        <w:rPr>
          <w:rFonts w:cstheme="minorHAnsi"/>
        </w:rPr>
        <w:t>The following risks have had their score reduced due to mitigating actions in place:</w:t>
      </w:r>
    </w:p>
    <w:p w14:paraId="1E34D9EF" w14:textId="7679924D" w:rsidR="008A0D76" w:rsidRPr="005313C2" w:rsidRDefault="005313C2" w:rsidP="00DA6040">
      <w:pPr>
        <w:jc w:val="both"/>
        <w:rPr>
          <w:rFonts w:cstheme="minorHAnsi"/>
        </w:rPr>
      </w:pPr>
      <w:r w:rsidRPr="005313C2">
        <w:rPr>
          <w:rFonts w:cstheme="minorHAnsi"/>
          <w:b/>
        </w:rPr>
        <w:t xml:space="preserve">Research funding </w:t>
      </w:r>
      <w:r w:rsidRPr="005313C2">
        <w:rPr>
          <w:rFonts w:cstheme="minorHAnsi"/>
          <w:bCs/>
        </w:rPr>
        <w:t xml:space="preserve">risk from 5x2 (10) to 5x1 (5) </w:t>
      </w:r>
      <w:r w:rsidR="00DE4363" w:rsidRPr="005313C2">
        <w:rPr>
          <w:rFonts w:cstheme="minorHAnsi"/>
          <w:bCs/>
        </w:rPr>
        <w:t xml:space="preserve">– </w:t>
      </w:r>
      <w:r w:rsidRPr="005313C2">
        <w:rPr>
          <w:rFonts w:cstheme="minorHAnsi"/>
        </w:rPr>
        <w:t xml:space="preserve">Recently successful with </w:t>
      </w:r>
      <w:proofErr w:type="gramStart"/>
      <w:r w:rsidRPr="005313C2">
        <w:rPr>
          <w:rFonts w:cstheme="minorHAnsi"/>
        </w:rPr>
        <w:t>five year</w:t>
      </w:r>
      <w:proofErr w:type="gramEnd"/>
      <w:r w:rsidRPr="005313C2">
        <w:rPr>
          <w:rFonts w:cstheme="minorHAnsi"/>
        </w:rPr>
        <w:t xml:space="preserve"> funding NIHR BRC (£20M) and NIHR CRF (£5.5M) taking us through to Oriel, and with new income and partnerships from INSIGHT and </w:t>
      </w:r>
      <w:proofErr w:type="spellStart"/>
      <w:r w:rsidRPr="005313C2">
        <w:rPr>
          <w:rFonts w:cstheme="minorHAnsi"/>
        </w:rPr>
        <w:t>OCTane</w:t>
      </w:r>
      <w:proofErr w:type="spellEnd"/>
      <w:r w:rsidRPr="005313C2">
        <w:rPr>
          <w:rFonts w:cstheme="minorHAnsi"/>
        </w:rPr>
        <w:t>, based on previous significant external funding and grant investment over last nine years.  Steady commercial trial income and, in addition, further significant applications for public sector and commercial funding and partnerships. Continued investment in research capacity required to maintain world leading position, and success with UCL IO and partners.</w:t>
      </w:r>
    </w:p>
    <w:p w14:paraId="6B2C3FAE" w14:textId="309EBE0A" w:rsidR="005313C2" w:rsidRDefault="005313C2" w:rsidP="005313C2">
      <w:pPr>
        <w:jc w:val="both"/>
        <w:rPr>
          <w:rFonts w:cstheme="minorHAnsi"/>
          <w:sz w:val="20"/>
          <w:szCs w:val="20"/>
        </w:rPr>
      </w:pPr>
      <w:proofErr w:type="spellStart"/>
      <w:r w:rsidRPr="005313C2">
        <w:rPr>
          <w:rFonts w:cstheme="minorHAnsi"/>
          <w:b/>
          <w:bCs/>
        </w:rPr>
        <w:t>Cyber attack</w:t>
      </w:r>
      <w:proofErr w:type="spellEnd"/>
      <w:r w:rsidRPr="005313C2">
        <w:rPr>
          <w:rFonts w:cstheme="minorHAnsi"/>
          <w:b/>
          <w:bCs/>
        </w:rPr>
        <w:t xml:space="preserve"> </w:t>
      </w:r>
      <w:r w:rsidRPr="00254146">
        <w:rPr>
          <w:rFonts w:cstheme="minorHAnsi"/>
        </w:rPr>
        <w:t>risk</w:t>
      </w:r>
      <w:r w:rsidR="008C6101" w:rsidRPr="00254146">
        <w:rPr>
          <w:rFonts w:cstheme="minorHAnsi"/>
        </w:rPr>
        <w:t xml:space="preserve"> from</w:t>
      </w:r>
      <w:r w:rsidR="008C6101" w:rsidRPr="005313C2">
        <w:rPr>
          <w:rFonts w:cstheme="minorHAnsi"/>
        </w:rPr>
        <w:t xml:space="preserve"> 4x</w:t>
      </w:r>
      <w:r w:rsidRPr="005313C2">
        <w:rPr>
          <w:rFonts w:cstheme="minorHAnsi"/>
        </w:rPr>
        <w:t>5</w:t>
      </w:r>
      <w:r w:rsidR="008C6101" w:rsidRPr="005313C2">
        <w:rPr>
          <w:rFonts w:cstheme="minorHAnsi"/>
        </w:rPr>
        <w:t xml:space="preserve"> (</w:t>
      </w:r>
      <w:r w:rsidRPr="005313C2">
        <w:rPr>
          <w:rFonts w:cstheme="minorHAnsi"/>
        </w:rPr>
        <w:t>20</w:t>
      </w:r>
      <w:r w:rsidR="008C6101" w:rsidRPr="005313C2">
        <w:rPr>
          <w:rFonts w:cstheme="minorHAnsi"/>
        </w:rPr>
        <w:t xml:space="preserve">) to </w:t>
      </w:r>
      <w:r w:rsidRPr="005313C2">
        <w:rPr>
          <w:rFonts w:cstheme="minorHAnsi"/>
        </w:rPr>
        <w:t>4</w:t>
      </w:r>
      <w:r w:rsidR="008C6101" w:rsidRPr="005313C2">
        <w:rPr>
          <w:rFonts w:cstheme="minorHAnsi"/>
        </w:rPr>
        <w:t>x</w:t>
      </w:r>
      <w:r w:rsidRPr="005313C2">
        <w:rPr>
          <w:rFonts w:cstheme="minorHAnsi"/>
        </w:rPr>
        <w:t>4</w:t>
      </w:r>
      <w:r w:rsidR="008C6101" w:rsidRPr="005313C2">
        <w:rPr>
          <w:rFonts w:cstheme="minorHAnsi"/>
        </w:rPr>
        <w:t xml:space="preserve"> (</w:t>
      </w:r>
      <w:r w:rsidRPr="005313C2">
        <w:rPr>
          <w:rFonts w:cstheme="minorHAnsi"/>
        </w:rPr>
        <w:t>16</w:t>
      </w:r>
      <w:r w:rsidR="008C6101" w:rsidRPr="005313C2">
        <w:rPr>
          <w:rFonts w:cstheme="minorHAnsi"/>
        </w:rPr>
        <w:t xml:space="preserve">) – </w:t>
      </w:r>
      <w:r w:rsidRPr="005313C2">
        <w:rPr>
          <w:rFonts w:cstheme="minorHAnsi"/>
        </w:rPr>
        <w:t>The mitigations in place are effective for a known attack and reduce our likelihood from 5 to 4.  The risk of a new variant back door attack remains high. Given the macro climate, a target score of 12 requires a further reduction in consequence of a successful attack which is difficult to achieve with so many potential new threats.</w:t>
      </w:r>
    </w:p>
    <w:p w14:paraId="60BDD0A9" w14:textId="690E785C" w:rsidR="00DA6040" w:rsidRDefault="00DA6040" w:rsidP="005313C2">
      <w:pPr>
        <w:jc w:val="both"/>
        <w:rPr>
          <w:rFonts w:cstheme="minorHAnsi"/>
          <w:b/>
          <w:i/>
        </w:rPr>
      </w:pPr>
      <w:r>
        <w:rPr>
          <w:rFonts w:cstheme="minorHAnsi"/>
          <w:b/>
          <w:i/>
        </w:rPr>
        <w:t>Risks added to the BAF this quarter</w:t>
      </w:r>
    </w:p>
    <w:p w14:paraId="7F5FA372" w14:textId="0E999E91" w:rsidR="00823964" w:rsidRDefault="00357651" w:rsidP="00357651">
      <w:pPr>
        <w:rPr>
          <w:rFonts w:cstheme="minorHAnsi"/>
          <w:b/>
          <w:i/>
        </w:rPr>
      </w:pPr>
      <w:r>
        <w:rPr>
          <w:rFonts w:cstheme="minorHAnsi"/>
          <w:bCs/>
          <w:iCs/>
        </w:rPr>
        <w:t>There were no risks added this quarter.</w:t>
      </w:r>
    </w:p>
    <w:p w14:paraId="53FA0A1E" w14:textId="296CB6D1" w:rsidR="00B75C1C" w:rsidRDefault="00B75C1C" w:rsidP="00B75C1C">
      <w:pPr>
        <w:pStyle w:val="ListParagraph"/>
        <w:numPr>
          <w:ilvl w:val="1"/>
          <w:numId w:val="6"/>
        </w:numPr>
        <w:rPr>
          <w:rFonts w:asciiTheme="minorHAnsi" w:hAnsiTheme="minorHAnsi" w:cstheme="minorHAnsi"/>
          <w:b/>
          <w:i/>
          <w:sz w:val="22"/>
          <w:szCs w:val="22"/>
        </w:rPr>
      </w:pPr>
      <w:r w:rsidRPr="001C51AA">
        <w:rPr>
          <w:rFonts w:asciiTheme="minorHAnsi" w:hAnsiTheme="minorHAnsi" w:cstheme="minorHAnsi"/>
          <w:b/>
          <w:i/>
          <w:sz w:val="22"/>
          <w:szCs w:val="22"/>
        </w:rPr>
        <w:t xml:space="preserve">Risks removed </w:t>
      </w:r>
      <w:r w:rsidR="0084262E">
        <w:rPr>
          <w:rFonts w:asciiTheme="minorHAnsi" w:hAnsiTheme="minorHAnsi" w:cstheme="minorHAnsi"/>
          <w:b/>
          <w:i/>
          <w:sz w:val="22"/>
          <w:szCs w:val="22"/>
        </w:rPr>
        <w:t xml:space="preserve">from the BAF </w:t>
      </w:r>
      <w:r w:rsidRPr="001C51AA">
        <w:rPr>
          <w:rFonts w:asciiTheme="minorHAnsi" w:hAnsiTheme="minorHAnsi" w:cstheme="minorHAnsi"/>
          <w:b/>
          <w:i/>
          <w:sz w:val="22"/>
          <w:szCs w:val="22"/>
        </w:rPr>
        <w:t>this quarter</w:t>
      </w:r>
    </w:p>
    <w:p w14:paraId="5A2CA870" w14:textId="315B0948" w:rsidR="00DA6040" w:rsidRDefault="0084262E" w:rsidP="00B75C1C">
      <w:pPr>
        <w:rPr>
          <w:rFonts w:cstheme="minorHAnsi"/>
        </w:rPr>
      </w:pPr>
      <w:r>
        <w:rPr>
          <w:rFonts w:cstheme="minorHAnsi"/>
        </w:rPr>
        <w:t xml:space="preserve">There were no risks removed this quarter. </w:t>
      </w:r>
    </w:p>
    <w:p w14:paraId="7AC14333" w14:textId="206FFA0D" w:rsidR="00F36509" w:rsidRPr="00F36509" w:rsidRDefault="00371093" w:rsidP="00F36509">
      <w:pPr>
        <w:pStyle w:val="NoSpacing"/>
        <w:rPr>
          <w:b/>
          <w:bCs/>
          <w:i/>
          <w:iCs/>
        </w:rPr>
      </w:pPr>
      <w:bookmarkStart w:id="0" w:name="_Hlk99360070"/>
      <w:r w:rsidRPr="00F36509">
        <w:rPr>
          <w:b/>
          <w:bCs/>
          <w:i/>
          <w:iCs/>
        </w:rPr>
        <w:t>1.</w:t>
      </w:r>
      <w:r w:rsidR="001C4083">
        <w:rPr>
          <w:b/>
          <w:bCs/>
          <w:i/>
          <w:iCs/>
        </w:rPr>
        <w:t>3</w:t>
      </w:r>
      <w:r w:rsidRPr="00F36509">
        <w:rPr>
          <w:b/>
          <w:bCs/>
          <w:i/>
          <w:iCs/>
        </w:rPr>
        <w:t xml:space="preserve"> </w:t>
      </w:r>
      <w:r w:rsidR="00B75C1C" w:rsidRPr="00F36509">
        <w:rPr>
          <w:b/>
          <w:bCs/>
          <w:i/>
          <w:iCs/>
        </w:rPr>
        <w:t>Emerging concerns from the corporate risk register</w:t>
      </w:r>
    </w:p>
    <w:p w14:paraId="5796ECBC" w14:textId="35C453AC" w:rsidR="00F36509" w:rsidRDefault="00F36509" w:rsidP="00347D40">
      <w:pPr>
        <w:rPr>
          <w:rFonts w:cstheme="minorHAnsi"/>
        </w:rPr>
      </w:pPr>
      <w:r>
        <w:rPr>
          <w:rFonts w:cstheme="minorHAnsi"/>
        </w:rPr>
        <w:t>There were no emerging risks this quarter.</w:t>
      </w:r>
    </w:p>
    <w:p w14:paraId="00458A1B" w14:textId="7FA77A7C" w:rsidR="00254146" w:rsidRPr="00F36509" w:rsidRDefault="00254146" w:rsidP="00254146">
      <w:pPr>
        <w:pStyle w:val="NoSpacing"/>
        <w:jc w:val="both"/>
        <w:rPr>
          <w:b/>
          <w:bCs/>
          <w:i/>
          <w:iCs/>
        </w:rPr>
      </w:pPr>
      <w:r w:rsidRPr="00F36509">
        <w:rPr>
          <w:b/>
          <w:bCs/>
          <w:i/>
          <w:iCs/>
        </w:rPr>
        <w:t>1.</w:t>
      </w:r>
      <w:r>
        <w:rPr>
          <w:b/>
          <w:bCs/>
          <w:i/>
          <w:iCs/>
        </w:rPr>
        <w:t>4</w:t>
      </w:r>
      <w:r w:rsidRPr="00F36509">
        <w:rPr>
          <w:b/>
          <w:bCs/>
          <w:i/>
          <w:iCs/>
        </w:rPr>
        <w:t xml:space="preserve"> Risks </w:t>
      </w:r>
      <w:r>
        <w:rPr>
          <w:b/>
          <w:bCs/>
          <w:i/>
          <w:iCs/>
        </w:rPr>
        <w:t>removed from</w:t>
      </w:r>
      <w:r w:rsidRPr="00F36509">
        <w:rPr>
          <w:b/>
          <w:bCs/>
          <w:i/>
          <w:iCs/>
        </w:rPr>
        <w:t xml:space="preserve"> the corporate risk register</w:t>
      </w:r>
    </w:p>
    <w:p w14:paraId="06CFE542" w14:textId="77777777" w:rsidR="00254146" w:rsidRDefault="00254146" w:rsidP="00254146">
      <w:pPr>
        <w:jc w:val="both"/>
        <w:rPr>
          <w:rFonts w:cstheme="minorHAnsi"/>
          <w:bCs/>
        </w:rPr>
      </w:pPr>
      <w:r>
        <w:rPr>
          <w:rFonts w:cstheme="minorHAnsi"/>
          <w:bCs/>
        </w:rPr>
        <w:t>One</w:t>
      </w:r>
      <w:r w:rsidRPr="00347D40">
        <w:rPr>
          <w:rFonts w:cstheme="minorHAnsi"/>
          <w:bCs/>
        </w:rPr>
        <w:t xml:space="preserve"> risk</w:t>
      </w:r>
      <w:r>
        <w:rPr>
          <w:rFonts w:cstheme="minorHAnsi"/>
          <w:bCs/>
        </w:rPr>
        <w:t>s</w:t>
      </w:r>
      <w:r w:rsidRPr="00347D40">
        <w:rPr>
          <w:rFonts w:cstheme="minorHAnsi"/>
          <w:bCs/>
        </w:rPr>
        <w:t xml:space="preserve"> </w:t>
      </w:r>
      <w:r>
        <w:rPr>
          <w:rFonts w:cstheme="minorHAnsi"/>
          <w:bCs/>
        </w:rPr>
        <w:t>has been</w:t>
      </w:r>
      <w:r w:rsidRPr="00347D40">
        <w:rPr>
          <w:rFonts w:cstheme="minorHAnsi"/>
          <w:bCs/>
        </w:rPr>
        <w:t xml:space="preserve"> </w:t>
      </w:r>
      <w:r>
        <w:rPr>
          <w:rFonts w:cstheme="minorHAnsi"/>
          <w:bCs/>
        </w:rPr>
        <w:t>removed at Q3</w:t>
      </w:r>
      <w:r w:rsidRPr="00347D40">
        <w:rPr>
          <w:rFonts w:cstheme="minorHAnsi"/>
          <w:bCs/>
        </w:rPr>
        <w:t>:</w:t>
      </w:r>
    </w:p>
    <w:p w14:paraId="709AD856" w14:textId="77777777" w:rsidR="00254146" w:rsidRDefault="00254146" w:rsidP="00254146">
      <w:pPr>
        <w:pStyle w:val="ListParagraph"/>
        <w:numPr>
          <w:ilvl w:val="0"/>
          <w:numId w:val="33"/>
        </w:numPr>
        <w:jc w:val="both"/>
        <w:rPr>
          <w:rFonts w:asciiTheme="minorHAnsi" w:eastAsiaTheme="minorHAnsi" w:hAnsiTheme="minorHAnsi" w:cstheme="minorHAnsi"/>
          <w:bCs/>
          <w:sz w:val="22"/>
          <w:szCs w:val="22"/>
        </w:rPr>
      </w:pPr>
      <w:r w:rsidRPr="00E6031A">
        <w:rPr>
          <w:rFonts w:asciiTheme="minorHAnsi" w:eastAsiaTheme="minorHAnsi" w:hAnsiTheme="minorHAnsi" w:cstheme="minorHAnsi"/>
          <w:b/>
          <w:sz w:val="22"/>
          <w:szCs w:val="22"/>
        </w:rPr>
        <w:lastRenderedPageBreak/>
        <w:t>Ref #15:</w:t>
      </w:r>
      <w:r>
        <w:rPr>
          <w:rFonts w:asciiTheme="minorHAnsi" w:eastAsiaTheme="minorHAnsi" w:hAnsiTheme="minorHAnsi" w:cstheme="minorHAnsi"/>
          <w:bCs/>
          <w:sz w:val="22"/>
          <w:szCs w:val="22"/>
        </w:rPr>
        <w:t xml:space="preserve"> </w:t>
      </w:r>
      <w:r w:rsidRPr="001C4083">
        <w:rPr>
          <w:rFonts w:asciiTheme="minorHAnsi" w:eastAsiaTheme="minorHAnsi" w:hAnsiTheme="minorHAnsi" w:cstheme="minorHAnsi"/>
          <w:bCs/>
          <w:sz w:val="22"/>
          <w:szCs w:val="22"/>
        </w:rPr>
        <w:t>If the trust does not develop a new EMR and digital strategy that is able to support Oriel this will lead to an inability to deliver a paperless environment and have a significant impact on patient and staff experience as well as posing a reputational risk to the trust.</w:t>
      </w:r>
      <w:r>
        <w:rPr>
          <w:rFonts w:asciiTheme="minorHAnsi" w:eastAsiaTheme="minorHAnsi" w:hAnsiTheme="minorHAnsi" w:cstheme="minorHAnsi"/>
          <w:bCs/>
          <w:sz w:val="22"/>
          <w:szCs w:val="22"/>
        </w:rPr>
        <w:t xml:space="preserve"> </w:t>
      </w:r>
    </w:p>
    <w:p w14:paraId="4D3DD1A2" w14:textId="00FECFEA" w:rsidR="00254146" w:rsidRPr="00254146" w:rsidRDefault="00254146" w:rsidP="00254146">
      <w:pPr>
        <w:jc w:val="both"/>
        <w:rPr>
          <w:rFonts w:cstheme="minorHAnsi"/>
          <w:bCs/>
        </w:rPr>
      </w:pPr>
      <w:r>
        <w:rPr>
          <w:rFonts w:cstheme="minorHAnsi"/>
          <w:bCs/>
        </w:rPr>
        <w:t xml:space="preserve">The trust has now developed and approved the IT Strategy (March 2022) and completed the delivery of </w:t>
      </w:r>
      <w:proofErr w:type="spellStart"/>
      <w:r>
        <w:rPr>
          <w:rFonts w:cstheme="minorHAnsi"/>
          <w:bCs/>
        </w:rPr>
        <w:t>OpenEyes</w:t>
      </w:r>
      <w:proofErr w:type="spellEnd"/>
      <w:r>
        <w:rPr>
          <w:rFonts w:cstheme="minorHAnsi"/>
          <w:bCs/>
        </w:rPr>
        <w:t xml:space="preserve"> v6 (August 2022) meaning the risk has been fully mitigated. </w:t>
      </w:r>
    </w:p>
    <w:bookmarkEnd w:id="0"/>
    <w:p w14:paraId="6F956165" w14:textId="0AD3F8DC" w:rsidR="00357651" w:rsidRPr="00F36509" w:rsidRDefault="00371093" w:rsidP="00F36509">
      <w:pPr>
        <w:pStyle w:val="NoSpacing"/>
        <w:rPr>
          <w:b/>
          <w:bCs/>
          <w:i/>
          <w:iCs/>
        </w:rPr>
      </w:pPr>
      <w:r w:rsidRPr="00F36509">
        <w:rPr>
          <w:b/>
          <w:bCs/>
          <w:i/>
          <w:iCs/>
        </w:rPr>
        <w:t>1.</w:t>
      </w:r>
      <w:r w:rsidR="00254146">
        <w:rPr>
          <w:b/>
          <w:bCs/>
          <w:i/>
          <w:iCs/>
        </w:rPr>
        <w:t>5</w:t>
      </w:r>
      <w:r w:rsidRPr="00F36509">
        <w:rPr>
          <w:b/>
          <w:bCs/>
          <w:i/>
          <w:iCs/>
        </w:rPr>
        <w:t xml:space="preserve"> </w:t>
      </w:r>
      <w:r w:rsidR="00357651" w:rsidRPr="00F36509">
        <w:rPr>
          <w:b/>
          <w:bCs/>
          <w:i/>
          <w:iCs/>
        </w:rPr>
        <w:t>Risks added to the corporate risk register</w:t>
      </w:r>
    </w:p>
    <w:p w14:paraId="79545720" w14:textId="21409B40" w:rsidR="00347D40" w:rsidRDefault="000909C4" w:rsidP="00347D40">
      <w:pPr>
        <w:rPr>
          <w:rFonts w:cstheme="minorHAnsi"/>
          <w:bCs/>
        </w:rPr>
      </w:pPr>
      <w:r>
        <w:rPr>
          <w:rFonts w:cstheme="minorHAnsi"/>
          <w:bCs/>
        </w:rPr>
        <w:t xml:space="preserve">Four </w:t>
      </w:r>
      <w:r w:rsidR="00371093" w:rsidRPr="00347D40">
        <w:rPr>
          <w:rFonts w:cstheme="minorHAnsi"/>
          <w:bCs/>
        </w:rPr>
        <w:t>new risk</w:t>
      </w:r>
      <w:r>
        <w:rPr>
          <w:rFonts w:cstheme="minorHAnsi"/>
          <w:bCs/>
        </w:rPr>
        <w:t>s</w:t>
      </w:r>
      <w:r w:rsidR="00371093" w:rsidRPr="00347D40">
        <w:rPr>
          <w:rFonts w:cstheme="minorHAnsi"/>
          <w:bCs/>
        </w:rPr>
        <w:t xml:space="preserve"> </w:t>
      </w:r>
      <w:r>
        <w:rPr>
          <w:rFonts w:cstheme="minorHAnsi"/>
          <w:bCs/>
        </w:rPr>
        <w:t>were</w:t>
      </w:r>
      <w:r w:rsidR="00371093" w:rsidRPr="00347D40">
        <w:rPr>
          <w:rFonts w:cstheme="minorHAnsi"/>
          <w:bCs/>
        </w:rPr>
        <w:t xml:space="preserve"> added</w:t>
      </w:r>
      <w:r w:rsidR="00347D40">
        <w:rPr>
          <w:rFonts w:cstheme="minorHAnsi"/>
          <w:bCs/>
        </w:rPr>
        <w:t xml:space="preserve"> at Q</w:t>
      </w:r>
      <w:r w:rsidR="007C4F9A">
        <w:rPr>
          <w:rFonts w:cstheme="minorHAnsi"/>
          <w:bCs/>
        </w:rPr>
        <w:t>3</w:t>
      </w:r>
      <w:r w:rsidR="00347D40" w:rsidRPr="00347D40">
        <w:rPr>
          <w:rFonts w:cstheme="minorHAnsi"/>
          <w:bCs/>
        </w:rPr>
        <w:t>:</w:t>
      </w:r>
    </w:p>
    <w:p w14:paraId="32A63F0A" w14:textId="4B005B5C" w:rsidR="00347D40" w:rsidRPr="000909C4" w:rsidRDefault="00E202BE" w:rsidP="000A5D49">
      <w:pPr>
        <w:pStyle w:val="ListParagraph"/>
        <w:numPr>
          <w:ilvl w:val="0"/>
          <w:numId w:val="32"/>
        </w:numPr>
        <w:jc w:val="both"/>
        <w:rPr>
          <w:rFonts w:asciiTheme="minorHAnsi" w:eastAsiaTheme="minorHAnsi" w:hAnsiTheme="minorHAnsi" w:cstheme="minorHAnsi"/>
          <w:bCs/>
          <w:sz w:val="22"/>
          <w:szCs w:val="22"/>
        </w:rPr>
      </w:pPr>
      <w:r>
        <w:rPr>
          <w:rFonts w:asciiTheme="minorHAnsi" w:eastAsiaTheme="minorHAnsi" w:hAnsiTheme="minorHAnsi" w:cstheme="minorHAnsi"/>
          <w:b/>
          <w:sz w:val="22"/>
          <w:szCs w:val="22"/>
        </w:rPr>
        <w:t xml:space="preserve">Ref #27: </w:t>
      </w:r>
      <w:r w:rsidR="000909C4" w:rsidRPr="000909C4">
        <w:rPr>
          <w:rFonts w:asciiTheme="minorHAnsi" w:eastAsiaTheme="minorHAnsi" w:hAnsiTheme="minorHAnsi" w:cstheme="minorHAnsi"/>
          <w:b/>
          <w:sz w:val="22"/>
          <w:szCs w:val="22"/>
        </w:rPr>
        <w:t>Fraud and bribery</w:t>
      </w:r>
      <w:r w:rsidR="000909C4" w:rsidRPr="000909C4">
        <w:rPr>
          <w:rFonts w:asciiTheme="minorHAnsi" w:eastAsiaTheme="minorHAnsi" w:hAnsiTheme="minorHAnsi" w:cstheme="minorHAnsi"/>
          <w:bCs/>
          <w:sz w:val="22"/>
          <w:szCs w:val="22"/>
        </w:rPr>
        <w:t xml:space="preserve"> committed against the Trust will divert resources away from patient care. Due to the nature of our business, we are vulnerable to fraud and bribery. Individuals could be open to a charge of fraud or bribery should they knowingly undertake a dishonest act with the intent of obtaining an advantage, avoiding an obligation (such as disclosure</w:t>
      </w:r>
      <w:proofErr w:type="gramStart"/>
      <w:r w:rsidR="000909C4" w:rsidRPr="000909C4">
        <w:rPr>
          <w:rFonts w:asciiTheme="minorHAnsi" w:eastAsiaTheme="minorHAnsi" w:hAnsiTheme="minorHAnsi" w:cstheme="minorHAnsi"/>
          <w:bCs/>
          <w:sz w:val="22"/>
          <w:szCs w:val="22"/>
        </w:rPr>
        <w:t>)</w:t>
      </w:r>
      <w:proofErr w:type="gramEnd"/>
      <w:r w:rsidR="000909C4" w:rsidRPr="000909C4">
        <w:rPr>
          <w:rFonts w:asciiTheme="minorHAnsi" w:eastAsiaTheme="minorHAnsi" w:hAnsiTheme="minorHAnsi" w:cstheme="minorHAnsi"/>
          <w:bCs/>
          <w:sz w:val="22"/>
          <w:szCs w:val="22"/>
        </w:rPr>
        <w:t xml:space="preserve"> or causing a loss to the Trust or individual(s). If the Trust does not put in place appropriate measures it could suffer financial and reputational risk if fraud or bribery is committed.</w:t>
      </w:r>
    </w:p>
    <w:p w14:paraId="4AEFB12C" w14:textId="77777777" w:rsidR="000909C4" w:rsidRPr="000909C4" w:rsidRDefault="000909C4" w:rsidP="000A5D49">
      <w:pPr>
        <w:pStyle w:val="ListParagraph"/>
        <w:jc w:val="both"/>
        <w:rPr>
          <w:rFonts w:asciiTheme="minorHAnsi" w:eastAsiaTheme="minorHAnsi" w:hAnsiTheme="minorHAnsi" w:cstheme="minorHAnsi"/>
          <w:bCs/>
          <w:sz w:val="22"/>
          <w:szCs w:val="22"/>
        </w:rPr>
      </w:pPr>
    </w:p>
    <w:p w14:paraId="2F33E49F" w14:textId="6ECCABA4" w:rsidR="000909C4" w:rsidRPr="000909C4" w:rsidRDefault="00F04C3E" w:rsidP="000A5D49">
      <w:pPr>
        <w:pStyle w:val="ListParagraph"/>
        <w:numPr>
          <w:ilvl w:val="0"/>
          <w:numId w:val="32"/>
        </w:numPr>
        <w:jc w:val="both"/>
        <w:rPr>
          <w:rFonts w:asciiTheme="minorHAnsi" w:eastAsiaTheme="minorHAnsi" w:hAnsiTheme="minorHAnsi" w:cstheme="minorHAnsi"/>
          <w:bCs/>
          <w:sz w:val="22"/>
          <w:szCs w:val="22"/>
        </w:rPr>
      </w:pPr>
      <w:r w:rsidRPr="00F04C3E">
        <w:rPr>
          <w:rFonts w:asciiTheme="minorHAnsi" w:eastAsiaTheme="minorHAnsi" w:hAnsiTheme="minorHAnsi" w:cstheme="minorHAnsi"/>
          <w:b/>
          <w:sz w:val="22"/>
          <w:szCs w:val="22"/>
        </w:rPr>
        <w:t>Ref #28</w:t>
      </w:r>
      <w:r>
        <w:rPr>
          <w:rFonts w:asciiTheme="minorHAnsi" w:eastAsiaTheme="minorHAnsi" w:hAnsiTheme="minorHAnsi" w:cstheme="minorHAnsi"/>
          <w:bCs/>
          <w:sz w:val="22"/>
          <w:szCs w:val="22"/>
        </w:rPr>
        <w:t xml:space="preserve">: </w:t>
      </w:r>
      <w:r w:rsidR="000909C4" w:rsidRPr="000909C4">
        <w:rPr>
          <w:rFonts w:asciiTheme="minorHAnsi" w:eastAsiaTheme="minorHAnsi" w:hAnsiTheme="minorHAnsi" w:cstheme="minorHAnsi"/>
          <w:bCs/>
          <w:sz w:val="22"/>
          <w:szCs w:val="22"/>
        </w:rPr>
        <w:t>Winter illness, lower vaccination rates, vacancies and industrial action across healthcare and transport may impact</w:t>
      </w:r>
      <w:r w:rsidR="000909C4" w:rsidRPr="000909C4">
        <w:rPr>
          <w:rFonts w:asciiTheme="minorHAnsi" w:eastAsiaTheme="minorHAnsi" w:hAnsiTheme="minorHAnsi" w:cstheme="minorHAnsi"/>
          <w:b/>
          <w:sz w:val="22"/>
          <w:szCs w:val="22"/>
        </w:rPr>
        <w:t xml:space="preserve"> staff availability </w:t>
      </w:r>
      <w:r w:rsidR="000909C4" w:rsidRPr="000909C4">
        <w:rPr>
          <w:rFonts w:asciiTheme="minorHAnsi" w:eastAsiaTheme="minorHAnsi" w:hAnsiTheme="minorHAnsi" w:cstheme="minorHAnsi"/>
          <w:bCs/>
          <w:sz w:val="22"/>
          <w:szCs w:val="22"/>
        </w:rPr>
        <w:t xml:space="preserve">in the coming months which could impact on activity </w:t>
      </w:r>
      <w:proofErr w:type="gramStart"/>
      <w:r w:rsidR="000909C4" w:rsidRPr="000909C4">
        <w:rPr>
          <w:rFonts w:asciiTheme="minorHAnsi" w:eastAsiaTheme="minorHAnsi" w:hAnsiTheme="minorHAnsi" w:cstheme="minorHAnsi"/>
          <w:bCs/>
          <w:sz w:val="22"/>
          <w:szCs w:val="22"/>
        </w:rPr>
        <w:t>and also</w:t>
      </w:r>
      <w:proofErr w:type="gramEnd"/>
      <w:r w:rsidR="000909C4" w:rsidRPr="000909C4">
        <w:rPr>
          <w:rFonts w:asciiTheme="minorHAnsi" w:eastAsiaTheme="minorHAnsi" w:hAnsiTheme="minorHAnsi" w:cstheme="minorHAnsi"/>
          <w:bCs/>
          <w:sz w:val="22"/>
          <w:szCs w:val="22"/>
        </w:rPr>
        <w:t xml:space="preserve"> increase pressure on other staff.</w:t>
      </w:r>
    </w:p>
    <w:p w14:paraId="74CDBFF0" w14:textId="77777777" w:rsidR="000909C4" w:rsidRPr="000909C4" w:rsidRDefault="000909C4" w:rsidP="000A5D49">
      <w:pPr>
        <w:pStyle w:val="ListParagraph"/>
        <w:jc w:val="both"/>
        <w:rPr>
          <w:rFonts w:asciiTheme="minorHAnsi" w:eastAsiaTheme="minorHAnsi" w:hAnsiTheme="minorHAnsi" w:cstheme="minorHAnsi"/>
          <w:bCs/>
          <w:sz w:val="22"/>
          <w:szCs w:val="22"/>
        </w:rPr>
      </w:pPr>
    </w:p>
    <w:p w14:paraId="30B04181" w14:textId="74CAFB76" w:rsidR="000909C4" w:rsidRPr="000909C4" w:rsidRDefault="00F04C3E" w:rsidP="000A5D49">
      <w:pPr>
        <w:pStyle w:val="ListParagraph"/>
        <w:numPr>
          <w:ilvl w:val="0"/>
          <w:numId w:val="32"/>
        </w:numPr>
        <w:jc w:val="both"/>
        <w:rPr>
          <w:rFonts w:asciiTheme="minorHAnsi" w:eastAsiaTheme="minorHAnsi" w:hAnsiTheme="minorHAnsi" w:cstheme="minorHAnsi"/>
          <w:bCs/>
          <w:sz w:val="22"/>
          <w:szCs w:val="22"/>
        </w:rPr>
      </w:pPr>
      <w:r w:rsidRPr="00F04C3E">
        <w:rPr>
          <w:rFonts w:asciiTheme="minorHAnsi" w:eastAsiaTheme="minorHAnsi" w:hAnsiTheme="minorHAnsi" w:cstheme="minorHAnsi"/>
          <w:b/>
          <w:sz w:val="22"/>
          <w:szCs w:val="22"/>
        </w:rPr>
        <w:t>Ref #29</w:t>
      </w:r>
      <w:r>
        <w:rPr>
          <w:rFonts w:asciiTheme="minorHAnsi" w:eastAsiaTheme="minorHAnsi" w:hAnsiTheme="minorHAnsi" w:cstheme="minorHAnsi"/>
          <w:bCs/>
          <w:sz w:val="22"/>
          <w:szCs w:val="22"/>
        </w:rPr>
        <w:t xml:space="preserve">: </w:t>
      </w:r>
      <w:r w:rsidR="000909C4" w:rsidRPr="000909C4">
        <w:rPr>
          <w:rFonts w:asciiTheme="minorHAnsi" w:eastAsiaTheme="minorHAnsi" w:hAnsiTheme="minorHAnsi" w:cstheme="minorHAnsi"/>
          <w:bCs/>
          <w:sz w:val="22"/>
          <w:szCs w:val="22"/>
        </w:rPr>
        <w:t xml:space="preserve">If there is considerable </w:t>
      </w:r>
      <w:r w:rsidR="000909C4" w:rsidRPr="000909C4">
        <w:rPr>
          <w:rFonts w:asciiTheme="minorHAnsi" w:eastAsiaTheme="minorHAnsi" w:hAnsiTheme="minorHAnsi" w:cstheme="minorHAnsi"/>
          <w:b/>
          <w:sz w:val="22"/>
          <w:szCs w:val="22"/>
        </w:rPr>
        <w:t xml:space="preserve">inconsistency </w:t>
      </w:r>
      <w:r w:rsidR="000909C4" w:rsidRPr="000909C4">
        <w:rPr>
          <w:rFonts w:asciiTheme="minorHAnsi" w:eastAsiaTheme="minorHAnsi" w:hAnsiTheme="minorHAnsi" w:cstheme="minorHAnsi"/>
          <w:bCs/>
          <w:sz w:val="22"/>
          <w:szCs w:val="22"/>
        </w:rPr>
        <w:t xml:space="preserve">across divisions, geographical locations, and services regarding the </w:t>
      </w:r>
      <w:r w:rsidR="000909C4" w:rsidRPr="000909C4">
        <w:rPr>
          <w:rFonts w:asciiTheme="minorHAnsi" w:eastAsiaTheme="minorHAnsi" w:hAnsiTheme="minorHAnsi" w:cstheme="minorHAnsi"/>
          <w:b/>
          <w:sz w:val="22"/>
          <w:szCs w:val="22"/>
        </w:rPr>
        <w:t>management of patient referrals</w:t>
      </w:r>
      <w:r w:rsidR="000909C4" w:rsidRPr="000909C4">
        <w:rPr>
          <w:rFonts w:asciiTheme="minorHAnsi" w:eastAsiaTheme="minorHAnsi" w:hAnsiTheme="minorHAnsi" w:cstheme="minorHAnsi"/>
          <w:bCs/>
          <w:sz w:val="22"/>
          <w:szCs w:val="22"/>
        </w:rPr>
        <w:t xml:space="preserve"> and waiting lists, then teams will not be able to effectively assess, plan and manage capacity leading to inequity in waiting times, service delivery, patient experience and possible patient harm</w:t>
      </w:r>
      <w:r w:rsidR="000A5D49">
        <w:rPr>
          <w:rFonts w:asciiTheme="minorHAnsi" w:eastAsiaTheme="minorHAnsi" w:hAnsiTheme="minorHAnsi" w:cstheme="minorHAnsi"/>
          <w:bCs/>
          <w:sz w:val="22"/>
          <w:szCs w:val="22"/>
        </w:rPr>
        <w:t>.</w:t>
      </w:r>
    </w:p>
    <w:p w14:paraId="772D1C26" w14:textId="77777777" w:rsidR="000909C4" w:rsidRPr="000909C4" w:rsidRDefault="000909C4" w:rsidP="000A5D49">
      <w:pPr>
        <w:pStyle w:val="ListParagraph"/>
        <w:jc w:val="both"/>
        <w:rPr>
          <w:rFonts w:asciiTheme="minorHAnsi" w:eastAsiaTheme="minorHAnsi" w:hAnsiTheme="minorHAnsi" w:cstheme="minorHAnsi"/>
          <w:bCs/>
          <w:sz w:val="22"/>
          <w:szCs w:val="22"/>
        </w:rPr>
      </w:pPr>
    </w:p>
    <w:p w14:paraId="55BE0E08" w14:textId="5B7A2A66" w:rsidR="000909C4" w:rsidRDefault="00E202BE" w:rsidP="000A5D49">
      <w:pPr>
        <w:pStyle w:val="ListParagraph"/>
        <w:numPr>
          <w:ilvl w:val="0"/>
          <w:numId w:val="32"/>
        </w:numPr>
        <w:jc w:val="both"/>
        <w:rPr>
          <w:rFonts w:asciiTheme="minorHAnsi" w:eastAsiaTheme="minorHAnsi" w:hAnsiTheme="minorHAnsi" w:cstheme="minorHAnsi"/>
          <w:bCs/>
          <w:sz w:val="22"/>
          <w:szCs w:val="22"/>
        </w:rPr>
      </w:pPr>
      <w:r w:rsidRPr="00F04C3E">
        <w:rPr>
          <w:rFonts w:asciiTheme="minorHAnsi" w:eastAsiaTheme="minorHAnsi" w:hAnsiTheme="minorHAnsi" w:cstheme="minorHAnsi"/>
          <w:b/>
          <w:sz w:val="22"/>
          <w:szCs w:val="22"/>
        </w:rPr>
        <w:t xml:space="preserve">Ref #30: </w:t>
      </w:r>
      <w:r w:rsidR="00704ED5" w:rsidRPr="00704ED5">
        <w:rPr>
          <w:rFonts w:asciiTheme="minorHAnsi" w:eastAsiaTheme="minorHAnsi" w:hAnsiTheme="minorHAnsi" w:cstheme="minorHAnsi"/>
          <w:bCs/>
          <w:sz w:val="22"/>
          <w:szCs w:val="22"/>
        </w:rPr>
        <w:t>I</w:t>
      </w:r>
      <w:r w:rsidR="001616FC">
        <w:rPr>
          <w:rFonts w:asciiTheme="minorHAnsi" w:eastAsiaTheme="minorHAnsi" w:hAnsiTheme="minorHAnsi" w:cstheme="minorHAnsi"/>
          <w:bCs/>
          <w:sz w:val="22"/>
          <w:szCs w:val="22"/>
        </w:rPr>
        <w:t xml:space="preserve">f </w:t>
      </w:r>
      <w:r w:rsidR="00704ED5" w:rsidRPr="00704ED5">
        <w:rPr>
          <w:rFonts w:asciiTheme="minorHAnsi" w:eastAsiaTheme="minorHAnsi" w:hAnsiTheme="minorHAnsi" w:cstheme="minorHAnsi"/>
          <w:bCs/>
          <w:sz w:val="22"/>
          <w:szCs w:val="22"/>
        </w:rPr>
        <w:t xml:space="preserve">the trust does not successfully secure funding and implement a </w:t>
      </w:r>
      <w:r w:rsidR="00704ED5" w:rsidRPr="00FE439B">
        <w:rPr>
          <w:rFonts w:asciiTheme="minorHAnsi" w:eastAsiaTheme="minorHAnsi" w:hAnsiTheme="minorHAnsi" w:cstheme="minorHAnsi"/>
          <w:b/>
          <w:sz w:val="22"/>
          <w:szCs w:val="22"/>
        </w:rPr>
        <w:t>new Electronic Patient Record system</w:t>
      </w:r>
      <w:r w:rsidR="00704ED5" w:rsidRPr="00704ED5">
        <w:rPr>
          <w:rFonts w:asciiTheme="minorHAnsi" w:eastAsiaTheme="minorHAnsi" w:hAnsiTheme="minorHAnsi" w:cstheme="minorHAnsi"/>
          <w:bCs/>
          <w:sz w:val="22"/>
          <w:szCs w:val="22"/>
        </w:rPr>
        <w:t xml:space="preserve"> by 2025, </w:t>
      </w:r>
      <w:r w:rsidR="001616FC">
        <w:rPr>
          <w:rFonts w:asciiTheme="minorHAnsi" w:eastAsiaTheme="minorHAnsi" w:hAnsiTheme="minorHAnsi" w:cstheme="minorHAnsi"/>
          <w:bCs/>
          <w:sz w:val="22"/>
          <w:szCs w:val="22"/>
        </w:rPr>
        <w:t>then</w:t>
      </w:r>
      <w:r w:rsidR="00704ED5" w:rsidRPr="00704ED5">
        <w:rPr>
          <w:rFonts w:asciiTheme="minorHAnsi" w:eastAsiaTheme="minorHAnsi" w:hAnsiTheme="minorHAnsi" w:cstheme="minorHAnsi"/>
          <w:bCs/>
          <w:sz w:val="22"/>
          <w:szCs w:val="22"/>
        </w:rPr>
        <w:t xml:space="preserve"> it will be unable to meet the target set by the Secretary of State for Health and Social Care for all trusts to reach the Minimum Digital Maturity standard.</w:t>
      </w:r>
    </w:p>
    <w:p w14:paraId="291FAE23" w14:textId="77777777" w:rsidR="001C4083" w:rsidRPr="001C4083" w:rsidRDefault="001C4083" w:rsidP="000A5D49">
      <w:pPr>
        <w:pStyle w:val="ListParagraph"/>
        <w:jc w:val="both"/>
        <w:rPr>
          <w:rFonts w:asciiTheme="minorHAnsi" w:eastAsiaTheme="minorHAnsi" w:hAnsiTheme="minorHAnsi" w:cstheme="minorHAnsi"/>
          <w:bCs/>
          <w:sz w:val="22"/>
          <w:szCs w:val="22"/>
        </w:rPr>
      </w:pPr>
    </w:p>
    <w:p w14:paraId="3BFC46B0" w14:textId="77777777" w:rsidR="00E202BE" w:rsidRPr="00E202BE" w:rsidRDefault="00E202BE" w:rsidP="00E202BE">
      <w:pPr>
        <w:rPr>
          <w:rFonts w:cstheme="minorHAnsi"/>
          <w:bCs/>
        </w:rPr>
      </w:pPr>
    </w:p>
    <w:sectPr w:rsidR="00E202BE" w:rsidRPr="00E202BE" w:rsidSect="00AB134D">
      <w:headerReference w:type="first" r:id="rId11"/>
      <w:pgSz w:w="11906" w:h="16838"/>
      <w:pgMar w:top="720" w:right="720" w:bottom="72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662EE" w14:textId="77777777" w:rsidR="009A719A" w:rsidRDefault="009A719A" w:rsidP="001164DD">
      <w:pPr>
        <w:spacing w:after="0" w:line="240" w:lineRule="auto"/>
      </w:pPr>
      <w:r>
        <w:separator/>
      </w:r>
    </w:p>
  </w:endnote>
  <w:endnote w:type="continuationSeparator" w:id="0">
    <w:p w14:paraId="4E5EEE98" w14:textId="77777777" w:rsidR="009A719A" w:rsidRDefault="009A719A" w:rsidP="00116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utiger 45 Ligh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09D4B" w14:textId="692151DA" w:rsidR="0022315B" w:rsidRDefault="0022315B" w:rsidP="00DD307B">
    <w:pPr>
      <w:pStyle w:val="Footer"/>
      <w:jc w:val="center"/>
    </w:pPr>
    <w:r w:rsidRPr="00DD307B">
      <w:rPr>
        <w:sz w:val="18"/>
      </w:rPr>
      <w:fldChar w:fldCharType="begin"/>
    </w:r>
    <w:r w:rsidRPr="00DD307B">
      <w:rPr>
        <w:sz w:val="18"/>
      </w:rPr>
      <w:instrText xml:space="preserve"> PAGE   \* MERGEFORMAT </w:instrText>
    </w:r>
    <w:r w:rsidRPr="00DD307B">
      <w:rPr>
        <w:sz w:val="18"/>
      </w:rPr>
      <w:fldChar w:fldCharType="separate"/>
    </w:r>
    <w:r w:rsidR="00192ECC">
      <w:rPr>
        <w:noProof/>
        <w:sz w:val="18"/>
      </w:rPr>
      <w:t>3</w:t>
    </w:r>
    <w:r w:rsidRPr="00DD307B">
      <w:rPr>
        <w:sz w:val="18"/>
      </w:rPr>
      <w:fldChar w:fldCharType="end"/>
    </w:r>
    <w:r w:rsidRPr="00DD307B">
      <w:rPr>
        <w:sz w:val="18"/>
      </w:rPr>
      <w:t xml:space="preserve"> of </w:t>
    </w:r>
    <w:r w:rsidRPr="00DD307B">
      <w:rPr>
        <w:sz w:val="18"/>
      </w:rPr>
      <w:fldChar w:fldCharType="begin"/>
    </w:r>
    <w:r w:rsidRPr="00DD307B">
      <w:rPr>
        <w:sz w:val="18"/>
      </w:rPr>
      <w:instrText xml:space="preserve"> NUMPAGES   \* MERGEFORMAT </w:instrText>
    </w:r>
    <w:r w:rsidRPr="00DD307B">
      <w:rPr>
        <w:sz w:val="18"/>
      </w:rPr>
      <w:fldChar w:fldCharType="separate"/>
    </w:r>
    <w:r w:rsidR="00192ECC">
      <w:rPr>
        <w:noProof/>
        <w:sz w:val="18"/>
      </w:rPr>
      <w:t>3</w:t>
    </w:r>
    <w:r w:rsidRPr="00DD307B">
      <w:rPr>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6CE7C" w14:textId="3BA95E78" w:rsidR="0022315B" w:rsidRDefault="0022315B" w:rsidP="001670E6">
    <w:pPr>
      <w:pStyle w:val="Footer"/>
      <w:jc w:val="center"/>
    </w:pPr>
    <w:r w:rsidRPr="001670E6">
      <w:rPr>
        <w:sz w:val="18"/>
      </w:rPr>
      <w:fldChar w:fldCharType="begin"/>
    </w:r>
    <w:r w:rsidRPr="001670E6">
      <w:rPr>
        <w:sz w:val="18"/>
      </w:rPr>
      <w:instrText xml:space="preserve"> PAGE   \* MERGEFORMAT </w:instrText>
    </w:r>
    <w:r w:rsidRPr="001670E6">
      <w:rPr>
        <w:sz w:val="18"/>
      </w:rPr>
      <w:fldChar w:fldCharType="separate"/>
    </w:r>
    <w:r w:rsidR="00192ECC">
      <w:rPr>
        <w:noProof/>
        <w:sz w:val="18"/>
      </w:rPr>
      <w:t>2</w:t>
    </w:r>
    <w:r w:rsidRPr="001670E6">
      <w:rPr>
        <w:sz w:val="18"/>
      </w:rPr>
      <w:fldChar w:fldCharType="end"/>
    </w:r>
    <w:r w:rsidRPr="001670E6">
      <w:rPr>
        <w:sz w:val="18"/>
      </w:rPr>
      <w:t xml:space="preserve"> of </w:t>
    </w:r>
    <w:r w:rsidRPr="001670E6">
      <w:rPr>
        <w:sz w:val="18"/>
      </w:rPr>
      <w:fldChar w:fldCharType="begin"/>
    </w:r>
    <w:r w:rsidRPr="001670E6">
      <w:rPr>
        <w:sz w:val="18"/>
      </w:rPr>
      <w:instrText xml:space="preserve"> NUMPAGES   \* MERGEFORMAT </w:instrText>
    </w:r>
    <w:r w:rsidRPr="001670E6">
      <w:rPr>
        <w:sz w:val="18"/>
      </w:rPr>
      <w:fldChar w:fldCharType="separate"/>
    </w:r>
    <w:r w:rsidR="00192ECC">
      <w:rPr>
        <w:noProof/>
        <w:sz w:val="18"/>
      </w:rPr>
      <w:t>3</w:t>
    </w:r>
    <w:r w:rsidRPr="001670E6">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3F157" w14:textId="77777777" w:rsidR="009A719A" w:rsidRDefault="009A719A" w:rsidP="001164DD">
      <w:pPr>
        <w:spacing w:after="0" w:line="240" w:lineRule="auto"/>
      </w:pPr>
      <w:r>
        <w:separator/>
      </w:r>
    </w:p>
  </w:footnote>
  <w:footnote w:type="continuationSeparator" w:id="0">
    <w:p w14:paraId="1593F167" w14:textId="77777777" w:rsidR="009A719A" w:rsidRDefault="009A719A" w:rsidP="001164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7B1AB" w14:textId="77777777" w:rsidR="0022315B" w:rsidRDefault="0022315B" w:rsidP="001164DD">
    <w:pPr>
      <w:pStyle w:val="Header"/>
      <w:tabs>
        <w:tab w:val="clear" w:pos="4513"/>
        <w:tab w:val="clear" w:pos="9026"/>
        <w:tab w:val="left" w:pos="7320"/>
      </w:tabs>
    </w:pPr>
    <w:r w:rsidRPr="00B9338E">
      <w:rPr>
        <w:noProof/>
        <w:sz w:val="18"/>
        <w:lang w:eastAsia="en-GB"/>
      </w:rPr>
      <w:drawing>
        <wp:anchor distT="0" distB="0" distL="114300" distR="114300" simplePos="0" relativeHeight="251661312" behindDoc="0" locked="0" layoutInCell="1" allowOverlap="1" wp14:anchorId="30710C50" wp14:editId="7BF22A35">
          <wp:simplePos x="0" y="0"/>
          <wp:positionH relativeFrom="page">
            <wp:posOffset>4604385</wp:posOffset>
          </wp:positionH>
          <wp:positionV relativeFrom="page">
            <wp:posOffset>306705</wp:posOffset>
          </wp:positionV>
          <wp:extent cx="2348644" cy="343975"/>
          <wp:effectExtent l="0" t="0" r="0" b="0"/>
          <wp:wrapNone/>
          <wp:docPr id="12" name="Picture 12" descr="NHS MoorfieldsW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 MoorfieldsWO.png"/>
                  <pic:cNvPicPr/>
                </pic:nvPicPr>
                <pic:blipFill>
                  <a:blip r:embed="rId1"/>
                  <a:stretch>
                    <a:fillRect/>
                  </a:stretch>
                </pic:blipFill>
                <pic:spPr>
                  <a:xfrm>
                    <a:off x="0" y="0"/>
                    <a:ext cx="2348644" cy="343975"/>
                  </a:xfrm>
                  <a:prstGeom prst="rect">
                    <a:avLst/>
                  </a:prstGeom>
                </pic:spPr>
              </pic:pic>
            </a:graphicData>
          </a:graphic>
        </wp:anchor>
      </w:drawing>
    </w:r>
    <w:r>
      <w:tab/>
    </w:r>
  </w:p>
  <w:p w14:paraId="41B7AB89" w14:textId="77777777" w:rsidR="0022315B" w:rsidRDefault="0022315B" w:rsidP="00A26A0C">
    <w:pPr>
      <w:pStyle w:val="Header"/>
      <w:tabs>
        <w:tab w:val="clear" w:pos="4513"/>
        <w:tab w:val="clear" w:pos="9026"/>
        <w:tab w:val="left" w:pos="2295"/>
        <w:tab w:val="left" w:pos="459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37D9B" w14:textId="77777777" w:rsidR="0022315B" w:rsidRDefault="002231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8661A"/>
    <w:multiLevelType w:val="hybridMultilevel"/>
    <w:tmpl w:val="96B2C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FD07DC"/>
    <w:multiLevelType w:val="hybridMultilevel"/>
    <w:tmpl w:val="6A081DEC"/>
    <w:lvl w:ilvl="0" w:tplc="4DE22F92">
      <w:start w:val="1"/>
      <w:numFmt w:val="decimal"/>
      <w:pStyle w:val="Heading3"/>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10B7BEA"/>
    <w:multiLevelType w:val="hybridMultilevel"/>
    <w:tmpl w:val="34BA1F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0C6DAB"/>
    <w:multiLevelType w:val="hybridMultilevel"/>
    <w:tmpl w:val="22F67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C1181C"/>
    <w:multiLevelType w:val="hybridMultilevel"/>
    <w:tmpl w:val="1B5866C4"/>
    <w:lvl w:ilvl="0" w:tplc="CCE28638">
      <w:start w:val="1"/>
      <w:numFmt w:val="decimal"/>
      <w:lvlText w:val="%1."/>
      <w:lvlJc w:val="left"/>
      <w:pPr>
        <w:tabs>
          <w:tab w:val="num" w:pos="720"/>
        </w:tabs>
        <w:ind w:left="720" w:hanging="360"/>
      </w:pPr>
    </w:lvl>
    <w:lvl w:ilvl="1" w:tplc="9970D3A4">
      <w:start w:val="1"/>
      <w:numFmt w:val="decimal"/>
      <w:lvlText w:val="%2."/>
      <w:lvlJc w:val="left"/>
      <w:pPr>
        <w:tabs>
          <w:tab w:val="num" w:pos="1440"/>
        </w:tabs>
        <w:ind w:left="1440" w:hanging="360"/>
      </w:pPr>
    </w:lvl>
    <w:lvl w:ilvl="2" w:tplc="EFDEA930" w:tentative="1">
      <w:start w:val="1"/>
      <w:numFmt w:val="decimal"/>
      <w:lvlText w:val="%3."/>
      <w:lvlJc w:val="left"/>
      <w:pPr>
        <w:tabs>
          <w:tab w:val="num" w:pos="2160"/>
        </w:tabs>
        <w:ind w:left="2160" w:hanging="360"/>
      </w:pPr>
    </w:lvl>
    <w:lvl w:ilvl="3" w:tplc="1780EFBE" w:tentative="1">
      <w:start w:val="1"/>
      <w:numFmt w:val="decimal"/>
      <w:lvlText w:val="%4."/>
      <w:lvlJc w:val="left"/>
      <w:pPr>
        <w:tabs>
          <w:tab w:val="num" w:pos="2880"/>
        </w:tabs>
        <w:ind w:left="2880" w:hanging="360"/>
      </w:pPr>
    </w:lvl>
    <w:lvl w:ilvl="4" w:tplc="106A1E9A" w:tentative="1">
      <w:start w:val="1"/>
      <w:numFmt w:val="decimal"/>
      <w:lvlText w:val="%5."/>
      <w:lvlJc w:val="left"/>
      <w:pPr>
        <w:tabs>
          <w:tab w:val="num" w:pos="3600"/>
        </w:tabs>
        <w:ind w:left="3600" w:hanging="360"/>
      </w:pPr>
    </w:lvl>
    <w:lvl w:ilvl="5" w:tplc="70EEF442" w:tentative="1">
      <w:start w:val="1"/>
      <w:numFmt w:val="decimal"/>
      <w:lvlText w:val="%6."/>
      <w:lvlJc w:val="left"/>
      <w:pPr>
        <w:tabs>
          <w:tab w:val="num" w:pos="4320"/>
        </w:tabs>
        <w:ind w:left="4320" w:hanging="360"/>
      </w:pPr>
    </w:lvl>
    <w:lvl w:ilvl="6" w:tplc="12C694CA" w:tentative="1">
      <w:start w:val="1"/>
      <w:numFmt w:val="decimal"/>
      <w:lvlText w:val="%7."/>
      <w:lvlJc w:val="left"/>
      <w:pPr>
        <w:tabs>
          <w:tab w:val="num" w:pos="5040"/>
        </w:tabs>
        <w:ind w:left="5040" w:hanging="360"/>
      </w:pPr>
    </w:lvl>
    <w:lvl w:ilvl="7" w:tplc="9078E362" w:tentative="1">
      <w:start w:val="1"/>
      <w:numFmt w:val="decimal"/>
      <w:lvlText w:val="%8."/>
      <w:lvlJc w:val="left"/>
      <w:pPr>
        <w:tabs>
          <w:tab w:val="num" w:pos="5760"/>
        </w:tabs>
        <w:ind w:left="5760" w:hanging="360"/>
      </w:pPr>
    </w:lvl>
    <w:lvl w:ilvl="8" w:tplc="C60415A6" w:tentative="1">
      <w:start w:val="1"/>
      <w:numFmt w:val="decimal"/>
      <w:lvlText w:val="%9."/>
      <w:lvlJc w:val="left"/>
      <w:pPr>
        <w:tabs>
          <w:tab w:val="num" w:pos="6480"/>
        </w:tabs>
        <w:ind w:left="6480" w:hanging="360"/>
      </w:pPr>
    </w:lvl>
  </w:abstractNum>
  <w:abstractNum w:abstractNumId="5" w15:restartNumberingAfterBreak="0">
    <w:nsid w:val="1EA854A8"/>
    <w:multiLevelType w:val="hybridMultilevel"/>
    <w:tmpl w:val="F83A85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8D07EA"/>
    <w:multiLevelType w:val="hybridMultilevel"/>
    <w:tmpl w:val="93FC8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641D14"/>
    <w:multiLevelType w:val="hybridMultilevel"/>
    <w:tmpl w:val="98C2D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39011B"/>
    <w:multiLevelType w:val="hybridMultilevel"/>
    <w:tmpl w:val="3B082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6820B4"/>
    <w:multiLevelType w:val="hybridMultilevel"/>
    <w:tmpl w:val="A64C2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DE5893"/>
    <w:multiLevelType w:val="hybridMultilevel"/>
    <w:tmpl w:val="7FE292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C61A54"/>
    <w:multiLevelType w:val="hybridMultilevel"/>
    <w:tmpl w:val="742AE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614A4B"/>
    <w:multiLevelType w:val="multilevel"/>
    <w:tmpl w:val="BFE2ED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162D54"/>
    <w:multiLevelType w:val="hybridMultilevel"/>
    <w:tmpl w:val="182CB6F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329404D0"/>
    <w:multiLevelType w:val="multilevel"/>
    <w:tmpl w:val="AF5A9F64"/>
    <w:lvl w:ilvl="0">
      <w:start w:val="2"/>
      <w:numFmt w:val="decimal"/>
      <w:lvlText w:val="%1"/>
      <w:lvlJc w:val="left"/>
      <w:pPr>
        <w:ind w:left="360" w:hanging="360"/>
      </w:pPr>
      <w:rPr>
        <w:rFonts w:ascii="Arial" w:hAnsi="Arial" w:cs="Arial" w:hint="default"/>
        <w:sz w:val="24"/>
      </w:rPr>
    </w:lvl>
    <w:lvl w:ilvl="1">
      <w:start w:val="1"/>
      <w:numFmt w:val="decimal"/>
      <w:lvlText w:val="%1.%2"/>
      <w:lvlJc w:val="left"/>
      <w:pPr>
        <w:ind w:left="360" w:hanging="360"/>
      </w:pPr>
      <w:rPr>
        <w:rFonts w:asciiTheme="minorHAnsi" w:hAnsiTheme="minorHAnsi" w:cstheme="minorHAnsi" w:hint="default"/>
        <w:sz w:val="22"/>
        <w:szCs w:val="22"/>
      </w:rPr>
    </w:lvl>
    <w:lvl w:ilvl="2">
      <w:start w:val="1"/>
      <w:numFmt w:val="decimal"/>
      <w:lvlText w:val="%1.%2.%3"/>
      <w:lvlJc w:val="left"/>
      <w:pPr>
        <w:ind w:left="720" w:hanging="720"/>
      </w:pPr>
      <w:rPr>
        <w:rFonts w:ascii="Arial" w:hAnsi="Arial" w:cs="Arial" w:hint="default"/>
        <w:sz w:val="24"/>
      </w:rPr>
    </w:lvl>
    <w:lvl w:ilvl="3">
      <w:start w:val="1"/>
      <w:numFmt w:val="decimal"/>
      <w:lvlText w:val="%1.%2.%3.%4"/>
      <w:lvlJc w:val="left"/>
      <w:pPr>
        <w:ind w:left="720" w:hanging="720"/>
      </w:pPr>
      <w:rPr>
        <w:rFonts w:ascii="Arial" w:hAnsi="Arial" w:cs="Arial" w:hint="default"/>
        <w:sz w:val="24"/>
      </w:rPr>
    </w:lvl>
    <w:lvl w:ilvl="4">
      <w:start w:val="1"/>
      <w:numFmt w:val="decimal"/>
      <w:lvlText w:val="%1.%2.%3.%4.%5"/>
      <w:lvlJc w:val="left"/>
      <w:pPr>
        <w:ind w:left="1080" w:hanging="1080"/>
      </w:pPr>
      <w:rPr>
        <w:rFonts w:ascii="Arial" w:hAnsi="Arial" w:cs="Arial" w:hint="default"/>
        <w:sz w:val="24"/>
      </w:rPr>
    </w:lvl>
    <w:lvl w:ilvl="5">
      <w:start w:val="1"/>
      <w:numFmt w:val="decimal"/>
      <w:lvlText w:val="%1.%2.%3.%4.%5.%6"/>
      <w:lvlJc w:val="left"/>
      <w:pPr>
        <w:ind w:left="1080" w:hanging="1080"/>
      </w:pPr>
      <w:rPr>
        <w:rFonts w:ascii="Arial" w:hAnsi="Arial" w:cs="Arial" w:hint="default"/>
        <w:sz w:val="24"/>
      </w:rPr>
    </w:lvl>
    <w:lvl w:ilvl="6">
      <w:start w:val="1"/>
      <w:numFmt w:val="decimal"/>
      <w:lvlText w:val="%1.%2.%3.%4.%5.%6.%7"/>
      <w:lvlJc w:val="left"/>
      <w:pPr>
        <w:ind w:left="1440" w:hanging="1440"/>
      </w:pPr>
      <w:rPr>
        <w:rFonts w:ascii="Arial" w:hAnsi="Arial" w:cs="Arial" w:hint="default"/>
        <w:sz w:val="24"/>
      </w:rPr>
    </w:lvl>
    <w:lvl w:ilvl="7">
      <w:start w:val="1"/>
      <w:numFmt w:val="decimal"/>
      <w:lvlText w:val="%1.%2.%3.%4.%5.%6.%7.%8"/>
      <w:lvlJc w:val="left"/>
      <w:pPr>
        <w:ind w:left="1440" w:hanging="1440"/>
      </w:pPr>
      <w:rPr>
        <w:rFonts w:ascii="Arial" w:hAnsi="Arial" w:cs="Arial" w:hint="default"/>
        <w:sz w:val="24"/>
      </w:rPr>
    </w:lvl>
    <w:lvl w:ilvl="8">
      <w:start w:val="1"/>
      <w:numFmt w:val="decimal"/>
      <w:lvlText w:val="%1.%2.%3.%4.%5.%6.%7.%8.%9"/>
      <w:lvlJc w:val="left"/>
      <w:pPr>
        <w:ind w:left="1800" w:hanging="1800"/>
      </w:pPr>
      <w:rPr>
        <w:rFonts w:ascii="Arial" w:hAnsi="Arial" w:cs="Arial" w:hint="default"/>
        <w:sz w:val="24"/>
      </w:rPr>
    </w:lvl>
  </w:abstractNum>
  <w:abstractNum w:abstractNumId="15" w15:restartNumberingAfterBreak="0">
    <w:nsid w:val="3E463A7E"/>
    <w:multiLevelType w:val="multilevel"/>
    <w:tmpl w:val="6C2AFF4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6351194"/>
    <w:multiLevelType w:val="hybridMultilevel"/>
    <w:tmpl w:val="40CE6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C50283"/>
    <w:multiLevelType w:val="hybridMultilevel"/>
    <w:tmpl w:val="270AF4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CC32361"/>
    <w:multiLevelType w:val="hybridMultilevel"/>
    <w:tmpl w:val="4BD21ED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4EDC24F6"/>
    <w:multiLevelType w:val="hybridMultilevel"/>
    <w:tmpl w:val="6C6AB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6561DB"/>
    <w:multiLevelType w:val="hybridMultilevel"/>
    <w:tmpl w:val="D8061E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5920CE6"/>
    <w:multiLevelType w:val="hybridMultilevel"/>
    <w:tmpl w:val="129670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71E6197"/>
    <w:multiLevelType w:val="hybridMultilevel"/>
    <w:tmpl w:val="6330A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6E270D"/>
    <w:multiLevelType w:val="hybridMultilevel"/>
    <w:tmpl w:val="97D42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1F0DD6"/>
    <w:multiLevelType w:val="hybridMultilevel"/>
    <w:tmpl w:val="0B3691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BDC4CF0"/>
    <w:multiLevelType w:val="hybridMultilevel"/>
    <w:tmpl w:val="BB68F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9909A0"/>
    <w:multiLevelType w:val="hybridMultilevel"/>
    <w:tmpl w:val="E938A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273A4B"/>
    <w:multiLevelType w:val="hybridMultilevel"/>
    <w:tmpl w:val="065AF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B44E28"/>
    <w:multiLevelType w:val="hybridMultilevel"/>
    <w:tmpl w:val="16EC9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D278ED"/>
    <w:multiLevelType w:val="hybridMultilevel"/>
    <w:tmpl w:val="D8B08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EF3E6C"/>
    <w:multiLevelType w:val="hybridMultilevel"/>
    <w:tmpl w:val="F78EB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147652"/>
    <w:multiLevelType w:val="multilevel"/>
    <w:tmpl w:val="E17AB3E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815679146">
    <w:abstractNumId w:val="1"/>
  </w:num>
  <w:num w:numId="2" w16cid:durableId="1935822966">
    <w:abstractNumId w:val="19"/>
  </w:num>
  <w:num w:numId="3" w16cid:durableId="1978145202">
    <w:abstractNumId w:val="31"/>
  </w:num>
  <w:num w:numId="4" w16cid:durableId="1795171446">
    <w:abstractNumId w:val="22"/>
  </w:num>
  <w:num w:numId="5" w16cid:durableId="1155950915">
    <w:abstractNumId w:val="0"/>
  </w:num>
  <w:num w:numId="6" w16cid:durableId="1102528467">
    <w:abstractNumId w:val="12"/>
  </w:num>
  <w:num w:numId="7" w16cid:durableId="18383798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123827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56048098">
    <w:abstractNumId w:val="3"/>
  </w:num>
  <w:num w:numId="10" w16cid:durableId="684013523">
    <w:abstractNumId w:val="25"/>
  </w:num>
  <w:num w:numId="11" w16cid:durableId="165366896">
    <w:abstractNumId w:val="16"/>
  </w:num>
  <w:num w:numId="12" w16cid:durableId="268972091">
    <w:abstractNumId w:val="11"/>
  </w:num>
  <w:num w:numId="13" w16cid:durableId="1301687648">
    <w:abstractNumId w:val="7"/>
  </w:num>
  <w:num w:numId="14" w16cid:durableId="216934279">
    <w:abstractNumId w:val="28"/>
  </w:num>
  <w:num w:numId="15" w16cid:durableId="683366750">
    <w:abstractNumId w:val="15"/>
  </w:num>
  <w:num w:numId="16" w16cid:durableId="483744632">
    <w:abstractNumId w:val="14"/>
  </w:num>
  <w:num w:numId="17" w16cid:durableId="365326024">
    <w:abstractNumId w:val="4"/>
  </w:num>
  <w:num w:numId="18" w16cid:durableId="97607856">
    <w:abstractNumId w:val="23"/>
  </w:num>
  <w:num w:numId="19" w16cid:durableId="1102410924">
    <w:abstractNumId w:val="6"/>
  </w:num>
  <w:num w:numId="20" w16cid:durableId="2144300778">
    <w:abstractNumId w:val="26"/>
  </w:num>
  <w:num w:numId="21" w16cid:durableId="10839528">
    <w:abstractNumId w:val="30"/>
  </w:num>
  <w:num w:numId="22" w16cid:durableId="904611765">
    <w:abstractNumId w:val="1"/>
    <w:lvlOverride w:ilvl="0">
      <w:startOverride w:val="1"/>
    </w:lvlOverride>
  </w:num>
  <w:num w:numId="23" w16cid:durableId="949311860">
    <w:abstractNumId w:val="8"/>
  </w:num>
  <w:num w:numId="24" w16cid:durableId="1749575338">
    <w:abstractNumId w:val="21"/>
  </w:num>
  <w:num w:numId="25" w16cid:durableId="1007177213">
    <w:abstractNumId w:val="29"/>
  </w:num>
  <w:num w:numId="26" w16cid:durableId="2132939450">
    <w:abstractNumId w:val="9"/>
  </w:num>
  <w:num w:numId="27" w16cid:durableId="1065105895">
    <w:abstractNumId w:val="10"/>
  </w:num>
  <w:num w:numId="28" w16cid:durableId="907422256">
    <w:abstractNumId w:val="17"/>
  </w:num>
  <w:num w:numId="29" w16cid:durableId="575551724">
    <w:abstractNumId w:val="5"/>
  </w:num>
  <w:num w:numId="30" w16cid:durableId="638653341">
    <w:abstractNumId w:val="27"/>
  </w:num>
  <w:num w:numId="31" w16cid:durableId="1409182939">
    <w:abstractNumId w:val="24"/>
  </w:num>
  <w:num w:numId="32" w16cid:durableId="1448699862">
    <w:abstractNumId w:val="20"/>
  </w:num>
  <w:num w:numId="33" w16cid:durableId="1110049578">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4DD"/>
    <w:rsid w:val="000002AE"/>
    <w:rsid w:val="00000308"/>
    <w:rsid w:val="00002CA0"/>
    <w:rsid w:val="00005BFE"/>
    <w:rsid w:val="00010995"/>
    <w:rsid w:val="00013F46"/>
    <w:rsid w:val="00020580"/>
    <w:rsid w:val="00021C54"/>
    <w:rsid w:val="00021F06"/>
    <w:rsid w:val="00023DCA"/>
    <w:rsid w:val="00024752"/>
    <w:rsid w:val="00024CB7"/>
    <w:rsid w:val="00025720"/>
    <w:rsid w:val="00026C54"/>
    <w:rsid w:val="0003082F"/>
    <w:rsid w:val="00030D64"/>
    <w:rsid w:val="00037D87"/>
    <w:rsid w:val="00044363"/>
    <w:rsid w:val="00047423"/>
    <w:rsid w:val="00050410"/>
    <w:rsid w:val="00050A58"/>
    <w:rsid w:val="00051E0F"/>
    <w:rsid w:val="00052733"/>
    <w:rsid w:val="00053BA2"/>
    <w:rsid w:val="000546FE"/>
    <w:rsid w:val="0005701B"/>
    <w:rsid w:val="000573FB"/>
    <w:rsid w:val="000605A5"/>
    <w:rsid w:val="000628F4"/>
    <w:rsid w:val="00074364"/>
    <w:rsid w:val="00084C37"/>
    <w:rsid w:val="000909C4"/>
    <w:rsid w:val="000916BA"/>
    <w:rsid w:val="00093066"/>
    <w:rsid w:val="000931EC"/>
    <w:rsid w:val="000934FA"/>
    <w:rsid w:val="000939E1"/>
    <w:rsid w:val="00095252"/>
    <w:rsid w:val="000A19EC"/>
    <w:rsid w:val="000A20CE"/>
    <w:rsid w:val="000A3F13"/>
    <w:rsid w:val="000A5643"/>
    <w:rsid w:val="000A5D49"/>
    <w:rsid w:val="000A78D6"/>
    <w:rsid w:val="000B5454"/>
    <w:rsid w:val="000B5710"/>
    <w:rsid w:val="000C2DFE"/>
    <w:rsid w:val="000C3441"/>
    <w:rsid w:val="000C49AF"/>
    <w:rsid w:val="000C58E2"/>
    <w:rsid w:val="000C6F3B"/>
    <w:rsid w:val="000C78A2"/>
    <w:rsid w:val="000D03B9"/>
    <w:rsid w:val="000D12B2"/>
    <w:rsid w:val="000D476C"/>
    <w:rsid w:val="000E053F"/>
    <w:rsid w:val="000E0963"/>
    <w:rsid w:val="000E0B40"/>
    <w:rsid w:val="000E1871"/>
    <w:rsid w:val="000E2D96"/>
    <w:rsid w:val="000E4F19"/>
    <w:rsid w:val="000E757B"/>
    <w:rsid w:val="000F28C1"/>
    <w:rsid w:val="000F4BE7"/>
    <w:rsid w:val="000F5563"/>
    <w:rsid w:val="000F5BBF"/>
    <w:rsid w:val="000F5D7C"/>
    <w:rsid w:val="0010346B"/>
    <w:rsid w:val="00105A0A"/>
    <w:rsid w:val="00107722"/>
    <w:rsid w:val="001150ED"/>
    <w:rsid w:val="001164DD"/>
    <w:rsid w:val="00120A1B"/>
    <w:rsid w:val="001225FF"/>
    <w:rsid w:val="00124961"/>
    <w:rsid w:val="00126155"/>
    <w:rsid w:val="00134CAF"/>
    <w:rsid w:val="001418E6"/>
    <w:rsid w:val="00143141"/>
    <w:rsid w:val="001468CC"/>
    <w:rsid w:val="00154671"/>
    <w:rsid w:val="001558AA"/>
    <w:rsid w:val="00155DC4"/>
    <w:rsid w:val="001616FC"/>
    <w:rsid w:val="0016217F"/>
    <w:rsid w:val="0016579E"/>
    <w:rsid w:val="001670E6"/>
    <w:rsid w:val="00171E55"/>
    <w:rsid w:val="00175612"/>
    <w:rsid w:val="0017588A"/>
    <w:rsid w:val="00175DAF"/>
    <w:rsid w:val="00182329"/>
    <w:rsid w:val="00186D04"/>
    <w:rsid w:val="00187DA0"/>
    <w:rsid w:val="0019075A"/>
    <w:rsid w:val="00192ECC"/>
    <w:rsid w:val="00193197"/>
    <w:rsid w:val="001A193F"/>
    <w:rsid w:val="001A291E"/>
    <w:rsid w:val="001A5356"/>
    <w:rsid w:val="001B139B"/>
    <w:rsid w:val="001B257E"/>
    <w:rsid w:val="001B4C05"/>
    <w:rsid w:val="001C4083"/>
    <w:rsid w:val="001C45D5"/>
    <w:rsid w:val="001C51AA"/>
    <w:rsid w:val="001C68C8"/>
    <w:rsid w:val="001D0E41"/>
    <w:rsid w:val="001D1AEC"/>
    <w:rsid w:val="001D4961"/>
    <w:rsid w:val="001D64C4"/>
    <w:rsid w:val="001E0BD7"/>
    <w:rsid w:val="001E0E7F"/>
    <w:rsid w:val="001E17AB"/>
    <w:rsid w:val="001E3CB9"/>
    <w:rsid w:val="001E4852"/>
    <w:rsid w:val="001E531D"/>
    <w:rsid w:val="001E6782"/>
    <w:rsid w:val="001E6A69"/>
    <w:rsid w:val="001F4382"/>
    <w:rsid w:val="0020118B"/>
    <w:rsid w:val="00206F4D"/>
    <w:rsid w:val="00210566"/>
    <w:rsid w:val="00212301"/>
    <w:rsid w:val="0021663F"/>
    <w:rsid w:val="00217F25"/>
    <w:rsid w:val="00220F54"/>
    <w:rsid w:val="0022315B"/>
    <w:rsid w:val="002239A4"/>
    <w:rsid w:val="00226838"/>
    <w:rsid w:val="002306C7"/>
    <w:rsid w:val="00230BDF"/>
    <w:rsid w:val="00233AFF"/>
    <w:rsid w:val="002351EB"/>
    <w:rsid w:val="00236070"/>
    <w:rsid w:val="00237F2D"/>
    <w:rsid w:val="00243A01"/>
    <w:rsid w:val="002473EC"/>
    <w:rsid w:val="00254146"/>
    <w:rsid w:val="00257C59"/>
    <w:rsid w:val="00260176"/>
    <w:rsid w:val="0026328D"/>
    <w:rsid w:val="00264A37"/>
    <w:rsid w:val="0026789D"/>
    <w:rsid w:val="00270EC4"/>
    <w:rsid w:val="00271811"/>
    <w:rsid w:val="0027192D"/>
    <w:rsid w:val="0027304E"/>
    <w:rsid w:val="00274229"/>
    <w:rsid w:val="00275E18"/>
    <w:rsid w:val="0027620B"/>
    <w:rsid w:val="0028354F"/>
    <w:rsid w:val="0028397F"/>
    <w:rsid w:val="00284B1C"/>
    <w:rsid w:val="00286910"/>
    <w:rsid w:val="00286D73"/>
    <w:rsid w:val="00287144"/>
    <w:rsid w:val="002916B0"/>
    <w:rsid w:val="002946C5"/>
    <w:rsid w:val="00295C88"/>
    <w:rsid w:val="00297FFC"/>
    <w:rsid w:val="002A07DE"/>
    <w:rsid w:val="002A0FC1"/>
    <w:rsid w:val="002A26E9"/>
    <w:rsid w:val="002A3D8E"/>
    <w:rsid w:val="002A5094"/>
    <w:rsid w:val="002A612B"/>
    <w:rsid w:val="002A6DFB"/>
    <w:rsid w:val="002B3FC8"/>
    <w:rsid w:val="002B477B"/>
    <w:rsid w:val="002B6CC2"/>
    <w:rsid w:val="002B6ED4"/>
    <w:rsid w:val="002C4AC3"/>
    <w:rsid w:val="002D0C6E"/>
    <w:rsid w:val="002D5BB5"/>
    <w:rsid w:val="002D6CF4"/>
    <w:rsid w:val="002E0059"/>
    <w:rsid w:val="002F17E9"/>
    <w:rsid w:val="002F33BE"/>
    <w:rsid w:val="002F42D5"/>
    <w:rsid w:val="002F6644"/>
    <w:rsid w:val="00302ADD"/>
    <w:rsid w:val="00314CDD"/>
    <w:rsid w:val="00317BA1"/>
    <w:rsid w:val="00320155"/>
    <w:rsid w:val="00335E45"/>
    <w:rsid w:val="003368D9"/>
    <w:rsid w:val="003376F4"/>
    <w:rsid w:val="00342887"/>
    <w:rsid w:val="0034398C"/>
    <w:rsid w:val="0034799A"/>
    <w:rsid w:val="00347D40"/>
    <w:rsid w:val="00351208"/>
    <w:rsid w:val="00352FBC"/>
    <w:rsid w:val="00357651"/>
    <w:rsid w:val="0036597F"/>
    <w:rsid w:val="003660D2"/>
    <w:rsid w:val="0037025A"/>
    <w:rsid w:val="00371093"/>
    <w:rsid w:val="00373032"/>
    <w:rsid w:val="0037378E"/>
    <w:rsid w:val="00374ED5"/>
    <w:rsid w:val="00376D54"/>
    <w:rsid w:val="00377AB0"/>
    <w:rsid w:val="00385652"/>
    <w:rsid w:val="00385F6A"/>
    <w:rsid w:val="00386770"/>
    <w:rsid w:val="003915D0"/>
    <w:rsid w:val="003A1DA2"/>
    <w:rsid w:val="003A308E"/>
    <w:rsid w:val="003A4420"/>
    <w:rsid w:val="003A56CB"/>
    <w:rsid w:val="003B03F9"/>
    <w:rsid w:val="003B1953"/>
    <w:rsid w:val="003B3490"/>
    <w:rsid w:val="003B6ABD"/>
    <w:rsid w:val="003B6F99"/>
    <w:rsid w:val="003B75D7"/>
    <w:rsid w:val="003C1193"/>
    <w:rsid w:val="003C2901"/>
    <w:rsid w:val="003C6BF2"/>
    <w:rsid w:val="003D41C1"/>
    <w:rsid w:val="003D675C"/>
    <w:rsid w:val="003D79B1"/>
    <w:rsid w:val="003E0C05"/>
    <w:rsid w:val="003E0E7C"/>
    <w:rsid w:val="003E125A"/>
    <w:rsid w:val="003E1E6C"/>
    <w:rsid w:val="003E5C79"/>
    <w:rsid w:val="003F5F5E"/>
    <w:rsid w:val="004014DA"/>
    <w:rsid w:val="004020A1"/>
    <w:rsid w:val="00410B10"/>
    <w:rsid w:val="00411C17"/>
    <w:rsid w:val="00412938"/>
    <w:rsid w:val="00412F8E"/>
    <w:rsid w:val="004211AE"/>
    <w:rsid w:val="0042145E"/>
    <w:rsid w:val="0042160A"/>
    <w:rsid w:val="00423008"/>
    <w:rsid w:val="00424B16"/>
    <w:rsid w:val="00427F90"/>
    <w:rsid w:val="00435CA1"/>
    <w:rsid w:val="00436048"/>
    <w:rsid w:val="004372A9"/>
    <w:rsid w:val="0044167E"/>
    <w:rsid w:val="00442B42"/>
    <w:rsid w:val="004465B9"/>
    <w:rsid w:val="0045053E"/>
    <w:rsid w:val="00454FA3"/>
    <w:rsid w:val="0045750C"/>
    <w:rsid w:val="00462DD8"/>
    <w:rsid w:val="00465ABA"/>
    <w:rsid w:val="00465D2F"/>
    <w:rsid w:val="004724DA"/>
    <w:rsid w:val="004733BC"/>
    <w:rsid w:val="00483E12"/>
    <w:rsid w:val="00484262"/>
    <w:rsid w:val="00486406"/>
    <w:rsid w:val="004878E1"/>
    <w:rsid w:val="00492BBC"/>
    <w:rsid w:val="00494118"/>
    <w:rsid w:val="00494E8D"/>
    <w:rsid w:val="00495C9F"/>
    <w:rsid w:val="004A3175"/>
    <w:rsid w:val="004A4037"/>
    <w:rsid w:val="004B0798"/>
    <w:rsid w:val="004B22BC"/>
    <w:rsid w:val="004B36F1"/>
    <w:rsid w:val="004B5272"/>
    <w:rsid w:val="004B53DC"/>
    <w:rsid w:val="004C1805"/>
    <w:rsid w:val="004C6CF1"/>
    <w:rsid w:val="004D0FB6"/>
    <w:rsid w:val="004D1305"/>
    <w:rsid w:val="004D2822"/>
    <w:rsid w:val="004D4C62"/>
    <w:rsid w:val="004D4E6C"/>
    <w:rsid w:val="004D6095"/>
    <w:rsid w:val="004F1DD0"/>
    <w:rsid w:val="004F1DD5"/>
    <w:rsid w:val="004F3710"/>
    <w:rsid w:val="004F5B59"/>
    <w:rsid w:val="00504D54"/>
    <w:rsid w:val="00507A3F"/>
    <w:rsid w:val="005100BE"/>
    <w:rsid w:val="005137E7"/>
    <w:rsid w:val="0052040E"/>
    <w:rsid w:val="005313C2"/>
    <w:rsid w:val="005362CB"/>
    <w:rsid w:val="00537AA1"/>
    <w:rsid w:val="00543B1A"/>
    <w:rsid w:val="005457DD"/>
    <w:rsid w:val="005507C5"/>
    <w:rsid w:val="005527DC"/>
    <w:rsid w:val="005563A7"/>
    <w:rsid w:val="005612CD"/>
    <w:rsid w:val="005643BF"/>
    <w:rsid w:val="00571C14"/>
    <w:rsid w:val="0057738F"/>
    <w:rsid w:val="005809A2"/>
    <w:rsid w:val="00581C1A"/>
    <w:rsid w:val="00581EED"/>
    <w:rsid w:val="005922A8"/>
    <w:rsid w:val="005925A2"/>
    <w:rsid w:val="0059602C"/>
    <w:rsid w:val="005A3A2B"/>
    <w:rsid w:val="005A6D0E"/>
    <w:rsid w:val="005B02A7"/>
    <w:rsid w:val="005B416F"/>
    <w:rsid w:val="005B5DD8"/>
    <w:rsid w:val="005C22C9"/>
    <w:rsid w:val="005C2B2B"/>
    <w:rsid w:val="005C484B"/>
    <w:rsid w:val="005D19A0"/>
    <w:rsid w:val="005D3127"/>
    <w:rsid w:val="005E1800"/>
    <w:rsid w:val="005E3B80"/>
    <w:rsid w:val="005F2B4F"/>
    <w:rsid w:val="005F2C46"/>
    <w:rsid w:val="005F7429"/>
    <w:rsid w:val="005F7683"/>
    <w:rsid w:val="0060392A"/>
    <w:rsid w:val="00605B3D"/>
    <w:rsid w:val="00606788"/>
    <w:rsid w:val="006119DE"/>
    <w:rsid w:val="0061202B"/>
    <w:rsid w:val="00614A5F"/>
    <w:rsid w:val="00615B8B"/>
    <w:rsid w:val="00620FE2"/>
    <w:rsid w:val="00621F5D"/>
    <w:rsid w:val="006237B0"/>
    <w:rsid w:val="00636A39"/>
    <w:rsid w:val="006406CC"/>
    <w:rsid w:val="00642937"/>
    <w:rsid w:val="006436B6"/>
    <w:rsid w:val="0064694C"/>
    <w:rsid w:val="0065141B"/>
    <w:rsid w:val="00652017"/>
    <w:rsid w:val="00652033"/>
    <w:rsid w:val="006640D0"/>
    <w:rsid w:val="00665DE1"/>
    <w:rsid w:val="00673045"/>
    <w:rsid w:val="00675A96"/>
    <w:rsid w:val="00676F1A"/>
    <w:rsid w:val="00680EE7"/>
    <w:rsid w:val="00681348"/>
    <w:rsid w:val="0068524E"/>
    <w:rsid w:val="00687356"/>
    <w:rsid w:val="0069109D"/>
    <w:rsid w:val="0069230D"/>
    <w:rsid w:val="0069307A"/>
    <w:rsid w:val="00693A5C"/>
    <w:rsid w:val="006959CD"/>
    <w:rsid w:val="00695DAD"/>
    <w:rsid w:val="006A55DE"/>
    <w:rsid w:val="006A7C92"/>
    <w:rsid w:val="006B59AA"/>
    <w:rsid w:val="006B7E3A"/>
    <w:rsid w:val="006C21A2"/>
    <w:rsid w:val="006C3062"/>
    <w:rsid w:val="006C4ED1"/>
    <w:rsid w:val="006C7411"/>
    <w:rsid w:val="006D044B"/>
    <w:rsid w:val="006D4A45"/>
    <w:rsid w:val="006D54DD"/>
    <w:rsid w:val="006D6216"/>
    <w:rsid w:val="006D7130"/>
    <w:rsid w:val="006D7CEB"/>
    <w:rsid w:val="006E3578"/>
    <w:rsid w:val="006E5E17"/>
    <w:rsid w:val="006F126E"/>
    <w:rsid w:val="006F1282"/>
    <w:rsid w:val="006F765F"/>
    <w:rsid w:val="00700F45"/>
    <w:rsid w:val="00700FAF"/>
    <w:rsid w:val="0070267A"/>
    <w:rsid w:val="00703610"/>
    <w:rsid w:val="00704ED5"/>
    <w:rsid w:val="00706019"/>
    <w:rsid w:val="00707577"/>
    <w:rsid w:val="00707595"/>
    <w:rsid w:val="00707BFC"/>
    <w:rsid w:val="00715396"/>
    <w:rsid w:val="007215A7"/>
    <w:rsid w:val="00725E79"/>
    <w:rsid w:val="00726EF8"/>
    <w:rsid w:val="00730F4F"/>
    <w:rsid w:val="00731B00"/>
    <w:rsid w:val="007340E8"/>
    <w:rsid w:val="007353FF"/>
    <w:rsid w:val="00737B73"/>
    <w:rsid w:val="00741DB8"/>
    <w:rsid w:val="00743069"/>
    <w:rsid w:val="0074507D"/>
    <w:rsid w:val="007451AD"/>
    <w:rsid w:val="00756D7D"/>
    <w:rsid w:val="00757AE7"/>
    <w:rsid w:val="007618F6"/>
    <w:rsid w:val="00763EAB"/>
    <w:rsid w:val="00766C15"/>
    <w:rsid w:val="007779E4"/>
    <w:rsid w:val="00783027"/>
    <w:rsid w:val="00790662"/>
    <w:rsid w:val="0079434D"/>
    <w:rsid w:val="00794FD4"/>
    <w:rsid w:val="007A2B2D"/>
    <w:rsid w:val="007A3CBD"/>
    <w:rsid w:val="007A492D"/>
    <w:rsid w:val="007A713B"/>
    <w:rsid w:val="007A7DE9"/>
    <w:rsid w:val="007B2BC9"/>
    <w:rsid w:val="007B3733"/>
    <w:rsid w:val="007B3AAE"/>
    <w:rsid w:val="007B6BDB"/>
    <w:rsid w:val="007C33D9"/>
    <w:rsid w:val="007C4F9A"/>
    <w:rsid w:val="007C628B"/>
    <w:rsid w:val="007C637D"/>
    <w:rsid w:val="007C78C6"/>
    <w:rsid w:val="007C7C13"/>
    <w:rsid w:val="007D700D"/>
    <w:rsid w:val="007E0F13"/>
    <w:rsid w:val="007E1983"/>
    <w:rsid w:val="007E3268"/>
    <w:rsid w:val="007E4853"/>
    <w:rsid w:val="007F09F2"/>
    <w:rsid w:val="007F24D8"/>
    <w:rsid w:val="007F2B26"/>
    <w:rsid w:val="007F441E"/>
    <w:rsid w:val="007F5415"/>
    <w:rsid w:val="0080534A"/>
    <w:rsid w:val="008172C5"/>
    <w:rsid w:val="008226C7"/>
    <w:rsid w:val="00823964"/>
    <w:rsid w:val="00823E21"/>
    <w:rsid w:val="00824E12"/>
    <w:rsid w:val="00826386"/>
    <w:rsid w:val="008264E0"/>
    <w:rsid w:val="00826C3C"/>
    <w:rsid w:val="00826F24"/>
    <w:rsid w:val="0083076B"/>
    <w:rsid w:val="0083098D"/>
    <w:rsid w:val="008331E6"/>
    <w:rsid w:val="008338C0"/>
    <w:rsid w:val="0083522E"/>
    <w:rsid w:val="00841179"/>
    <w:rsid w:val="00841481"/>
    <w:rsid w:val="0084262E"/>
    <w:rsid w:val="00842ABC"/>
    <w:rsid w:val="0084388B"/>
    <w:rsid w:val="008452C3"/>
    <w:rsid w:val="00850E7B"/>
    <w:rsid w:val="00851F9A"/>
    <w:rsid w:val="00853864"/>
    <w:rsid w:val="00853ADE"/>
    <w:rsid w:val="00870237"/>
    <w:rsid w:val="00870353"/>
    <w:rsid w:val="00871A99"/>
    <w:rsid w:val="00874564"/>
    <w:rsid w:val="0087602A"/>
    <w:rsid w:val="0087693B"/>
    <w:rsid w:val="008833AD"/>
    <w:rsid w:val="008861F6"/>
    <w:rsid w:val="008878DD"/>
    <w:rsid w:val="00895A4C"/>
    <w:rsid w:val="00895DB2"/>
    <w:rsid w:val="008A0D76"/>
    <w:rsid w:val="008A32E1"/>
    <w:rsid w:val="008A3F79"/>
    <w:rsid w:val="008B09C3"/>
    <w:rsid w:val="008B5782"/>
    <w:rsid w:val="008C147B"/>
    <w:rsid w:val="008C3D3C"/>
    <w:rsid w:val="008C6101"/>
    <w:rsid w:val="008C6941"/>
    <w:rsid w:val="008D1C3E"/>
    <w:rsid w:val="008D6B2B"/>
    <w:rsid w:val="008E43CE"/>
    <w:rsid w:val="008E650B"/>
    <w:rsid w:val="008E6759"/>
    <w:rsid w:val="008F0CC4"/>
    <w:rsid w:val="008F2ED7"/>
    <w:rsid w:val="008F4B3B"/>
    <w:rsid w:val="008F6C1E"/>
    <w:rsid w:val="008F7AF5"/>
    <w:rsid w:val="009020BA"/>
    <w:rsid w:val="00904EAF"/>
    <w:rsid w:val="009104B8"/>
    <w:rsid w:val="00913C6E"/>
    <w:rsid w:val="00915B13"/>
    <w:rsid w:val="009246ED"/>
    <w:rsid w:val="00927B8B"/>
    <w:rsid w:val="009411EF"/>
    <w:rsid w:val="009512C4"/>
    <w:rsid w:val="00954E62"/>
    <w:rsid w:val="0095566D"/>
    <w:rsid w:val="009620ED"/>
    <w:rsid w:val="00965FB8"/>
    <w:rsid w:val="009700E1"/>
    <w:rsid w:val="00970D55"/>
    <w:rsid w:val="00972E5E"/>
    <w:rsid w:val="00973ACD"/>
    <w:rsid w:val="00974551"/>
    <w:rsid w:val="00974686"/>
    <w:rsid w:val="009773A3"/>
    <w:rsid w:val="009778DB"/>
    <w:rsid w:val="009803B7"/>
    <w:rsid w:val="00983D83"/>
    <w:rsid w:val="00984475"/>
    <w:rsid w:val="00984E5C"/>
    <w:rsid w:val="00986EC0"/>
    <w:rsid w:val="00987F6B"/>
    <w:rsid w:val="00993112"/>
    <w:rsid w:val="00994BD5"/>
    <w:rsid w:val="00995107"/>
    <w:rsid w:val="00997151"/>
    <w:rsid w:val="009A00B3"/>
    <w:rsid w:val="009A0DEC"/>
    <w:rsid w:val="009A170C"/>
    <w:rsid w:val="009A3BB0"/>
    <w:rsid w:val="009A481A"/>
    <w:rsid w:val="009A719A"/>
    <w:rsid w:val="009B5AB4"/>
    <w:rsid w:val="009C4353"/>
    <w:rsid w:val="009C63AB"/>
    <w:rsid w:val="009C7BF0"/>
    <w:rsid w:val="009D7131"/>
    <w:rsid w:val="009E2932"/>
    <w:rsid w:val="009E71D5"/>
    <w:rsid w:val="009F09D7"/>
    <w:rsid w:val="009F1FCF"/>
    <w:rsid w:val="009F39E4"/>
    <w:rsid w:val="009F48C0"/>
    <w:rsid w:val="009F502A"/>
    <w:rsid w:val="009F521E"/>
    <w:rsid w:val="009F7B50"/>
    <w:rsid w:val="00A07DC9"/>
    <w:rsid w:val="00A12E2B"/>
    <w:rsid w:val="00A13DE9"/>
    <w:rsid w:val="00A15E87"/>
    <w:rsid w:val="00A16636"/>
    <w:rsid w:val="00A24AD5"/>
    <w:rsid w:val="00A26A0C"/>
    <w:rsid w:val="00A2795D"/>
    <w:rsid w:val="00A304FD"/>
    <w:rsid w:val="00A334CA"/>
    <w:rsid w:val="00A35804"/>
    <w:rsid w:val="00A362CF"/>
    <w:rsid w:val="00A420C6"/>
    <w:rsid w:val="00A422D9"/>
    <w:rsid w:val="00A44FA1"/>
    <w:rsid w:val="00A46CEA"/>
    <w:rsid w:val="00A51440"/>
    <w:rsid w:val="00A54A9D"/>
    <w:rsid w:val="00A5783E"/>
    <w:rsid w:val="00A637EE"/>
    <w:rsid w:val="00A63D66"/>
    <w:rsid w:val="00A64A42"/>
    <w:rsid w:val="00A70EE0"/>
    <w:rsid w:val="00A74678"/>
    <w:rsid w:val="00A91D34"/>
    <w:rsid w:val="00A92C08"/>
    <w:rsid w:val="00A93B98"/>
    <w:rsid w:val="00A93E95"/>
    <w:rsid w:val="00A947FA"/>
    <w:rsid w:val="00A97331"/>
    <w:rsid w:val="00AA122D"/>
    <w:rsid w:val="00AA298E"/>
    <w:rsid w:val="00AB134D"/>
    <w:rsid w:val="00AC1268"/>
    <w:rsid w:val="00AD09B2"/>
    <w:rsid w:val="00AD5114"/>
    <w:rsid w:val="00AE28B9"/>
    <w:rsid w:val="00AE3115"/>
    <w:rsid w:val="00AE33F0"/>
    <w:rsid w:val="00AE4054"/>
    <w:rsid w:val="00AE47A8"/>
    <w:rsid w:val="00AE4D1B"/>
    <w:rsid w:val="00AE5144"/>
    <w:rsid w:val="00AE6A06"/>
    <w:rsid w:val="00AF0742"/>
    <w:rsid w:val="00B04BDF"/>
    <w:rsid w:val="00B05A47"/>
    <w:rsid w:val="00B107F7"/>
    <w:rsid w:val="00B116D0"/>
    <w:rsid w:val="00B131BE"/>
    <w:rsid w:val="00B138CE"/>
    <w:rsid w:val="00B170A2"/>
    <w:rsid w:val="00B17259"/>
    <w:rsid w:val="00B178BA"/>
    <w:rsid w:val="00B23E84"/>
    <w:rsid w:val="00B244E3"/>
    <w:rsid w:val="00B305AD"/>
    <w:rsid w:val="00B337EC"/>
    <w:rsid w:val="00B35561"/>
    <w:rsid w:val="00B410DE"/>
    <w:rsid w:val="00B419CD"/>
    <w:rsid w:val="00B51173"/>
    <w:rsid w:val="00B5173F"/>
    <w:rsid w:val="00B5240C"/>
    <w:rsid w:val="00B52A5E"/>
    <w:rsid w:val="00B53362"/>
    <w:rsid w:val="00B542CE"/>
    <w:rsid w:val="00B570C9"/>
    <w:rsid w:val="00B61CC6"/>
    <w:rsid w:val="00B630CC"/>
    <w:rsid w:val="00B653E2"/>
    <w:rsid w:val="00B700B5"/>
    <w:rsid w:val="00B7320E"/>
    <w:rsid w:val="00B75C1C"/>
    <w:rsid w:val="00B771AA"/>
    <w:rsid w:val="00B803F5"/>
    <w:rsid w:val="00B8175F"/>
    <w:rsid w:val="00B81FA7"/>
    <w:rsid w:val="00B85305"/>
    <w:rsid w:val="00B87F6E"/>
    <w:rsid w:val="00B91A3A"/>
    <w:rsid w:val="00B9338E"/>
    <w:rsid w:val="00B93CEC"/>
    <w:rsid w:val="00B93EF5"/>
    <w:rsid w:val="00B952DE"/>
    <w:rsid w:val="00BA2E52"/>
    <w:rsid w:val="00BA6456"/>
    <w:rsid w:val="00BA7459"/>
    <w:rsid w:val="00BB083C"/>
    <w:rsid w:val="00BB1C9F"/>
    <w:rsid w:val="00BB1E51"/>
    <w:rsid w:val="00BB6CAC"/>
    <w:rsid w:val="00BB785B"/>
    <w:rsid w:val="00BC102B"/>
    <w:rsid w:val="00BC20D9"/>
    <w:rsid w:val="00BD1445"/>
    <w:rsid w:val="00BD7584"/>
    <w:rsid w:val="00BE35A0"/>
    <w:rsid w:val="00BE5069"/>
    <w:rsid w:val="00BF68FF"/>
    <w:rsid w:val="00BF7F97"/>
    <w:rsid w:val="00C01AA7"/>
    <w:rsid w:val="00C07E9F"/>
    <w:rsid w:val="00C1130F"/>
    <w:rsid w:val="00C12587"/>
    <w:rsid w:val="00C13A73"/>
    <w:rsid w:val="00C15E77"/>
    <w:rsid w:val="00C23CCF"/>
    <w:rsid w:val="00C250AE"/>
    <w:rsid w:val="00C27753"/>
    <w:rsid w:val="00C31F3B"/>
    <w:rsid w:val="00C3270F"/>
    <w:rsid w:val="00C33D7F"/>
    <w:rsid w:val="00C4223F"/>
    <w:rsid w:val="00C449CF"/>
    <w:rsid w:val="00C52EE6"/>
    <w:rsid w:val="00C53872"/>
    <w:rsid w:val="00C54C3A"/>
    <w:rsid w:val="00C552B3"/>
    <w:rsid w:val="00C56289"/>
    <w:rsid w:val="00C62D9F"/>
    <w:rsid w:val="00C63343"/>
    <w:rsid w:val="00C64C48"/>
    <w:rsid w:val="00C67A3B"/>
    <w:rsid w:val="00C71348"/>
    <w:rsid w:val="00C80B0E"/>
    <w:rsid w:val="00C861D1"/>
    <w:rsid w:val="00C87ACB"/>
    <w:rsid w:val="00C94AEC"/>
    <w:rsid w:val="00C95258"/>
    <w:rsid w:val="00CA0E6D"/>
    <w:rsid w:val="00CB0FF4"/>
    <w:rsid w:val="00CB2C40"/>
    <w:rsid w:val="00CB60FB"/>
    <w:rsid w:val="00CB628C"/>
    <w:rsid w:val="00CC02C8"/>
    <w:rsid w:val="00CC2587"/>
    <w:rsid w:val="00CC3CD2"/>
    <w:rsid w:val="00CD04AA"/>
    <w:rsid w:val="00CD2E60"/>
    <w:rsid w:val="00CD399E"/>
    <w:rsid w:val="00CD5E7F"/>
    <w:rsid w:val="00CD75C4"/>
    <w:rsid w:val="00CE4E93"/>
    <w:rsid w:val="00CE79B8"/>
    <w:rsid w:val="00CF25EF"/>
    <w:rsid w:val="00CF2DD5"/>
    <w:rsid w:val="00CF4DB9"/>
    <w:rsid w:val="00CF678E"/>
    <w:rsid w:val="00CF759E"/>
    <w:rsid w:val="00CF7874"/>
    <w:rsid w:val="00D0592B"/>
    <w:rsid w:val="00D05DA7"/>
    <w:rsid w:val="00D06025"/>
    <w:rsid w:val="00D06FF6"/>
    <w:rsid w:val="00D130E0"/>
    <w:rsid w:val="00D16241"/>
    <w:rsid w:val="00D225DE"/>
    <w:rsid w:val="00D307B7"/>
    <w:rsid w:val="00D324E9"/>
    <w:rsid w:val="00D40331"/>
    <w:rsid w:val="00D43513"/>
    <w:rsid w:val="00D44A7F"/>
    <w:rsid w:val="00D46574"/>
    <w:rsid w:val="00D5195D"/>
    <w:rsid w:val="00D55AA4"/>
    <w:rsid w:val="00D71A95"/>
    <w:rsid w:val="00D7517B"/>
    <w:rsid w:val="00D84F7F"/>
    <w:rsid w:val="00D85928"/>
    <w:rsid w:val="00D86F80"/>
    <w:rsid w:val="00D9547F"/>
    <w:rsid w:val="00DA0D28"/>
    <w:rsid w:val="00DA108B"/>
    <w:rsid w:val="00DA1756"/>
    <w:rsid w:val="00DA2432"/>
    <w:rsid w:val="00DA6040"/>
    <w:rsid w:val="00DB01C7"/>
    <w:rsid w:val="00DB0432"/>
    <w:rsid w:val="00DB109A"/>
    <w:rsid w:val="00DC1AF5"/>
    <w:rsid w:val="00DC3161"/>
    <w:rsid w:val="00DC5857"/>
    <w:rsid w:val="00DC5E76"/>
    <w:rsid w:val="00DC7C52"/>
    <w:rsid w:val="00DD0A15"/>
    <w:rsid w:val="00DD307B"/>
    <w:rsid w:val="00DD4185"/>
    <w:rsid w:val="00DE4363"/>
    <w:rsid w:val="00DE7D7E"/>
    <w:rsid w:val="00DF3F02"/>
    <w:rsid w:val="00DF4008"/>
    <w:rsid w:val="00DF5079"/>
    <w:rsid w:val="00DF5F8A"/>
    <w:rsid w:val="00DF5F9C"/>
    <w:rsid w:val="00DF6D47"/>
    <w:rsid w:val="00DF7A9E"/>
    <w:rsid w:val="00E03A88"/>
    <w:rsid w:val="00E0422C"/>
    <w:rsid w:val="00E048C5"/>
    <w:rsid w:val="00E06BBE"/>
    <w:rsid w:val="00E07E26"/>
    <w:rsid w:val="00E115FC"/>
    <w:rsid w:val="00E119FF"/>
    <w:rsid w:val="00E13183"/>
    <w:rsid w:val="00E137C0"/>
    <w:rsid w:val="00E142F3"/>
    <w:rsid w:val="00E202BE"/>
    <w:rsid w:val="00E20E40"/>
    <w:rsid w:val="00E239B5"/>
    <w:rsid w:val="00E2458E"/>
    <w:rsid w:val="00E25205"/>
    <w:rsid w:val="00E26B71"/>
    <w:rsid w:val="00E27552"/>
    <w:rsid w:val="00E27B96"/>
    <w:rsid w:val="00E32709"/>
    <w:rsid w:val="00E33AF7"/>
    <w:rsid w:val="00E34EBF"/>
    <w:rsid w:val="00E35F5C"/>
    <w:rsid w:val="00E40EEB"/>
    <w:rsid w:val="00E414D7"/>
    <w:rsid w:val="00E41AEA"/>
    <w:rsid w:val="00E42268"/>
    <w:rsid w:val="00E42CF5"/>
    <w:rsid w:val="00E43816"/>
    <w:rsid w:val="00E43940"/>
    <w:rsid w:val="00E46099"/>
    <w:rsid w:val="00E510BC"/>
    <w:rsid w:val="00E51E53"/>
    <w:rsid w:val="00E554F9"/>
    <w:rsid w:val="00E571CA"/>
    <w:rsid w:val="00E6031A"/>
    <w:rsid w:val="00E70761"/>
    <w:rsid w:val="00E71404"/>
    <w:rsid w:val="00E7285A"/>
    <w:rsid w:val="00E733ED"/>
    <w:rsid w:val="00E749D3"/>
    <w:rsid w:val="00E81E4C"/>
    <w:rsid w:val="00E832A9"/>
    <w:rsid w:val="00E856D9"/>
    <w:rsid w:val="00E87150"/>
    <w:rsid w:val="00E91A1F"/>
    <w:rsid w:val="00E91A9F"/>
    <w:rsid w:val="00E94A4E"/>
    <w:rsid w:val="00E96527"/>
    <w:rsid w:val="00EA0CA4"/>
    <w:rsid w:val="00EA1565"/>
    <w:rsid w:val="00EA6195"/>
    <w:rsid w:val="00EA7476"/>
    <w:rsid w:val="00EA7B76"/>
    <w:rsid w:val="00EB07E1"/>
    <w:rsid w:val="00EB0B1A"/>
    <w:rsid w:val="00EB267C"/>
    <w:rsid w:val="00EB3A94"/>
    <w:rsid w:val="00EC0C04"/>
    <w:rsid w:val="00EC3B0B"/>
    <w:rsid w:val="00EC6C46"/>
    <w:rsid w:val="00EC7AAE"/>
    <w:rsid w:val="00ED2DD5"/>
    <w:rsid w:val="00EE1ABC"/>
    <w:rsid w:val="00EE3546"/>
    <w:rsid w:val="00EE41DE"/>
    <w:rsid w:val="00EE53A5"/>
    <w:rsid w:val="00EE79B9"/>
    <w:rsid w:val="00EF3D79"/>
    <w:rsid w:val="00EF5569"/>
    <w:rsid w:val="00F00B48"/>
    <w:rsid w:val="00F015A6"/>
    <w:rsid w:val="00F030A4"/>
    <w:rsid w:val="00F04C3E"/>
    <w:rsid w:val="00F071D9"/>
    <w:rsid w:val="00F0768D"/>
    <w:rsid w:val="00F0796D"/>
    <w:rsid w:val="00F10974"/>
    <w:rsid w:val="00F12F35"/>
    <w:rsid w:val="00F13107"/>
    <w:rsid w:val="00F14638"/>
    <w:rsid w:val="00F17936"/>
    <w:rsid w:val="00F2123D"/>
    <w:rsid w:val="00F2137A"/>
    <w:rsid w:val="00F26ACF"/>
    <w:rsid w:val="00F27050"/>
    <w:rsid w:val="00F3051C"/>
    <w:rsid w:val="00F31466"/>
    <w:rsid w:val="00F34883"/>
    <w:rsid w:val="00F3502F"/>
    <w:rsid w:val="00F35CFF"/>
    <w:rsid w:val="00F36509"/>
    <w:rsid w:val="00F36A98"/>
    <w:rsid w:val="00F43A1B"/>
    <w:rsid w:val="00F44108"/>
    <w:rsid w:val="00F5220F"/>
    <w:rsid w:val="00F52BCC"/>
    <w:rsid w:val="00F5464E"/>
    <w:rsid w:val="00F557A9"/>
    <w:rsid w:val="00F566CB"/>
    <w:rsid w:val="00F61186"/>
    <w:rsid w:val="00F62F05"/>
    <w:rsid w:val="00F6499A"/>
    <w:rsid w:val="00F659DA"/>
    <w:rsid w:val="00F65BCB"/>
    <w:rsid w:val="00F6776C"/>
    <w:rsid w:val="00F74685"/>
    <w:rsid w:val="00F75DDE"/>
    <w:rsid w:val="00F76939"/>
    <w:rsid w:val="00F76A16"/>
    <w:rsid w:val="00F82E1F"/>
    <w:rsid w:val="00F8434B"/>
    <w:rsid w:val="00F859D8"/>
    <w:rsid w:val="00F9442F"/>
    <w:rsid w:val="00F95063"/>
    <w:rsid w:val="00FA061C"/>
    <w:rsid w:val="00FB1AB6"/>
    <w:rsid w:val="00FB30CB"/>
    <w:rsid w:val="00FB5AE1"/>
    <w:rsid w:val="00FC7878"/>
    <w:rsid w:val="00FD011F"/>
    <w:rsid w:val="00FD1DDF"/>
    <w:rsid w:val="00FD1FB8"/>
    <w:rsid w:val="00FD25C0"/>
    <w:rsid w:val="00FD2B9C"/>
    <w:rsid w:val="00FD3544"/>
    <w:rsid w:val="00FD5A50"/>
    <w:rsid w:val="00FD6BA1"/>
    <w:rsid w:val="00FE439B"/>
    <w:rsid w:val="00FE4BFB"/>
    <w:rsid w:val="00FF7A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4E6E91"/>
  <w15:docId w15:val="{F129904F-DC58-415C-A293-F366A5A2F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E81E4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ListParagraph"/>
    <w:next w:val="Normal"/>
    <w:link w:val="Heading3Char"/>
    <w:uiPriority w:val="9"/>
    <w:unhideWhenUsed/>
    <w:qFormat/>
    <w:rsid w:val="009A3BB0"/>
    <w:pPr>
      <w:numPr>
        <w:numId w:val="1"/>
      </w:numPr>
      <w:outlineLvl w:val="2"/>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64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64DD"/>
  </w:style>
  <w:style w:type="paragraph" w:styleId="Footer">
    <w:name w:val="footer"/>
    <w:basedOn w:val="Normal"/>
    <w:link w:val="FooterChar"/>
    <w:uiPriority w:val="99"/>
    <w:unhideWhenUsed/>
    <w:rsid w:val="001164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64DD"/>
  </w:style>
  <w:style w:type="paragraph" w:styleId="BalloonText">
    <w:name w:val="Balloon Text"/>
    <w:basedOn w:val="Normal"/>
    <w:link w:val="BalloonTextChar"/>
    <w:semiHidden/>
    <w:unhideWhenUsed/>
    <w:rsid w:val="00116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1164DD"/>
    <w:rPr>
      <w:rFonts w:ascii="Tahoma" w:hAnsi="Tahoma" w:cs="Tahoma"/>
      <w:sz w:val="16"/>
      <w:szCs w:val="16"/>
    </w:rPr>
  </w:style>
  <w:style w:type="paragraph" w:styleId="BodyText">
    <w:name w:val="Body Text"/>
    <w:basedOn w:val="Normal"/>
    <w:link w:val="BodyTextChar"/>
    <w:rsid w:val="004F3710"/>
    <w:pPr>
      <w:spacing w:after="0" w:line="240" w:lineRule="auto"/>
    </w:pPr>
    <w:rPr>
      <w:rFonts w:ascii="Times New Roman" w:eastAsia="Times New Roman" w:hAnsi="Times New Roman" w:cs="Times New Roman"/>
      <w:color w:val="000000"/>
      <w:sz w:val="24"/>
      <w:szCs w:val="20"/>
    </w:rPr>
  </w:style>
  <w:style w:type="character" w:customStyle="1" w:styleId="BodyTextChar">
    <w:name w:val="Body Text Char"/>
    <w:basedOn w:val="DefaultParagraphFont"/>
    <w:link w:val="BodyText"/>
    <w:rsid w:val="004F3710"/>
    <w:rPr>
      <w:rFonts w:ascii="Times New Roman" w:eastAsia="Times New Roman" w:hAnsi="Times New Roman" w:cs="Times New Roman"/>
      <w:color w:val="000000"/>
      <w:sz w:val="24"/>
      <w:szCs w:val="20"/>
    </w:rPr>
  </w:style>
  <w:style w:type="paragraph" w:styleId="ListParagraph">
    <w:name w:val="List Paragraph"/>
    <w:basedOn w:val="Normal"/>
    <w:uiPriority w:val="34"/>
    <w:qFormat/>
    <w:rsid w:val="004F3710"/>
    <w:pPr>
      <w:spacing w:after="0" w:line="240" w:lineRule="auto"/>
      <w:ind w:left="720"/>
    </w:pPr>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9"/>
    <w:rsid w:val="00E81E4C"/>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5B416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9A3BB0"/>
    <w:rPr>
      <w:rFonts w:ascii="Arial" w:eastAsia="Times New Roman" w:hAnsi="Arial" w:cs="Arial"/>
      <w:b/>
      <w:sz w:val="24"/>
      <w:szCs w:val="20"/>
    </w:rPr>
  </w:style>
  <w:style w:type="table" w:styleId="TableGrid">
    <w:name w:val="Table Grid"/>
    <w:basedOn w:val="TableNormal"/>
    <w:uiPriority w:val="59"/>
    <w:rsid w:val="00050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E3578"/>
    <w:rPr>
      <w:sz w:val="16"/>
      <w:szCs w:val="16"/>
    </w:rPr>
  </w:style>
  <w:style w:type="paragraph" w:styleId="CommentText">
    <w:name w:val="annotation text"/>
    <w:basedOn w:val="Normal"/>
    <w:link w:val="CommentTextChar"/>
    <w:uiPriority w:val="99"/>
    <w:semiHidden/>
    <w:unhideWhenUsed/>
    <w:rsid w:val="006E3578"/>
    <w:pPr>
      <w:spacing w:line="240" w:lineRule="auto"/>
    </w:pPr>
    <w:rPr>
      <w:sz w:val="20"/>
      <w:szCs w:val="20"/>
    </w:rPr>
  </w:style>
  <w:style w:type="character" w:customStyle="1" w:styleId="CommentTextChar">
    <w:name w:val="Comment Text Char"/>
    <w:basedOn w:val="DefaultParagraphFont"/>
    <w:link w:val="CommentText"/>
    <w:uiPriority w:val="99"/>
    <w:semiHidden/>
    <w:rsid w:val="006E3578"/>
    <w:rPr>
      <w:sz w:val="20"/>
      <w:szCs w:val="20"/>
    </w:rPr>
  </w:style>
  <w:style w:type="paragraph" w:styleId="CommentSubject">
    <w:name w:val="annotation subject"/>
    <w:basedOn w:val="CommentText"/>
    <w:next w:val="CommentText"/>
    <w:link w:val="CommentSubjectChar"/>
    <w:uiPriority w:val="99"/>
    <w:semiHidden/>
    <w:unhideWhenUsed/>
    <w:rsid w:val="006E3578"/>
    <w:rPr>
      <w:b/>
      <w:bCs/>
    </w:rPr>
  </w:style>
  <w:style w:type="character" w:customStyle="1" w:styleId="CommentSubjectChar">
    <w:name w:val="Comment Subject Char"/>
    <w:basedOn w:val="CommentTextChar"/>
    <w:link w:val="CommentSubject"/>
    <w:uiPriority w:val="99"/>
    <w:semiHidden/>
    <w:rsid w:val="006E3578"/>
    <w:rPr>
      <w:b/>
      <w:bCs/>
      <w:sz w:val="20"/>
      <w:szCs w:val="20"/>
    </w:rPr>
  </w:style>
  <w:style w:type="paragraph" w:customStyle="1" w:styleId="Default">
    <w:name w:val="Default"/>
    <w:rsid w:val="00EE79B9"/>
    <w:pPr>
      <w:widowControl w:val="0"/>
      <w:autoSpaceDE w:val="0"/>
      <w:autoSpaceDN w:val="0"/>
      <w:adjustRightInd w:val="0"/>
      <w:spacing w:after="0" w:line="240" w:lineRule="auto"/>
    </w:pPr>
    <w:rPr>
      <w:rFonts w:ascii="Frutiger 45 Light" w:eastAsia="Times New Roman" w:hAnsi="Frutiger 45 Light" w:cs="Times New Roman"/>
      <w:color w:val="000000"/>
      <w:sz w:val="24"/>
      <w:szCs w:val="24"/>
      <w:lang w:val="en-US"/>
    </w:rPr>
  </w:style>
  <w:style w:type="paragraph" w:customStyle="1" w:styleId="CM16">
    <w:name w:val="CM16"/>
    <w:basedOn w:val="Default"/>
    <w:next w:val="Default"/>
    <w:rsid w:val="00EE79B9"/>
    <w:pPr>
      <w:spacing w:after="148"/>
    </w:pPr>
    <w:rPr>
      <w:color w:val="auto"/>
    </w:rPr>
  </w:style>
  <w:style w:type="paragraph" w:styleId="NoSpacing">
    <w:name w:val="No Spacing"/>
    <w:uiPriority w:val="1"/>
    <w:qFormat/>
    <w:rsid w:val="00F36509"/>
    <w:pPr>
      <w:spacing w:after="0" w:line="240" w:lineRule="auto"/>
    </w:pPr>
  </w:style>
  <w:style w:type="paragraph" w:styleId="Revision">
    <w:name w:val="Revision"/>
    <w:hidden/>
    <w:uiPriority w:val="99"/>
    <w:semiHidden/>
    <w:rsid w:val="008A3F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430721">
      <w:bodyDiv w:val="1"/>
      <w:marLeft w:val="0"/>
      <w:marRight w:val="0"/>
      <w:marTop w:val="0"/>
      <w:marBottom w:val="0"/>
      <w:divBdr>
        <w:top w:val="none" w:sz="0" w:space="0" w:color="auto"/>
        <w:left w:val="none" w:sz="0" w:space="0" w:color="auto"/>
        <w:bottom w:val="none" w:sz="0" w:space="0" w:color="auto"/>
        <w:right w:val="none" w:sz="0" w:space="0" w:color="auto"/>
      </w:divBdr>
    </w:div>
    <w:div w:id="119039092">
      <w:bodyDiv w:val="1"/>
      <w:marLeft w:val="0"/>
      <w:marRight w:val="0"/>
      <w:marTop w:val="0"/>
      <w:marBottom w:val="0"/>
      <w:divBdr>
        <w:top w:val="none" w:sz="0" w:space="0" w:color="auto"/>
        <w:left w:val="none" w:sz="0" w:space="0" w:color="auto"/>
        <w:bottom w:val="none" w:sz="0" w:space="0" w:color="auto"/>
        <w:right w:val="none" w:sz="0" w:space="0" w:color="auto"/>
      </w:divBdr>
    </w:div>
    <w:div w:id="183134737">
      <w:bodyDiv w:val="1"/>
      <w:marLeft w:val="0"/>
      <w:marRight w:val="0"/>
      <w:marTop w:val="0"/>
      <w:marBottom w:val="0"/>
      <w:divBdr>
        <w:top w:val="none" w:sz="0" w:space="0" w:color="auto"/>
        <w:left w:val="none" w:sz="0" w:space="0" w:color="auto"/>
        <w:bottom w:val="none" w:sz="0" w:space="0" w:color="auto"/>
        <w:right w:val="none" w:sz="0" w:space="0" w:color="auto"/>
      </w:divBdr>
    </w:div>
    <w:div w:id="218634848">
      <w:bodyDiv w:val="1"/>
      <w:marLeft w:val="0"/>
      <w:marRight w:val="0"/>
      <w:marTop w:val="0"/>
      <w:marBottom w:val="0"/>
      <w:divBdr>
        <w:top w:val="none" w:sz="0" w:space="0" w:color="auto"/>
        <w:left w:val="none" w:sz="0" w:space="0" w:color="auto"/>
        <w:bottom w:val="none" w:sz="0" w:space="0" w:color="auto"/>
        <w:right w:val="none" w:sz="0" w:space="0" w:color="auto"/>
      </w:divBdr>
    </w:div>
    <w:div w:id="300503155">
      <w:bodyDiv w:val="1"/>
      <w:marLeft w:val="0"/>
      <w:marRight w:val="0"/>
      <w:marTop w:val="0"/>
      <w:marBottom w:val="0"/>
      <w:divBdr>
        <w:top w:val="none" w:sz="0" w:space="0" w:color="auto"/>
        <w:left w:val="none" w:sz="0" w:space="0" w:color="auto"/>
        <w:bottom w:val="none" w:sz="0" w:space="0" w:color="auto"/>
        <w:right w:val="none" w:sz="0" w:space="0" w:color="auto"/>
      </w:divBdr>
    </w:div>
    <w:div w:id="304553517">
      <w:bodyDiv w:val="1"/>
      <w:marLeft w:val="0"/>
      <w:marRight w:val="0"/>
      <w:marTop w:val="0"/>
      <w:marBottom w:val="0"/>
      <w:divBdr>
        <w:top w:val="none" w:sz="0" w:space="0" w:color="auto"/>
        <w:left w:val="none" w:sz="0" w:space="0" w:color="auto"/>
        <w:bottom w:val="none" w:sz="0" w:space="0" w:color="auto"/>
        <w:right w:val="none" w:sz="0" w:space="0" w:color="auto"/>
      </w:divBdr>
    </w:div>
    <w:div w:id="458039426">
      <w:bodyDiv w:val="1"/>
      <w:marLeft w:val="0"/>
      <w:marRight w:val="0"/>
      <w:marTop w:val="0"/>
      <w:marBottom w:val="0"/>
      <w:divBdr>
        <w:top w:val="none" w:sz="0" w:space="0" w:color="auto"/>
        <w:left w:val="none" w:sz="0" w:space="0" w:color="auto"/>
        <w:bottom w:val="none" w:sz="0" w:space="0" w:color="auto"/>
        <w:right w:val="none" w:sz="0" w:space="0" w:color="auto"/>
      </w:divBdr>
    </w:div>
    <w:div w:id="474376475">
      <w:bodyDiv w:val="1"/>
      <w:marLeft w:val="0"/>
      <w:marRight w:val="0"/>
      <w:marTop w:val="0"/>
      <w:marBottom w:val="0"/>
      <w:divBdr>
        <w:top w:val="none" w:sz="0" w:space="0" w:color="auto"/>
        <w:left w:val="none" w:sz="0" w:space="0" w:color="auto"/>
        <w:bottom w:val="none" w:sz="0" w:space="0" w:color="auto"/>
        <w:right w:val="none" w:sz="0" w:space="0" w:color="auto"/>
      </w:divBdr>
    </w:div>
    <w:div w:id="527566220">
      <w:bodyDiv w:val="1"/>
      <w:marLeft w:val="0"/>
      <w:marRight w:val="0"/>
      <w:marTop w:val="0"/>
      <w:marBottom w:val="0"/>
      <w:divBdr>
        <w:top w:val="none" w:sz="0" w:space="0" w:color="auto"/>
        <w:left w:val="none" w:sz="0" w:space="0" w:color="auto"/>
        <w:bottom w:val="none" w:sz="0" w:space="0" w:color="auto"/>
        <w:right w:val="none" w:sz="0" w:space="0" w:color="auto"/>
      </w:divBdr>
    </w:div>
    <w:div w:id="592784670">
      <w:bodyDiv w:val="1"/>
      <w:marLeft w:val="0"/>
      <w:marRight w:val="0"/>
      <w:marTop w:val="0"/>
      <w:marBottom w:val="0"/>
      <w:divBdr>
        <w:top w:val="none" w:sz="0" w:space="0" w:color="auto"/>
        <w:left w:val="none" w:sz="0" w:space="0" w:color="auto"/>
        <w:bottom w:val="none" w:sz="0" w:space="0" w:color="auto"/>
        <w:right w:val="none" w:sz="0" w:space="0" w:color="auto"/>
      </w:divBdr>
    </w:div>
    <w:div w:id="649790834">
      <w:bodyDiv w:val="1"/>
      <w:marLeft w:val="0"/>
      <w:marRight w:val="0"/>
      <w:marTop w:val="0"/>
      <w:marBottom w:val="0"/>
      <w:divBdr>
        <w:top w:val="none" w:sz="0" w:space="0" w:color="auto"/>
        <w:left w:val="none" w:sz="0" w:space="0" w:color="auto"/>
        <w:bottom w:val="none" w:sz="0" w:space="0" w:color="auto"/>
        <w:right w:val="none" w:sz="0" w:space="0" w:color="auto"/>
      </w:divBdr>
    </w:div>
    <w:div w:id="744842997">
      <w:bodyDiv w:val="1"/>
      <w:marLeft w:val="0"/>
      <w:marRight w:val="0"/>
      <w:marTop w:val="0"/>
      <w:marBottom w:val="0"/>
      <w:divBdr>
        <w:top w:val="none" w:sz="0" w:space="0" w:color="auto"/>
        <w:left w:val="none" w:sz="0" w:space="0" w:color="auto"/>
        <w:bottom w:val="none" w:sz="0" w:space="0" w:color="auto"/>
        <w:right w:val="none" w:sz="0" w:space="0" w:color="auto"/>
      </w:divBdr>
    </w:div>
    <w:div w:id="1007713403">
      <w:bodyDiv w:val="1"/>
      <w:marLeft w:val="0"/>
      <w:marRight w:val="0"/>
      <w:marTop w:val="0"/>
      <w:marBottom w:val="0"/>
      <w:divBdr>
        <w:top w:val="none" w:sz="0" w:space="0" w:color="auto"/>
        <w:left w:val="none" w:sz="0" w:space="0" w:color="auto"/>
        <w:bottom w:val="none" w:sz="0" w:space="0" w:color="auto"/>
        <w:right w:val="none" w:sz="0" w:space="0" w:color="auto"/>
      </w:divBdr>
    </w:div>
    <w:div w:id="1084961433">
      <w:bodyDiv w:val="1"/>
      <w:marLeft w:val="0"/>
      <w:marRight w:val="0"/>
      <w:marTop w:val="0"/>
      <w:marBottom w:val="0"/>
      <w:divBdr>
        <w:top w:val="none" w:sz="0" w:space="0" w:color="auto"/>
        <w:left w:val="none" w:sz="0" w:space="0" w:color="auto"/>
        <w:bottom w:val="none" w:sz="0" w:space="0" w:color="auto"/>
        <w:right w:val="none" w:sz="0" w:space="0" w:color="auto"/>
      </w:divBdr>
    </w:div>
    <w:div w:id="1160149827">
      <w:bodyDiv w:val="1"/>
      <w:marLeft w:val="0"/>
      <w:marRight w:val="0"/>
      <w:marTop w:val="0"/>
      <w:marBottom w:val="0"/>
      <w:divBdr>
        <w:top w:val="none" w:sz="0" w:space="0" w:color="auto"/>
        <w:left w:val="none" w:sz="0" w:space="0" w:color="auto"/>
        <w:bottom w:val="none" w:sz="0" w:space="0" w:color="auto"/>
        <w:right w:val="none" w:sz="0" w:space="0" w:color="auto"/>
      </w:divBdr>
      <w:divsChild>
        <w:div w:id="25910059">
          <w:marLeft w:val="547"/>
          <w:marRight w:val="0"/>
          <w:marTop w:val="120"/>
          <w:marBottom w:val="120"/>
          <w:divBdr>
            <w:top w:val="none" w:sz="0" w:space="0" w:color="auto"/>
            <w:left w:val="none" w:sz="0" w:space="0" w:color="auto"/>
            <w:bottom w:val="none" w:sz="0" w:space="0" w:color="auto"/>
            <w:right w:val="none" w:sz="0" w:space="0" w:color="auto"/>
          </w:divBdr>
        </w:div>
        <w:div w:id="98181117">
          <w:marLeft w:val="547"/>
          <w:marRight w:val="0"/>
          <w:marTop w:val="120"/>
          <w:marBottom w:val="120"/>
          <w:divBdr>
            <w:top w:val="none" w:sz="0" w:space="0" w:color="auto"/>
            <w:left w:val="none" w:sz="0" w:space="0" w:color="auto"/>
            <w:bottom w:val="none" w:sz="0" w:space="0" w:color="auto"/>
            <w:right w:val="none" w:sz="0" w:space="0" w:color="auto"/>
          </w:divBdr>
        </w:div>
        <w:div w:id="255091058">
          <w:marLeft w:val="547"/>
          <w:marRight w:val="0"/>
          <w:marTop w:val="120"/>
          <w:marBottom w:val="120"/>
          <w:divBdr>
            <w:top w:val="none" w:sz="0" w:space="0" w:color="auto"/>
            <w:left w:val="none" w:sz="0" w:space="0" w:color="auto"/>
            <w:bottom w:val="none" w:sz="0" w:space="0" w:color="auto"/>
            <w:right w:val="none" w:sz="0" w:space="0" w:color="auto"/>
          </w:divBdr>
        </w:div>
        <w:div w:id="276722581">
          <w:marLeft w:val="547"/>
          <w:marRight w:val="0"/>
          <w:marTop w:val="120"/>
          <w:marBottom w:val="120"/>
          <w:divBdr>
            <w:top w:val="none" w:sz="0" w:space="0" w:color="auto"/>
            <w:left w:val="none" w:sz="0" w:space="0" w:color="auto"/>
            <w:bottom w:val="none" w:sz="0" w:space="0" w:color="auto"/>
            <w:right w:val="none" w:sz="0" w:space="0" w:color="auto"/>
          </w:divBdr>
        </w:div>
        <w:div w:id="514658444">
          <w:marLeft w:val="547"/>
          <w:marRight w:val="0"/>
          <w:marTop w:val="120"/>
          <w:marBottom w:val="120"/>
          <w:divBdr>
            <w:top w:val="none" w:sz="0" w:space="0" w:color="auto"/>
            <w:left w:val="none" w:sz="0" w:space="0" w:color="auto"/>
            <w:bottom w:val="none" w:sz="0" w:space="0" w:color="auto"/>
            <w:right w:val="none" w:sz="0" w:space="0" w:color="auto"/>
          </w:divBdr>
        </w:div>
        <w:div w:id="838353317">
          <w:marLeft w:val="547"/>
          <w:marRight w:val="0"/>
          <w:marTop w:val="120"/>
          <w:marBottom w:val="120"/>
          <w:divBdr>
            <w:top w:val="none" w:sz="0" w:space="0" w:color="auto"/>
            <w:left w:val="none" w:sz="0" w:space="0" w:color="auto"/>
            <w:bottom w:val="none" w:sz="0" w:space="0" w:color="auto"/>
            <w:right w:val="none" w:sz="0" w:space="0" w:color="auto"/>
          </w:divBdr>
        </w:div>
        <w:div w:id="1455753522">
          <w:marLeft w:val="547"/>
          <w:marRight w:val="0"/>
          <w:marTop w:val="120"/>
          <w:marBottom w:val="120"/>
          <w:divBdr>
            <w:top w:val="none" w:sz="0" w:space="0" w:color="auto"/>
            <w:left w:val="none" w:sz="0" w:space="0" w:color="auto"/>
            <w:bottom w:val="none" w:sz="0" w:space="0" w:color="auto"/>
            <w:right w:val="none" w:sz="0" w:space="0" w:color="auto"/>
          </w:divBdr>
        </w:div>
        <w:div w:id="1543908411">
          <w:marLeft w:val="547"/>
          <w:marRight w:val="0"/>
          <w:marTop w:val="120"/>
          <w:marBottom w:val="120"/>
          <w:divBdr>
            <w:top w:val="none" w:sz="0" w:space="0" w:color="auto"/>
            <w:left w:val="none" w:sz="0" w:space="0" w:color="auto"/>
            <w:bottom w:val="none" w:sz="0" w:space="0" w:color="auto"/>
            <w:right w:val="none" w:sz="0" w:space="0" w:color="auto"/>
          </w:divBdr>
        </w:div>
        <w:div w:id="1912815260">
          <w:marLeft w:val="547"/>
          <w:marRight w:val="0"/>
          <w:marTop w:val="120"/>
          <w:marBottom w:val="120"/>
          <w:divBdr>
            <w:top w:val="none" w:sz="0" w:space="0" w:color="auto"/>
            <w:left w:val="none" w:sz="0" w:space="0" w:color="auto"/>
            <w:bottom w:val="none" w:sz="0" w:space="0" w:color="auto"/>
            <w:right w:val="none" w:sz="0" w:space="0" w:color="auto"/>
          </w:divBdr>
        </w:div>
      </w:divsChild>
    </w:div>
    <w:div w:id="1247610694">
      <w:bodyDiv w:val="1"/>
      <w:marLeft w:val="0"/>
      <w:marRight w:val="0"/>
      <w:marTop w:val="0"/>
      <w:marBottom w:val="0"/>
      <w:divBdr>
        <w:top w:val="none" w:sz="0" w:space="0" w:color="auto"/>
        <w:left w:val="none" w:sz="0" w:space="0" w:color="auto"/>
        <w:bottom w:val="none" w:sz="0" w:space="0" w:color="auto"/>
        <w:right w:val="none" w:sz="0" w:space="0" w:color="auto"/>
      </w:divBdr>
    </w:div>
    <w:div w:id="1345135684">
      <w:bodyDiv w:val="1"/>
      <w:marLeft w:val="0"/>
      <w:marRight w:val="0"/>
      <w:marTop w:val="0"/>
      <w:marBottom w:val="0"/>
      <w:divBdr>
        <w:top w:val="none" w:sz="0" w:space="0" w:color="auto"/>
        <w:left w:val="none" w:sz="0" w:space="0" w:color="auto"/>
        <w:bottom w:val="none" w:sz="0" w:space="0" w:color="auto"/>
        <w:right w:val="none" w:sz="0" w:space="0" w:color="auto"/>
      </w:divBdr>
    </w:div>
    <w:div w:id="1365977738">
      <w:bodyDiv w:val="1"/>
      <w:marLeft w:val="0"/>
      <w:marRight w:val="0"/>
      <w:marTop w:val="0"/>
      <w:marBottom w:val="0"/>
      <w:divBdr>
        <w:top w:val="none" w:sz="0" w:space="0" w:color="auto"/>
        <w:left w:val="none" w:sz="0" w:space="0" w:color="auto"/>
        <w:bottom w:val="none" w:sz="0" w:space="0" w:color="auto"/>
        <w:right w:val="none" w:sz="0" w:space="0" w:color="auto"/>
      </w:divBdr>
    </w:div>
    <w:div w:id="1396199540">
      <w:bodyDiv w:val="1"/>
      <w:marLeft w:val="0"/>
      <w:marRight w:val="0"/>
      <w:marTop w:val="0"/>
      <w:marBottom w:val="0"/>
      <w:divBdr>
        <w:top w:val="none" w:sz="0" w:space="0" w:color="auto"/>
        <w:left w:val="none" w:sz="0" w:space="0" w:color="auto"/>
        <w:bottom w:val="none" w:sz="0" w:space="0" w:color="auto"/>
        <w:right w:val="none" w:sz="0" w:space="0" w:color="auto"/>
      </w:divBdr>
    </w:div>
    <w:div w:id="1525053960">
      <w:bodyDiv w:val="1"/>
      <w:marLeft w:val="0"/>
      <w:marRight w:val="0"/>
      <w:marTop w:val="0"/>
      <w:marBottom w:val="0"/>
      <w:divBdr>
        <w:top w:val="none" w:sz="0" w:space="0" w:color="auto"/>
        <w:left w:val="none" w:sz="0" w:space="0" w:color="auto"/>
        <w:bottom w:val="none" w:sz="0" w:space="0" w:color="auto"/>
        <w:right w:val="none" w:sz="0" w:space="0" w:color="auto"/>
      </w:divBdr>
    </w:div>
    <w:div w:id="1593003566">
      <w:bodyDiv w:val="1"/>
      <w:marLeft w:val="0"/>
      <w:marRight w:val="0"/>
      <w:marTop w:val="0"/>
      <w:marBottom w:val="0"/>
      <w:divBdr>
        <w:top w:val="none" w:sz="0" w:space="0" w:color="auto"/>
        <w:left w:val="none" w:sz="0" w:space="0" w:color="auto"/>
        <w:bottom w:val="none" w:sz="0" w:space="0" w:color="auto"/>
        <w:right w:val="none" w:sz="0" w:space="0" w:color="auto"/>
      </w:divBdr>
    </w:div>
    <w:div w:id="1684823302">
      <w:bodyDiv w:val="1"/>
      <w:marLeft w:val="0"/>
      <w:marRight w:val="0"/>
      <w:marTop w:val="0"/>
      <w:marBottom w:val="0"/>
      <w:divBdr>
        <w:top w:val="none" w:sz="0" w:space="0" w:color="auto"/>
        <w:left w:val="none" w:sz="0" w:space="0" w:color="auto"/>
        <w:bottom w:val="none" w:sz="0" w:space="0" w:color="auto"/>
        <w:right w:val="none" w:sz="0" w:space="0" w:color="auto"/>
      </w:divBdr>
    </w:div>
    <w:div w:id="1705793328">
      <w:bodyDiv w:val="1"/>
      <w:marLeft w:val="0"/>
      <w:marRight w:val="0"/>
      <w:marTop w:val="0"/>
      <w:marBottom w:val="0"/>
      <w:divBdr>
        <w:top w:val="none" w:sz="0" w:space="0" w:color="auto"/>
        <w:left w:val="none" w:sz="0" w:space="0" w:color="auto"/>
        <w:bottom w:val="none" w:sz="0" w:space="0" w:color="auto"/>
        <w:right w:val="none" w:sz="0" w:space="0" w:color="auto"/>
      </w:divBdr>
    </w:div>
    <w:div w:id="1740178129">
      <w:bodyDiv w:val="1"/>
      <w:marLeft w:val="0"/>
      <w:marRight w:val="0"/>
      <w:marTop w:val="0"/>
      <w:marBottom w:val="0"/>
      <w:divBdr>
        <w:top w:val="none" w:sz="0" w:space="0" w:color="auto"/>
        <w:left w:val="none" w:sz="0" w:space="0" w:color="auto"/>
        <w:bottom w:val="none" w:sz="0" w:space="0" w:color="auto"/>
        <w:right w:val="none" w:sz="0" w:space="0" w:color="auto"/>
      </w:divBdr>
    </w:div>
    <w:div w:id="1774403232">
      <w:bodyDiv w:val="1"/>
      <w:marLeft w:val="0"/>
      <w:marRight w:val="0"/>
      <w:marTop w:val="0"/>
      <w:marBottom w:val="0"/>
      <w:divBdr>
        <w:top w:val="none" w:sz="0" w:space="0" w:color="auto"/>
        <w:left w:val="none" w:sz="0" w:space="0" w:color="auto"/>
        <w:bottom w:val="none" w:sz="0" w:space="0" w:color="auto"/>
        <w:right w:val="none" w:sz="0" w:space="0" w:color="auto"/>
      </w:divBdr>
    </w:div>
    <w:div w:id="1885366396">
      <w:bodyDiv w:val="1"/>
      <w:marLeft w:val="0"/>
      <w:marRight w:val="0"/>
      <w:marTop w:val="0"/>
      <w:marBottom w:val="0"/>
      <w:divBdr>
        <w:top w:val="none" w:sz="0" w:space="0" w:color="auto"/>
        <w:left w:val="none" w:sz="0" w:space="0" w:color="auto"/>
        <w:bottom w:val="none" w:sz="0" w:space="0" w:color="auto"/>
        <w:right w:val="none" w:sz="0" w:space="0" w:color="auto"/>
      </w:divBdr>
    </w:div>
    <w:div w:id="1923373083">
      <w:bodyDiv w:val="1"/>
      <w:marLeft w:val="0"/>
      <w:marRight w:val="0"/>
      <w:marTop w:val="0"/>
      <w:marBottom w:val="0"/>
      <w:divBdr>
        <w:top w:val="none" w:sz="0" w:space="0" w:color="auto"/>
        <w:left w:val="none" w:sz="0" w:space="0" w:color="auto"/>
        <w:bottom w:val="none" w:sz="0" w:space="0" w:color="auto"/>
        <w:right w:val="none" w:sz="0" w:space="0" w:color="auto"/>
      </w:divBdr>
    </w:div>
    <w:div w:id="1963924526">
      <w:bodyDiv w:val="1"/>
      <w:marLeft w:val="0"/>
      <w:marRight w:val="0"/>
      <w:marTop w:val="0"/>
      <w:marBottom w:val="0"/>
      <w:divBdr>
        <w:top w:val="none" w:sz="0" w:space="0" w:color="auto"/>
        <w:left w:val="none" w:sz="0" w:space="0" w:color="auto"/>
        <w:bottom w:val="none" w:sz="0" w:space="0" w:color="auto"/>
        <w:right w:val="none" w:sz="0" w:space="0" w:color="auto"/>
      </w:divBdr>
    </w:div>
    <w:div w:id="2014991658">
      <w:bodyDiv w:val="1"/>
      <w:marLeft w:val="0"/>
      <w:marRight w:val="0"/>
      <w:marTop w:val="0"/>
      <w:marBottom w:val="0"/>
      <w:divBdr>
        <w:top w:val="none" w:sz="0" w:space="0" w:color="auto"/>
        <w:left w:val="none" w:sz="0" w:space="0" w:color="auto"/>
        <w:bottom w:val="none" w:sz="0" w:space="0" w:color="auto"/>
        <w:right w:val="none" w:sz="0" w:space="0" w:color="auto"/>
      </w:divBdr>
    </w:div>
    <w:div w:id="2066640768">
      <w:bodyDiv w:val="1"/>
      <w:marLeft w:val="0"/>
      <w:marRight w:val="0"/>
      <w:marTop w:val="0"/>
      <w:marBottom w:val="0"/>
      <w:divBdr>
        <w:top w:val="none" w:sz="0" w:space="0" w:color="auto"/>
        <w:left w:val="none" w:sz="0" w:space="0" w:color="auto"/>
        <w:bottom w:val="none" w:sz="0" w:space="0" w:color="auto"/>
        <w:right w:val="none" w:sz="0" w:space="0" w:color="auto"/>
      </w:divBdr>
    </w:div>
    <w:div w:id="21121631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8C6E0D-4477-400F-83A4-D7839149B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914</Words>
  <Characters>5215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Wilcox, Heather</dc:creator>
  <cp:keywords/>
  <dc:description/>
  <cp:lastModifiedBy>O'CALLAGHAN, Jamie (MOORFIELDS EYE HOSPITAL NHS FOUNDATION TRUST)</cp:lastModifiedBy>
  <cp:revision>3</cp:revision>
  <cp:lastPrinted>2020-02-26T13:37:00Z</cp:lastPrinted>
  <dcterms:created xsi:type="dcterms:W3CDTF">2023-01-08T09:19:00Z</dcterms:created>
  <dcterms:modified xsi:type="dcterms:W3CDTF">2023-01-20T12:22:00Z</dcterms:modified>
</cp:coreProperties>
</file>